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header214.xml" ContentType="application/vnd.openxmlformats-officedocument.wordprocessingml.header+xml"/>
  <Override PartName="/word/header215.xml" ContentType="application/vnd.openxmlformats-officedocument.wordprocessingml.header+xml"/>
  <Override PartName="/word/footer214.xml" ContentType="application/vnd.openxmlformats-officedocument.wordprocessingml.footer+xml"/>
  <Override PartName="/word/footer215.xml" ContentType="application/vnd.openxmlformats-officedocument.wordprocessingml.footer+xml"/>
  <Override PartName="/word/header216.xml" ContentType="application/vnd.openxmlformats-officedocument.wordprocessingml.header+xml"/>
  <Override PartName="/word/footer216.xml" ContentType="application/vnd.openxmlformats-officedocument.wordprocessingml.footer+xml"/>
  <Override PartName="/word/header217.xml" ContentType="application/vnd.openxmlformats-officedocument.wordprocessingml.header+xml"/>
  <Override PartName="/word/header218.xml" ContentType="application/vnd.openxmlformats-officedocument.wordprocessingml.header+xml"/>
  <Override PartName="/word/footer217.xml" ContentType="application/vnd.openxmlformats-officedocument.wordprocessingml.footer+xml"/>
  <Override PartName="/word/footer218.xml" ContentType="application/vnd.openxmlformats-officedocument.wordprocessingml.footer+xml"/>
  <Override PartName="/word/header219.xml" ContentType="application/vnd.openxmlformats-officedocument.wordprocessingml.header+xml"/>
  <Override PartName="/word/footer219.xml" ContentType="application/vnd.openxmlformats-officedocument.wordprocessingml.footer+xml"/>
  <Override PartName="/word/header220.xml" ContentType="application/vnd.openxmlformats-officedocument.wordprocessingml.header+xml"/>
  <Override PartName="/word/header221.xml" ContentType="application/vnd.openxmlformats-officedocument.wordprocessingml.header+xml"/>
  <Override PartName="/word/footer220.xml" ContentType="application/vnd.openxmlformats-officedocument.wordprocessingml.footer+xml"/>
  <Override PartName="/word/footer221.xml" ContentType="application/vnd.openxmlformats-officedocument.wordprocessingml.footer+xml"/>
  <Override PartName="/word/header222.xml" ContentType="application/vnd.openxmlformats-officedocument.wordprocessingml.header+xml"/>
  <Override PartName="/word/footer222.xml" ContentType="application/vnd.openxmlformats-officedocument.wordprocessingml.footer+xml"/>
  <Override PartName="/word/header223.xml" ContentType="application/vnd.openxmlformats-officedocument.wordprocessingml.header+xml"/>
  <Override PartName="/word/header224.xml" ContentType="application/vnd.openxmlformats-officedocument.wordprocessingml.header+xml"/>
  <Override PartName="/word/footer223.xml" ContentType="application/vnd.openxmlformats-officedocument.wordprocessingml.footer+xml"/>
  <Override PartName="/word/footer224.xml" ContentType="application/vnd.openxmlformats-officedocument.wordprocessingml.footer+xml"/>
  <Override PartName="/word/header225.xml" ContentType="application/vnd.openxmlformats-officedocument.wordprocessingml.header+xml"/>
  <Override PartName="/word/footer225.xml" ContentType="application/vnd.openxmlformats-officedocument.wordprocessingml.footer+xml"/>
  <Override PartName="/word/header226.xml" ContentType="application/vnd.openxmlformats-officedocument.wordprocessingml.header+xml"/>
  <Override PartName="/word/header227.xml" ContentType="application/vnd.openxmlformats-officedocument.wordprocessingml.header+xml"/>
  <Override PartName="/word/footer226.xml" ContentType="application/vnd.openxmlformats-officedocument.wordprocessingml.footer+xml"/>
  <Override PartName="/word/footer227.xml" ContentType="application/vnd.openxmlformats-officedocument.wordprocessingml.footer+xml"/>
  <Override PartName="/word/header228.xml" ContentType="application/vnd.openxmlformats-officedocument.wordprocessingml.header+xml"/>
  <Override PartName="/word/footer228.xml" ContentType="application/vnd.openxmlformats-officedocument.wordprocessingml.footer+xml"/>
  <Override PartName="/word/header229.xml" ContentType="application/vnd.openxmlformats-officedocument.wordprocessingml.header+xml"/>
  <Override PartName="/word/header230.xml" ContentType="application/vnd.openxmlformats-officedocument.wordprocessingml.header+xml"/>
  <Override PartName="/word/footer229.xml" ContentType="application/vnd.openxmlformats-officedocument.wordprocessingml.footer+xml"/>
  <Override PartName="/word/footer230.xml" ContentType="application/vnd.openxmlformats-officedocument.wordprocessingml.footer+xml"/>
  <Override PartName="/word/header231.xml" ContentType="application/vnd.openxmlformats-officedocument.wordprocessingml.header+xml"/>
  <Override PartName="/word/footer231.xml" ContentType="application/vnd.openxmlformats-officedocument.wordprocessingml.footer+xml"/>
  <Override PartName="/word/header232.xml" ContentType="application/vnd.openxmlformats-officedocument.wordprocessingml.header+xml"/>
  <Override PartName="/word/header233.xml" ContentType="application/vnd.openxmlformats-officedocument.wordprocessingml.header+xml"/>
  <Override PartName="/word/footer232.xml" ContentType="application/vnd.openxmlformats-officedocument.wordprocessingml.footer+xml"/>
  <Override PartName="/word/footer233.xml" ContentType="application/vnd.openxmlformats-officedocument.wordprocessingml.footer+xml"/>
  <Override PartName="/word/header234.xml" ContentType="application/vnd.openxmlformats-officedocument.wordprocessingml.header+xml"/>
  <Override PartName="/word/footer234.xml" ContentType="application/vnd.openxmlformats-officedocument.wordprocessingml.footer+xml"/>
  <Override PartName="/word/header235.xml" ContentType="application/vnd.openxmlformats-officedocument.wordprocessingml.header+xml"/>
  <Override PartName="/word/header236.xml" ContentType="application/vnd.openxmlformats-officedocument.wordprocessingml.header+xml"/>
  <Override PartName="/word/footer235.xml" ContentType="application/vnd.openxmlformats-officedocument.wordprocessingml.footer+xml"/>
  <Override PartName="/word/footer236.xml" ContentType="application/vnd.openxmlformats-officedocument.wordprocessingml.footer+xml"/>
  <Override PartName="/word/header237.xml" ContentType="application/vnd.openxmlformats-officedocument.wordprocessingml.header+xml"/>
  <Override PartName="/word/footer237.xml" ContentType="application/vnd.openxmlformats-officedocument.wordprocessingml.footer+xml"/>
  <Override PartName="/word/header238.xml" ContentType="application/vnd.openxmlformats-officedocument.wordprocessingml.header+xml"/>
  <Override PartName="/word/header239.xml" ContentType="application/vnd.openxmlformats-officedocument.wordprocessingml.header+xml"/>
  <Override PartName="/word/footer238.xml" ContentType="application/vnd.openxmlformats-officedocument.wordprocessingml.footer+xml"/>
  <Override PartName="/word/footer239.xml" ContentType="application/vnd.openxmlformats-officedocument.wordprocessingml.footer+xml"/>
  <Override PartName="/word/header240.xml" ContentType="application/vnd.openxmlformats-officedocument.wordprocessingml.header+xml"/>
  <Override PartName="/word/footer240.xml" ContentType="application/vnd.openxmlformats-officedocument.wordprocessingml.footer+xml"/>
  <Override PartName="/word/header241.xml" ContentType="application/vnd.openxmlformats-officedocument.wordprocessingml.header+xml"/>
  <Override PartName="/word/header242.xml" ContentType="application/vnd.openxmlformats-officedocument.wordprocessingml.header+xml"/>
  <Override PartName="/word/footer241.xml" ContentType="application/vnd.openxmlformats-officedocument.wordprocessingml.footer+xml"/>
  <Override PartName="/word/footer242.xml" ContentType="application/vnd.openxmlformats-officedocument.wordprocessingml.footer+xml"/>
  <Override PartName="/word/header243.xml" ContentType="application/vnd.openxmlformats-officedocument.wordprocessingml.header+xml"/>
  <Override PartName="/word/footer243.xml" ContentType="application/vnd.openxmlformats-officedocument.wordprocessingml.footer+xml"/>
  <Override PartName="/word/header244.xml" ContentType="application/vnd.openxmlformats-officedocument.wordprocessingml.header+xml"/>
  <Override PartName="/word/header245.xml" ContentType="application/vnd.openxmlformats-officedocument.wordprocessingml.header+xml"/>
  <Override PartName="/word/footer244.xml" ContentType="application/vnd.openxmlformats-officedocument.wordprocessingml.footer+xml"/>
  <Override PartName="/word/footer245.xml" ContentType="application/vnd.openxmlformats-officedocument.wordprocessingml.footer+xml"/>
  <Override PartName="/word/header246.xml" ContentType="application/vnd.openxmlformats-officedocument.wordprocessingml.header+xml"/>
  <Override PartName="/word/footer246.xml" ContentType="application/vnd.openxmlformats-officedocument.wordprocessingml.footer+xml"/>
  <Override PartName="/word/header247.xml" ContentType="application/vnd.openxmlformats-officedocument.wordprocessingml.header+xml"/>
  <Override PartName="/word/header248.xml" ContentType="application/vnd.openxmlformats-officedocument.wordprocessingml.header+xml"/>
  <Override PartName="/word/footer247.xml" ContentType="application/vnd.openxmlformats-officedocument.wordprocessingml.footer+xml"/>
  <Override PartName="/word/footer248.xml" ContentType="application/vnd.openxmlformats-officedocument.wordprocessingml.footer+xml"/>
  <Override PartName="/word/header249.xml" ContentType="application/vnd.openxmlformats-officedocument.wordprocessingml.header+xml"/>
  <Override PartName="/word/footer249.xml" ContentType="application/vnd.openxmlformats-officedocument.wordprocessingml.footer+xml"/>
  <Override PartName="/word/header250.xml" ContentType="application/vnd.openxmlformats-officedocument.wordprocessingml.header+xml"/>
  <Override PartName="/word/header251.xml" ContentType="application/vnd.openxmlformats-officedocument.wordprocessingml.header+xml"/>
  <Override PartName="/word/footer250.xml" ContentType="application/vnd.openxmlformats-officedocument.wordprocessingml.footer+xml"/>
  <Override PartName="/word/footer251.xml" ContentType="application/vnd.openxmlformats-officedocument.wordprocessingml.footer+xml"/>
  <Override PartName="/word/header252.xml" ContentType="application/vnd.openxmlformats-officedocument.wordprocessingml.header+xml"/>
  <Override PartName="/word/footer252.xml" ContentType="application/vnd.openxmlformats-officedocument.wordprocessingml.footer+xml"/>
  <Override PartName="/word/header253.xml" ContentType="application/vnd.openxmlformats-officedocument.wordprocessingml.header+xml"/>
  <Override PartName="/word/header254.xml" ContentType="application/vnd.openxmlformats-officedocument.wordprocessingml.header+xml"/>
  <Override PartName="/word/footer253.xml" ContentType="application/vnd.openxmlformats-officedocument.wordprocessingml.footer+xml"/>
  <Override PartName="/word/footer254.xml" ContentType="application/vnd.openxmlformats-officedocument.wordprocessingml.footer+xml"/>
  <Override PartName="/word/header255.xml" ContentType="application/vnd.openxmlformats-officedocument.wordprocessingml.header+xml"/>
  <Override PartName="/word/footer255.xml" ContentType="application/vnd.openxmlformats-officedocument.wordprocessingml.footer+xml"/>
  <Override PartName="/word/header256.xml" ContentType="application/vnd.openxmlformats-officedocument.wordprocessingml.header+xml"/>
  <Override PartName="/word/header257.xml" ContentType="application/vnd.openxmlformats-officedocument.wordprocessingml.header+xml"/>
  <Override PartName="/word/footer256.xml" ContentType="application/vnd.openxmlformats-officedocument.wordprocessingml.footer+xml"/>
  <Override PartName="/word/footer257.xml" ContentType="application/vnd.openxmlformats-officedocument.wordprocessingml.footer+xml"/>
  <Override PartName="/word/header258.xml" ContentType="application/vnd.openxmlformats-officedocument.wordprocessingml.header+xml"/>
  <Override PartName="/word/footer258.xml" ContentType="application/vnd.openxmlformats-officedocument.wordprocessingml.footer+xml"/>
  <Override PartName="/word/header259.xml" ContentType="application/vnd.openxmlformats-officedocument.wordprocessingml.header+xml"/>
  <Override PartName="/word/header260.xml" ContentType="application/vnd.openxmlformats-officedocument.wordprocessingml.header+xml"/>
  <Override PartName="/word/footer259.xml" ContentType="application/vnd.openxmlformats-officedocument.wordprocessingml.footer+xml"/>
  <Override PartName="/word/footer260.xml" ContentType="application/vnd.openxmlformats-officedocument.wordprocessingml.footer+xml"/>
  <Override PartName="/word/header261.xml" ContentType="application/vnd.openxmlformats-officedocument.wordprocessingml.header+xml"/>
  <Override PartName="/word/footer26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139F8" w14:textId="6E4C5683" w:rsidR="00615E2D" w:rsidRDefault="009978F5" w:rsidP="009978F5">
      <w:pPr>
        <w:pStyle w:val="Pagedecouverture"/>
        <w:rPr>
          <w:noProof/>
        </w:rPr>
      </w:pPr>
      <w:bookmarkStart w:id="0" w:name="LW_BM_COVERPAGE"/>
      <w:r>
        <w:rPr>
          <w:noProof/>
        </w:rPr>
        <w:pict w14:anchorId="13FE1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255F05CA-F977-4484-8804-BFE47A4DDDC2" style="width:455.25pt;height:438.75pt">
            <v:imagedata r:id="rId11" o:title=""/>
          </v:shape>
        </w:pict>
      </w:r>
    </w:p>
    <w:bookmarkEnd w:id="0"/>
    <w:p w14:paraId="20DA94ED" w14:textId="77777777" w:rsidR="00615E2D" w:rsidRDefault="00615E2D">
      <w:pPr>
        <w:rPr>
          <w:noProof/>
        </w:rPr>
        <w:sectPr w:rsidR="00615E2D" w:rsidSect="009978F5">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14:paraId="13AE0CE6" w14:textId="6A7F70DB" w:rsidR="00615E2D" w:rsidRDefault="00C83E46">
      <w:pPr>
        <w:pStyle w:val="P68B1DB1-Normal1"/>
        <w:keepNext/>
        <w:tabs>
          <w:tab w:val="left" w:pos="850"/>
        </w:tabs>
        <w:spacing w:line="240" w:lineRule="auto"/>
        <w:jc w:val="center"/>
        <w:outlineLvl w:val="0"/>
        <w:rPr>
          <w:noProof/>
        </w:rPr>
      </w:pPr>
      <w:bookmarkStart w:id="1" w:name="_GoBack"/>
      <w:bookmarkEnd w:id="1"/>
      <w:r>
        <w:rPr>
          <w:noProof/>
        </w:rPr>
        <w:lastRenderedPageBreak/>
        <w:t>PRILOG</w:t>
      </w:r>
    </w:p>
    <w:p w14:paraId="6D71E079" w14:textId="77777777" w:rsidR="00615E2D" w:rsidRDefault="00615E2D">
      <w:pPr>
        <w:keepNext/>
        <w:tabs>
          <w:tab w:val="left" w:pos="850"/>
        </w:tabs>
        <w:spacing w:line="240" w:lineRule="auto"/>
        <w:jc w:val="center"/>
        <w:outlineLvl w:val="0"/>
        <w:rPr>
          <w:b/>
          <w:smallCaps/>
          <w:noProof/>
        </w:rPr>
      </w:pPr>
    </w:p>
    <w:p w14:paraId="63BFEABC" w14:textId="4548C4AD" w:rsidR="00615E2D" w:rsidRDefault="00C83E46">
      <w:pPr>
        <w:pStyle w:val="P68B1DB1-Normal2"/>
        <w:keepNext/>
        <w:tabs>
          <w:tab w:val="left" w:pos="850"/>
        </w:tabs>
        <w:spacing w:line="240" w:lineRule="auto"/>
        <w:jc w:val="both"/>
        <w:outlineLvl w:val="0"/>
        <w:rPr>
          <w:noProof/>
          <w:color w:val="4F81BD"/>
        </w:rPr>
      </w:pPr>
      <w:r>
        <w:rPr>
          <w:noProof/>
        </w:rPr>
        <w:t>A. SASTAVNI DIO 1.1.: Digitalne usluge za građane i poduzeća</w:t>
      </w:r>
    </w:p>
    <w:p w14:paraId="549D2488" w14:textId="2D4E24BB" w:rsidR="00615E2D" w:rsidRDefault="00C83E46">
      <w:pPr>
        <w:spacing w:line="240" w:lineRule="auto"/>
        <w:jc w:val="both"/>
        <w:rPr>
          <w:noProof/>
        </w:rPr>
      </w:pPr>
      <w:r>
        <w:rPr>
          <w:noProof/>
        </w:rPr>
        <w:t>Ovom komponentom češkog plana podupire se rješavanje problema početnog pružanja digitalnih javnih usluga povećanjem broja i prilagođenosti korisnicima digitalnih javnih usluga koje se pružaju građanima i poduzećima te osiguravanjem dosljednog i visokokvalitetnog upravljanja podacima u javnoj upravi. Prema rezultatima indeksa gospodarske i društvene digitalizacije (DESI 2020.) Češka ima ispodprosječnu razinu pružanja digitalnih javnih usluga građanima i poduzećima.</w:t>
      </w:r>
    </w:p>
    <w:p w14:paraId="2B8F6760" w14:textId="77777777" w:rsidR="00615E2D" w:rsidRDefault="00C83E46">
      <w:pPr>
        <w:pStyle w:val="P68B1DB1-Normal3"/>
        <w:spacing w:line="240" w:lineRule="auto"/>
        <w:jc w:val="both"/>
        <w:rPr>
          <w:noProof/>
        </w:rPr>
      </w:pPr>
      <w:r>
        <w:rPr>
          <w:noProof/>
        </w:rPr>
        <w:t>Cilj je ove komponente stvoriti portale usmjerene na klijente (građanke, pravosuđe, poduzetnike, zdravstvenu skrb) i promicati olakšavanje razmjene podataka i upravljanja podacima unutar uprave kako bi se uskladili s načelom „samo jednom”.</w:t>
      </w:r>
    </w:p>
    <w:p w14:paraId="377D8BEB" w14:textId="77777777" w:rsidR="00615E2D" w:rsidRDefault="00C83E46">
      <w:pPr>
        <w:pStyle w:val="P68B1DB1-Normal3"/>
        <w:spacing w:line="240" w:lineRule="auto"/>
        <w:jc w:val="both"/>
        <w:rPr>
          <w:noProof/>
        </w:rPr>
      </w:pPr>
      <w:r>
        <w:rPr>
          <w:noProof/>
        </w:rPr>
        <w:t>Provedbom reformi u okviru ove komponente osiguravaju se uvjeti za dobro upravljanje bazama podataka i kontrolirani pristup podacima. Olakšavaju i pružanje rješenja e-zdravstva, uključujući razvoj portala e-zdravstva, povećanu međusobnu povezanost i interoperabilnost pružatelja zdravstvene zaštite te središnju evidenciju, telemedicinu i sekundarnu uporabu zdravstvenih podataka.</w:t>
      </w:r>
    </w:p>
    <w:p w14:paraId="666D7921" w14:textId="59A19DB5" w:rsidR="00615E2D" w:rsidRDefault="00C83E46">
      <w:pPr>
        <w:pStyle w:val="P68B1DB1-Normal3"/>
        <w:spacing w:line="256" w:lineRule="auto"/>
        <w:jc w:val="both"/>
        <w:rPr>
          <w:noProof/>
        </w:rPr>
      </w:pPr>
      <w:r>
        <w:rPr>
          <w:noProof/>
        </w:rPr>
        <w:t>Cilj je ulaganja provedba 22 projekta za poboljšanje usluga e-uprave koje se pružaju krajnjim korisnicima i pet projekata kojima se povećava pristup otvorenim podacima u javnoj upravi. Komponentom će se povećati i digitalizacija pravosudnog sustava opremanjem sudova objektima za audiovizualno snimanje i produkciju podataka te stvaranjem portala Pravosuđe na kojem će se zainteresiranim stranama omogućiti jednostavan pristup i digitalne usluge.</w:t>
      </w:r>
    </w:p>
    <w:p w14:paraId="10CCE120" w14:textId="77777777" w:rsidR="00615E2D" w:rsidRDefault="00C83E46">
      <w:pPr>
        <w:spacing w:line="240" w:lineRule="auto"/>
        <w:jc w:val="both"/>
        <w:rPr>
          <w:noProof/>
        </w:rPr>
      </w:pPr>
      <w:r>
        <w:rPr>
          <w:rFonts w:eastAsia="Times New Roman"/>
          <w:noProof/>
          <w:color w:val="000000"/>
        </w:rPr>
        <w:t xml:space="preserve">Komponentom se </w:t>
      </w:r>
      <w:r>
        <w:rPr>
          <w:rFonts w:eastAsia="Times New Roman"/>
          <w:noProof/>
        </w:rPr>
        <w:t xml:space="preserve">podupire odgovor </w:t>
      </w:r>
      <w:r>
        <w:rPr>
          <w:noProof/>
        </w:rPr>
        <w:t xml:space="preserve">na preporuku za pojedinu zemlju br. 3 </w:t>
      </w:r>
      <w:r>
        <w:rPr>
          <w:rFonts w:eastAsia="Times New Roman"/>
          <w:noProof/>
        </w:rPr>
        <w:t>2019., u skladu s kojom će Češka</w:t>
      </w:r>
      <w:r>
        <w:rPr>
          <w:noProof/>
        </w:rPr>
        <w:t xml:space="preserve"> usmjeriti investicijsku politiku na digitalnu infrastrukturu, preporuku za pojedinu zemlju br. 1 2020., u</w:t>
      </w:r>
      <w:r>
        <w:rPr>
          <w:rFonts w:eastAsia="Times New Roman"/>
          <w:noProof/>
          <w:color w:val="000000"/>
        </w:rPr>
        <w:t xml:space="preserve">skladu s kojom će Češka pojačati </w:t>
      </w:r>
      <w:r>
        <w:rPr>
          <w:i/>
          <w:noProof/>
          <w:color w:val="000000"/>
        </w:rPr>
        <w:t xml:space="preserve">uvođenje usluga e-zdravstva, i preporuku za pojedinu zemlju </w:t>
      </w:r>
      <w:r>
        <w:rPr>
          <w:noProof/>
        </w:rPr>
        <w:t xml:space="preserve">br. 3 2020., u </w:t>
      </w:r>
      <w:r>
        <w:rPr>
          <w:rFonts w:eastAsia="Times New Roman"/>
          <w:noProof/>
          <w:color w:val="000000"/>
        </w:rPr>
        <w:t>skladu s kojom će Češka podupirati</w:t>
      </w:r>
      <w:r>
        <w:rPr>
          <w:i/>
          <w:noProof/>
          <w:color w:val="000000"/>
        </w:rPr>
        <w:t xml:space="preserve"> </w:t>
      </w:r>
      <w:r>
        <w:rPr>
          <w:noProof/>
        </w:rPr>
        <w:t>mala i srednja poduzeća smanjenjem administrativnog opterećenja i usmjeriti ulaganja na digitalnu tranziciju.</w:t>
      </w:r>
    </w:p>
    <w:p w14:paraId="28827071" w14:textId="168C91CE" w:rsidR="00615E2D" w:rsidRDefault="00C83E46">
      <w:pPr>
        <w:pStyle w:val="P68B1DB1-Normal4"/>
        <w:spacing w:line="276" w:lineRule="auto"/>
        <w:jc w:val="both"/>
        <w:rPr>
          <w:noProof/>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0D09A723" w14:textId="77777777" w:rsidR="00615E2D" w:rsidRDefault="00C83E46">
      <w:pPr>
        <w:pStyle w:val="P68B1DB1-Normal5"/>
        <w:spacing w:line="240" w:lineRule="auto"/>
        <w:jc w:val="both"/>
        <w:rPr>
          <w:noProof/>
        </w:rPr>
      </w:pPr>
      <w:r>
        <w:rPr>
          <w:noProof/>
        </w:rPr>
        <w:t>A.1. Opis reformi i ulaganja za programe bespovratne financijske potpore</w:t>
      </w:r>
    </w:p>
    <w:p w14:paraId="465D9FD0" w14:textId="77777777" w:rsidR="00615E2D" w:rsidRDefault="00C83E46">
      <w:pPr>
        <w:pStyle w:val="P68B1DB1-Normal7"/>
        <w:spacing w:line="240" w:lineRule="auto"/>
        <w:rPr>
          <w:noProof/>
        </w:rPr>
      </w:pPr>
      <w:r>
        <w:rPr>
          <w:noProof/>
        </w:rPr>
        <w:t>Reforma 1.: Uvjeti za upravljanje kvalitetnim skupom podataka i osiguravanje kontroliranog pristupa podacima</w:t>
      </w:r>
    </w:p>
    <w:p w14:paraId="10C8CDF3" w14:textId="1275166E" w:rsidR="00615E2D" w:rsidRDefault="00C83E46">
      <w:pPr>
        <w:spacing w:line="240" w:lineRule="auto"/>
        <w:jc w:val="both"/>
        <w:rPr>
          <w:noProof/>
        </w:rPr>
      </w:pPr>
      <w:r>
        <w:rPr>
          <w:noProof/>
        </w:rPr>
        <w:t>Reformom se nastoji uspostaviti sveobuhvatan zakonodavni, normizacijski i organizacijski okvir za visokokvalitetno upravljanje podacima i upravljanje podacima javne uprave. Reforma će dovesti do stvaranja metodologija za razmjenu podataka („upravljani pristup”) kako bi se drugim dijelovima javne uprave, kao i kvalificiranim trećim subjektima, omogućio pristup podacima koji nisu javni u skladu s načelima FAIR (vidljivost, dostupnost, interoperabilnost i ponovna upotrebljivost).</w:t>
      </w:r>
    </w:p>
    <w:p w14:paraId="02919F86" w14:textId="2390F861" w:rsidR="00615E2D" w:rsidRDefault="00C83E46">
      <w:pPr>
        <w:tabs>
          <w:tab w:val="right" w:pos="9639"/>
        </w:tabs>
        <w:spacing w:line="240" w:lineRule="auto"/>
        <w:jc w:val="both"/>
        <w:rPr>
          <w:noProof/>
          <w:color w:val="000000"/>
        </w:rPr>
      </w:pPr>
      <w:r>
        <w:rPr>
          <w:noProof/>
        </w:rPr>
        <w:t>Provedba ove mjere mora biti dovršena do 31. prosinca 2025.</w:t>
      </w:r>
    </w:p>
    <w:p w14:paraId="27A18CA8" w14:textId="77777777" w:rsidR="00615E2D" w:rsidRDefault="00C83E46">
      <w:pPr>
        <w:pStyle w:val="P68B1DB1-Normal7"/>
        <w:spacing w:line="240" w:lineRule="auto"/>
        <w:jc w:val="both"/>
        <w:rPr>
          <w:noProof/>
        </w:rPr>
      </w:pPr>
      <w:r>
        <w:rPr>
          <w:noProof/>
        </w:rPr>
        <w:t>Reforma br. 2: usluge e-zdravstva</w:t>
      </w:r>
    </w:p>
    <w:p w14:paraId="7B9DCC9E" w14:textId="77777777" w:rsidR="00615E2D" w:rsidRDefault="00C83E46">
      <w:pPr>
        <w:spacing w:line="240" w:lineRule="auto"/>
        <w:jc w:val="both"/>
        <w:rPr>
          <w:noProof/>
        </w:rPr>
      </w:pPr>
      <w:r>
        <w:rPr>
          <w:noProof/>
        </w:rPr>
        <w:t>Tom će se reformom povećati digitalizacija zdravstvenog sektora provedbom sljedećih aktivnosti:</w:t>
      </w:r>
    </w:p>
    <w:p w14:paraId="6FBFB418" w14:textId="77777777" w:rsidR="00615E2D" w:rsidRDefault="00C83E46">
      <w:pPr>
        <w:numPr>
          <w:ilvl w:val="0"/>
          <w:numId w:val="194"/>
        </w:numPr>
        <w:spacing w:line="240" w:lineRule="auto"/>
        <w:ind w:left="360"/>
        <w:jc w:val="both"/>
        <w:rPr>
          <w:noProof/>
        </w:rPr>
      </w:pPr>
      <w:r>
        <w:rPr>
          <w:noProof/>
        </w:rPr>
        <w:t>definiranje standarda interoperabilnosti u skladu s Europskim okvirom interoperabilnosti za e-zdravstvo i definiranjem pravila kojima se uređuje telemedicina;</w:t>
      </w:r>
    </w:p>
    <w:p w14:paraId="286CEFBC" w14:textId="6C0C3588" w:rsidR="00615E2D" w:rsidRDefault="00C83E46">
      <w:pPr>
        <w:numPr>
          <w:ilvl w:val="0"/>
          <w:numId w:val="194"/>
        </w:numPr>
        <w:spacing w:line="240" w:lineRule="auto"/>
        <w:ind w:left="360"/>
        <w:jc w:val="both"/>
        <w:rPr>
          <w:noProof/>
        </w:rPr>
      </w:pPr>
      <w:r>
        <w:rPr>
          <w:noProof/>
        </w:rPr>
        <w:t>izrada kataloga usluga, uključujući sljedeće nove usluge e-zdravstva: (i)Službeni list o aktivnostima; ii. Katalog digitalnih usluga; (III)Referentni registar zdravstvenih djelatnika; iv. Referentni registar pacijenata; (v) usluge identifikacije/autentikacije za pacijente i zdravstvene djelatnike; (VI) Usluge informiranja pacijenata; (VII)Referentni registar pružatelja zdravstvenih usluga;</w:t>
      </w:r>
    </w:p>
    <w:p w14:paraId="09CF714A" w14:textId="747FB85A" w:rsidR="00615E2D" w:rsidRDefault="00C83E46">
      <w:pPr>
        <w:numPr>
          <w:ilvl w:val="0"/>
          <w:numId w:val="194"/>
        </w:numPr>
        <w:spacing w:line="240" w:lineRule="auto"/>
        <w:ind w:left="360"/>
        <w:jc w:val="both"/>
        <w:rPr>
          <w:noProof/>
        </w:rPr>
      </w:pPr>
      <w:r>
        <w:rPr>
          <w:noProof/>
        </w:rPr>
        <w:t xml:space="preserve">povezivanje </w:t>
      </w:r>
      <w:r>
        <w:rPr>
          <w:rFonts w:eastAsia="Times New Roman"/>
          <w:noProof/>
        </w:rPr>
        <w:t>pružatelja zdravstvene zaštite sa sustavom interoperabilnosti u skladu s pravilima interoperabilnosti za usluge e-zdravstva;</w:t>
      </w:r>
    </w:p>
    <w:p w14:paraId="222C6424" w14:textId="3BF7CA89" w:rsidR="00615E2D" w:rsidRDefault="00C83E46">
      <w:pPr>
        <w:numPr>
          <w:ilvl w:val="0"/>
          <w:numId w:val="194"/>
        </w:numPr>
        <w:spacing w:line="240" w:lineRule="auto"/>
        <w:ind w:left="360"/>
        <w:jc w:val="both"/>
        <w:rPr>
          <w:noProof/>
        </w:rPr>
      </w:pPr>
      <w:r>
        <w:rPr>
          <w:noProof/>
        </w:rPr>
        <w:t>povećati broj usluga telemedicine dostupnih pacijentima.</w:t>
      </w:r>
    </w:p>
    <w:p w14:paraId="234FBE5F" w14:textId="77777777" w:rsidR="00615E2D" w:rsidRDefault="00C83E46">
      <w:pPr>
        <w:spacing w:line="240" w:lineRule="auto"/>
        <w:jc w:val="both"/>
        <w:rPr>
          <w:noProof/>
        </w:rPr>
      </w:pPr>
      <w:r>
        <w:rPr>
          <w:noProof/>
        </w:rPr>
        <w:t>Reforma mora biti dovršena do 31. prosinca 2025.</w:t>
      </w:r>
    </w:p>
    <w:p w14:paraId="45471741" w14:textId="49C3F0FD" w:rsidR="00615E2D" w:rsidRDefault="00C83E46">
      <w:pPr>
        <w:pStyle w:val="P68B1DB1-Normal7"/>
        <w:spacing w:line="240" w:lineRule="auto"/>
        <w:jc w:val="both"/>
        <w:rPr>
          <w:noProof/>
        </w:rPr>
      </w:pPr>
      <w:r>
        <w:rPr>
          <w:noProof/>
        </w:rPr>
        <w:t>Ulaganje 1: Digitalne usluge za krajnje korisnike</w:t>
      </w:r>
    </w:p>
    <w:p w14:paraId="53540329" w14:textId="1723B237" w:rsidR="00615E2D" w:rsidRDefault="00C83E46">
      <w:pPr>
        <w:spacing w:line="240" w:lineRule="auto"/>
        <w:jc w:val="both"/>
        <w:rPr>
          <w:noProof/>
        </w:rPr>
      </w:pPr>
      <w:r>
        <w:rPr>
          <w:noProof/>
        </w:rPr>
        <w:t>Ulaganjem se provode međusobno povezani projekti kako bi se povećao broj usluga e-uprave dostupnih na portalima za građane i poduzetnike te broj unaprijed ispunjenih obrazaca na temelju informacija pohranjenih u informacijskom sustavu javne uprave. Cilj je ulaganja građanima i poduzećima pojednostavniti pristup digitalnim javnim uslugama putem jedinstvene platforme udruženih portala i povezivanju informacijskih sustava. Kao rezultat toga, veći broj digitalnih usluga postaje dostupan krajnjim korisnicima putem jedinstvene platforme za prijavu te se povećava broj unaprijed ispunjenih obrazaca i elektroničkog podnošenja javnoj upravi.</w:t>
      </w:r>
    </w:p>
    <w:p w14:paraId="590A20F9" w14:textId="77777777" w:rsidR="00615E2D" w:rsidRDefault="00C83E46">
      <w:pPr>
        <w:spacing w:line="240" w:lineRule="auto"/>
        <w:jc w:val="both"/>
        <w:rPr>
          <w:noProof/>
        </w:rPr>
      </w:pPr>
      <w:r>
        <w:rPr>
          <w:noProof/>
        </w:rPr>
        <w:t>To ulaganje mora biti dovršeno do 31. ožujka 2026.</w:t>
      </w:r>
    </w:p>
    <w:p w14:paraId="749FCB91" w14:textId="77777777" w:rsidR="00615E2D" w:rsidRDefault="00C83E46">
      <w:pPr>
        <w:pStyle w:val="P68B1DB1-Normal7"/>
        <w:spacing w:line="240" w:lineRule="auto"/>
        <w:jc w:val="both"/>
        <w:rPr>
          <w:noProof/>
        </w:rPr>
      </w:pPr>
      <w:r>
        <w:rPr>
          <w:noProof/>
        </w:rPr>
        <w:t>Ulaganje 2: Razvoj otvorenih podataka i fonda za javne podatke</w:t>
      </w:r>
    </w:p>
    <w:p w14:paraId="31517515" w14:textId="7764F190" w:rsidR="00615E2D" w:rsidRDefault="00C83E46">
      <w:pPr>
        <w:spacing w:line="240" w:lineRule="auto"/>
        <w:jc w:val="both"/>
        <w:rPr>
          <w:noProof/>
        </w:rPr>
      </w:pPr>
      <w:r>
        <w:rPr>
          <w:noProof/>
        </w:rPr>
        <w:t>Ulaganjima se financiraju projekti usmjereni na poboljšanje kvalitete nacionalnog kataloga otvorenih podataka: objavljivanje popisa kodova koji se upotrebljavaju u javnoj upravi u javnim bazama podataka, razvoj nacionalnog kataloga otvorenih podataka i poboljšanje alata za povećanje broja proizvođača otvorenih podataka u javnoj upravi koji objavljuju otvorene podatke u nacionalnom katalogu otvorenih podataka.</w:t>
      </w:r>
    </w:p>
    <w:p w14:paraId="1D0586C4" w14:textId="77777777" w:rsidR="00615E2D" w:rsidRDefault="00C83E46">
      <w:pPr>
        <w:spacing w:line="240" w:lineRule="auto"/>
        <w:jc w:val="both"/>
        <w:rPr>
          <w:noProof/>
        </w:rPr>
      </w:pPr>
      <w:r>
        <w:rPr>
          <w:noProof/>
        </w:rPr>
        <w:t>To se ulaganje provodi do 31. prosinca 2024.</w:t>
      </w:r>
    </w:p>
    <w:p w14:paraId="5E09EEBC" w14:textId="3989AEE8" w:rsidR="00615E2D" w:rsidRDefault="00C83E46">
      <w:pPr>
        <w:pStyle w:val="P68B1DB1-Normal7"/>
        <w:spacing w:line="240" w:lineRule="auto"/>
        <w:jc w:val="both"/>
        <w:rPr>
          <w:noProof/>
        </w:rPr>
      </w:pPr>
      <w:r>
        <w:rPr>
          <w:noProof/>
        </w:rPr>
        <w:t>Ulaganje 3: Digitalne usluge za pravosuđe</w:t>
      </w:r>
    </w:p>
    <w:p w14:paraId="0FA1C1E9" w14:textId="77777777" w:rsidR="00615E2D" w:rsidRDefault="00C83E46">
      <w:pPr>
        <w:spacing w:line="240" w:lineRule="auto"/>
        <w:jc w:val="both"/>
        <w:rPr>
          <w:noProof/>
        </w:rPr>
      </w:pPr>
      <w:r>
        <w:rPr>
          <w:noProof/>
        </w:rPr>
        <w:t>Cilj je ulaganja povećati transparentnost nacionalnog pravosudnog sustava stvaranjem portala e-pravosuđa koji ispunjava kibersigurnosne zahtjeve i pruža internetske usluge i pristup informacijama krajnjim korisnicima. Portal je povezan s Portalom za građane. Nadalje, transparentnost i učinkovitost dodatno će se povećati digitalizacijom zapisnika sa sudskih rasprava i opremanjem prostorija za sudske rasprave audiovizualnim uređajima za snimanje podataka.</w:t>
      </w:r>
    </w:p>
    <w:p w14:paraId="79617156" w14:textId="4075B04A" w:rsidR="00615E2D" w:rsidRDefault="00C83E46">
      <w:pPr>
        <w:pBdr>
          <w:top w:val="nil"/>
          <w:left w:val="nil"/>
          <w:bottom w:val="nil"/>
          <w:right w:val="nil"/>
          <w:between w:val="nil"/>
        </w:pBdr>
        <w:spacing w:line="240" w:lineRule="auto"/>
        <w:rPr>
          <w:b/>
          <w:noProof/>
        </w:rPr>
      </w:pPr>
      <w:r>
        <w:rPr>
          <w:noProof/>
        </w:rPr>
        <w:t>To se ulaganje provodi do 31. prosinca 2023.</w:t>
      </w:r>
    </w:p>
    <w:p w14:paraId="0932BF32" w14:textId="6194AA14" w:rsidR="00615E2D" w:rsidRDefault="00615E2D">
      <w:pPr>
        <w:pBdr>
          <w:top w:val="nil"/>
          <w:left w:val="nil"/>
          <w:bottom w:val="nil"/>
          <w:right w:val="nil"/>
          <w:between w:val="nil"/>
        </w:pBdr>
        <w:spacing w:line="240" w:lineRule="auto"/>
        <w:rPr>
          <w:b/>
          <w:noProof/>
        </w:rPr>
        <w:sectPr w:rsidR="00615E2D" w:rsidSect="00803EC1">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pgNumType w:start="1"/>
          <w:cols w:space="720"/>
          <w:docGrid w:linePitch="360"/>
        </w:sectPr>
      </w:pPr>
    </w:p>
    <w:p w14:paraId="3F306221" w14:textId="7DF8D002" w:rsidR="00615E2D" w:rsidRDefault="00C83E46">
      <w:pPr>
        <w:pStyle w:val="P68B1DB1-Normal8"/>
        <w:pBdr>
          <w:top w:val="nil"/>
          <w:left w:val="nil"/>
          <w:bottom w:val="nil"/>
          <w:right w:val="nil"/>
          <w:between w:val="nil"/>
        </w:pBdr>
        <w:tabs>
          <w:tab w:val="left" w:pos="993"/>
        </w:tabs>
        <w:spacing w:line="240" w:lineRule="auto"/>
        <w:rPr>
          <w:rFonts w:ascii="Calibri" w:hAnsi="Calibri"/>
          <w:noProof/>
          <w:sz w:val="22"/>
        </w:rPr>
      </w:pPr>
      <w:r>
        <w:rPr>
          <w:noProof/>
        </w:rPr>
        <w:t xml:space="preserve">A.2. Ključne etape, ciljne vrijednosti i vremenski raspored za praćenje i provedbu programa bespovratne financijske potpore </w:t>
      </w:r>
    </w:p>
    <w:tbl>
      <w:tblPr>
        <w:tblW w:w="1456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38"/>
        <w:gridCol w:w="1198"/>
        <w:gridCol w:w="996"/>
        <w:gridCol w:w="1689"/>
        <w:gridCol w:w="1099"/>
        <w:gridCol w:w="996"/>
        <w:gridCol w:w="996"/>
        <w:gridCol w:w="996"/>
        <w:gridCol w:w="996"/>
        <w:gridCol w:w="996"/>
        <w:gridCol w:w="3964"/>
      </w:tblGrid>
      <w:tr w:rsidR="00615E2D" w14:paraId="31249A5F" w14:textId="77777777">
        <w:trPr>
          <w:trHeight w:val="331"/>
          <w:tblHeader/>
          <w:jc w:val="center"/>
        </w:trPr>
        <w:tc>
          <w:tcPr>
            <w:tcW w:w="681"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3E317124" w14:textId="77777777" w:rsidR="00615E2D" w:rsidRDefault="00C83E46">
            <w:pPr>
              <w:pStyle w:val="P68B1DB1-Normal9"/>
              <w:spacing w:line="240" w:lineRule="auto"/>
              <w:jc w:val="center"/>
              <w:rPr>
                <w:noProof/>
              </w:rPr>
            </w:pPr>
            <w:r>
              <w:rPr>
                <w:noProof/>
              </w:rPr>
              <w:t>Sljedeće NUM.</w:t>
            </w:r>
          </w:p>
        </w:tc>
        <w:tc>
          <w:tcPr>
            <w:tcW w:w="1300"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09CE542A" w14:textId="77777777" w:rsidR="00615E2D" w:rsidRDefault="00C83E46">
            <w:pPr>
              <w:pStyle w:val="P68B1DB1-Normal9"/>
              <w:spacing w:line="240" w:lineRule="auto"/>
              <w:jc w:val="center"/>
              <w:rPr>
                <w:noProof/>
              </w:rPr>
            </w:pPr>
            <w:r>
              <w:rPr>
                <w:noProof/>
              </w:rPr>
              <w:t xml:space="preserve">Povezana mjera (reforma ili ulaganje) </w:t>
            </w:r>
          </w:p>
        </w:tc>
        <w:tc>
          <w:tcPr>
            <w:tcW w:w="1077"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4B7F79D1" w14:textId="77777777" w:rsidR="00615E2D" w:rsidRDefault="00C83E46">
            <w:pPr>
              <w:pStyle w:val="P68B1DB1-Normal9"/>
              <w:spacing w:line="240" w:lineRule="auto"/>
              <w:jc w:val="center"/>
              <w:rPr>
                <w:noProof/>
              </w:rPr>
            </w:pPr>
            <w:r>
              <w:rPr>
                <w:noProof/>
              </w:rPr>
              <w:t xml:space="preserve">Ključna etapa/ciljna vrijednost </w:t>
            </w:r>
          </w:p>
        </w:tc>
        <w:tc>
          <w:tcPr>
            <w:tcW w:w="1843"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7471275B" w14:textId="77777777" w:rsidR="00615E2D" w:rsidRDefault="00C83E46">
            <w:pPr>
              <w:pStyle w:val="P68B1DB1-Normal9"/>
              <w:spacing w:line="240" w:lineRule="auto"/>
              <w:jc w:val="center"/>
              <w:rPr>
                <w:noProof/>
              </w:rPr>
            </w:pPr>
            <w:r>
              <w:rPr>
                <w:noProof/>
              </w:rPr>
              <w:t xml:space="preserve">Ime </w:t>
            </w:r>
          </w:p>
        </w:tc>
        <w:tc>
          <w:tcPr>
            <w:tcW w:w="1191"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33FFC57F"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w:t>
            </w:r>
          </w:p>
        </w:tc>
        <w:tc>
          <w:tcPr>
            <w:tcW w:w="107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7648614A"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077" w:type="dxa"/>
            <w:gridSpan w:val="2"/>
            <w:tcBorders>
              <w:top w:val="single" w:sz="8" w:space="0" w:color="000000" w:themeColor="text1"/>
              <w:left w:val="nil"/>
              <w:bottom w:val="single" w:sz="8" w:space="0" w:color="000000" w:themeColor="text1"/>
              <w:right w:val="single" w:sz="8" w:space="0" w:color="000000" w:themeColor="text1"/>
            </w:tcBorders>
            <w:shd w:val="clear" w:color="auto" w:fill="BDD7EE"/>
            <w:vAlign w:val="center"/>
            <w:hideMark/>
          </w:tcPr>
          <w:p w14:paraId="51C95103" w14:textId="77777777" w:rsidR="00615E2D" w:rsidRDefault="00C83E46">
            <w:pPr>
              <w:pStyle w:val="P68B1DB1-Normal9"/>
              <w:spacing w:line="240" w:lineRule="auto"/>
              <w:jc w:val="center"/>
              <w:rPr>
                <w:noProof/>
              </w:rPr>
            </w:pPr>
            <w:r>
              <w:rPr>
                <w:noProof/>
              </w:rPr>
              <w:t xml:space="preserve">Okvirni vremenski okvir za dovršetak </w:t>
            </w:r>
          </w:p>
        </w:tc>
        <w:tc>
          <w:tcPr>
            <w:tcW w:w="4360" w:type="dxa"/>
            <w:vMerge w:val="restart"/>
            <w:tcBorders>
              <w:top w:val="single" w:sz="8" w:space="0" w:color="000000" w:themeColor="text1"/>
              <w:left w:val="nil"/>
              <w:bottom w:val="single" w:sz="4" w:space="0" w:color="000000" w:themeColor="text1"/>
              <w:right w:val="single" w:sz="8" w:space="0" w:color="000000" w:themeColor="text1"/>
            </w:tcBorders>
            <w:shd w:val="clear" w:color="auto" w:fill="BDD7EE"/>
            <w:vAlign w:val="center"/>
            <w:hideMark/>
          </w:tcPr>
          <w:p w14:paraId="3335C71E"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458ED37B" w14:textId="77777777">
        <w:trPr>
          <w:trHeight w:val="416"/>
          <w:tblHeader/>
          <w:jc w:val="center"/>
        </w:trPr>
        <w:tc>
          <w:tcPr>
            <w:tcW w:w="681" w:type="dxa"/>
            <w:vMerge/>
            <w:vAlign w:val="center"/>
            <w:hideMark/>
          </w:tcPr>
          <w:p w14:paraId="64430B7F" w14:textId="77777777" w:rsidR="00615E2D" w:rsidRDefault="00615E2D">
            <w:pPr>
              <w:spacing w:before="0" w:after="0" w:line="240" w:lineRule="auto"/>
              <w:rPr>
                <w:rFonts w:eastAsia="Times New Roman"/>
                <w:noProof/>
                <w:sz w:val="18"/>
              </w:rPr>
            </w:pPr>
          </w:p>
        </w:tc>
        <w:tc>
          <w:tcPr>
            <w:tcW w:w="1300" w:type="dxa"/>
            <w:vMerge/>
            <w:vAlign w:val="center"/>
            <w:hideMark/>
          </w:tcPr>
          <w:p w14:paraId="7B1CF0EF" w14:textId="77777777" w:rsidR="00615E2D" w:rsidRDefault="00615E2D">
            <w:pPr>
              <w:spacing w:before="0" w:after="0" w:line="240" w:lineRule="auto"/>
              <w:rPr>
                <w:rFonts w:eastAsia="Times New Roman"/>
                <w:noProof/>
                <w:sz w:val="18"/>
              </w:rPr>
            </w:pPr>
          </w:p>
        </w:tc>
        <w:tc>
          <w:tcPr>
            <w:tcW w:w="1077" w:type="dxa"/>
            <w:vMerge/>
            <w:vAlign w:val="center"/>
            <w:hideMark/>
          </w:tcPr>
          <w:p w14:paraId="2053ECF3" w14:textId="77777777" w:rsidR="00615E2D" w:rsidRDefault="00615E2D">
            <w:pPr>
              <w:spacing w:before="0" w:after="0" w:line="240" w:lineRule="auto"/>
              <w:rPr>
                <w:rFonts w:eastAsia="Times New Roman"/>
                <w:noProof/>
                <w:sz w:val="18"/>
              </w:rPr>
            </w:pPr>
          </w:p>
        </w:tc>
        <w:tc>
          <w:tcPr>
            <w:tcW w:w="1843" w:type="dxa"/>
            <w:vMerge/>
            <w:vAlign w:val="center"/>
            <w:hideMark/>
          </w:tcPr>
          <w:p w14:paraId="4EB5DDF3" w14:textId="77777777" w:rsidR="00615E2D" w:rsidRDefault="00615E2D">
            <w:pPr>
              <w:spacing w:before="0" w:after="0" w:line="240" w:lineRule="auto"/>
              <w:rPr>
                <w:rFonts w:eastAsia="Times New Roman"/>
                <w:noProof/>
                <w:sz w:val="18"/>
              </w:rPr>
            </w:pPr>
          </w:p>
        </w:tc>
        <w:tc>
          <w:tcPr>
            <w:tcW w:w="1191" w:type="dxa"/>
            <w:vMerge/>
            <w:vAlign w:val="center"/>
            <w:hideMark/>
          </w:tcPr>
          <w:p w14:paraId="32108B8B" w14:textId="77777777" w:rsidR="00615E2D" w:rsidRDefault="00615E2D">
            <w:pPr>
              <w:spacing w:before="0" w:after="0" w:line="240" w:lineRule="auto"/>
              <w:rPr>
                <w:rFonts w:eastAsia="Times New Roman"/>
                <w:noProof/>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3FC62C49" w14:textId="77777777" w:rsidR="00615E2D" w:rsidRDefault="00C83E46">
            <w:pPr>
              <w:pStyle w:val="P68B1DB1-Normal9"/>
              <w:spacing w:line="240" w:lineRule="auto"/>
              <w:jc w:val="center"/>
              <w:rPr>
                <w:noProof/>
              </w:rPr>
            </w:pPr>
            <w:r>
              <w:rPr>
                <w:noProof/>
              </w:rPr>
              <w:t>Jedinica mjere</w:t>
            </w:r>
          </w:p>
        </w:tc>
        <w:tc>
          <w:tcPr>
            <w:tcW w:w="10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309DCFBA" w14:textId="77777777" w:rsidR="00615E2D" w:rsidRDefault="00C83E46">
            <w:pPr>
              <w:pStyle w:val="P68B1DB1-Normal9"/>
              <w:spacing w:line="240" w:lineRule="auto"/>
              <w:jc w:val="center"/>
              <w:rPr>
                <w:noProof/>
              </w:rPr>
            </w:pPr>
            <w:r>
              <w:rPr>
                <w:noProof/>
              </w:rPr>
              <w:t>Osnovna vrijednost</w:t>
            </w:r>
          </w:p>
        </w:tc>
        <w:tc>
          <w:tcPr>
            <w:tcW w:w="10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3136D8EE" w14:textId="77777777" w:rsidR="00615E2D" w:rsidRDefault="00C83E46">
            <w:pPr>
              <w:pStyle w:val="P68B1DB1-Normal9"/>
              <w:spacing w:line="240" w:lineRule="auto"/>
              <w:jc w:val="center"/>
              <w:rPr>
                <w:noProof/>
              </w:rPr>
            </w:pPr>
            <w:r>
              <w:rPr>
                <w:noProof/>
              </w:rPr>
              <w:t>Cilj</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202CEB72" w14:textId="77777777" w:rsidR="00615E2D" w:rsidRDefault="00C83E46">
            <w:pPr>
              <w:pStyle w:val="P68B1DB1-Normal9"/>
              <w:spacing w:line="240" w:lineRule="auto"/>
              <w:jc w:val="center"/>
              <w:rPr>
                <w:noProof/>
              </w:rPr>
            </w:pPr>
            <w:r>
              <w:rPr>
                <w:noProof/>
              </w:rPr>
              <w:t>Tromjesečje</w:t>
            </w:r>
          </w:p>
        </w:tc>
        <w:tc>
          <w:tcPr>
            <w:tcW w:w="10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765124BD" w14:textId="77777777" w:rsidR="00615E2D" w:rsidRDefault="00C83E46">
            <w:pPr>
              <w:pStyle w:val="P68B1DB1-Normal9"/>
              <w:spacing w:line="240" w:lineRule="auto"/>
              <w:jc w:val="center"/>
              <w:rPr>
                <w:noProof/>
              </w:rPr>
            </w:pPr>
            <w:r>
              <w:rPr>
                <w:noProof/>
              </w:rPr>
              <w:t>Godina</w:t>
            </w:r>
          </w:p>
        </w:tc>
        <w:tc>
          <w:tcPr>
            <w:tcW w:w="4360" w:type="dxa"/>
            <w:vMerge/>
            <w:vAlign w:val="center"/>
            <w:hideMark/>
          </w:tcPr>
          <w:p w14:paraId="21FB6CEF" w14:textId="77777777" w:rsidR="00615E2D" w:rsidRDefault="00615E2D">
            <w:pPr>
              <w:spacing w:before="0" w:after="0" w:line="240" w:lineRule="auto"/>
              <w:rPr>
                <w:rFonts w:eastAsia="Times New Roman"/>
                <w:noProof/>
                <w:sz w:val="18"/>
              </w:rPr>
            </w:pPr>
          </w:p>
        </w:tc>
      </w:tr>
      <w:tr w:rsidR="00615E2D" w14:paraId="08D1755C" w14:textId="77777777">
        <w:trPr>
          <w:trHeight w:val="945"/>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353FA8A" w14:textId="77777777" w:rsidR="00615E2D" w:rsidRDefault="00C83E46">
            <w:pPr>
              <w:pStyle w:val="P68B1DB1-Normal11"/>
              <w:spacing w:line="240" w:lineRule="auto"/>
              <w:jc w:val="center"/>
              <w:rPr>
                <w:noProof/>
              </w:rPr>
            </w:pPr>
            <w:r>
              <w:rPr>
                <w:noProof/>
              </w:rPr>
              <w:t>1</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7BF4658" w14:textId="77777777" w:rsidR="00615E2D" w:rsidRDefault="00C83E46">
            <w:pPr>
              <w:pStyle w:val="P68B1DB1-Normal11"/>
              <w:spacing w:line="240" w:lineRule="auto"/>
              <w:rPr>
                <w:noProof/>
              </w:rPr>
            </w:pPr>
            <w:r>
              <w:rPr>
                <w:noProof/>
              </w:rPr>
              <w:t>Reforma 1.: Uvjeti za upravljanje kvalitetnim skupom podataka i osiguravanje kontroliranog pristupa podacima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FFA5904" w14:textId="77777777" w:rsidR="00615E2D" w:rsidRDefault="00C83E46">
            <w:pPr>
              <w:pStyle w:val="P68B1DB1-Normal11"/>
              <w:spacing w:line="240" w:lineRule="auto"/>
              <w:rPr>
                <w:noProof/>
              </w:rPr>
            </w:pPr>
            <w:r>
              <w:rPr>
                <w:noProof/>
              </w:rPr>
              <w:t>Prekretnica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235A706" w14:textId="77777777" w:rsidR="00615E2D" w:rsidRDefault="00C83E46">
            <w:pPr>
              <w:pStyle w:val="P68B1DB1-Normal11"/>
              <w:spacing w:line="240" w:lineRule="auto"/>
              <w:rPr>
                <w:noProof/>
              </w:rPr>
            </w:pPr>
            <w:r>
              <w:rPr>
                <w:noProof/>
              </w:rPr>
              <w:t>Dovršetak revizije podataka na razini središnje vlade i donošenje konceptualnog dokumenta „Strategija kontroliranog pristupa podacima kako bi se osigurali uvjeti za upravljanje kvalitetom prikupljanja podataka javne uprave” od strane Vlade, koji čini osnovu za novo zakonodavstvo o upravljanju podacima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F557057" w14:textId="4D50E7B8" w:rsidR="00615E2D" w:rsidRDefault="00C83E46">
            <w:pPr>
              <w:pStyle w:val="P68B1DB1-Normal11"/>
              <w:spacing w:line="240" w:lineRule="auto"/>
              <w:rPr>
                <w:noProof/>
              </w:rPr>
            </w:pPr>
            <w:r>
              <w:rPr>
                <w:noProof/>
              </w:rPr>
              <w:t>Zaključak revizije podataka središnjih državnih tijela (ukupno 32 institucije) i donošenje strateškog konceptualnog dokumenta od strane vlade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BC3874E"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72AA30A"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BD7919"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4DB6BFA" w14:textId="77777777"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0CA42FD" w14:textId="77777777" w:rsidR="00615E2D" w:rsidRDefault="00C83E46">
            <w:pPr>
              <w:pStyle w:val="P68B1DB1-Normal11"/>
              <w:spacing w:line="240" w:lineRule="auto"/>
              <w:jc w:val="center"/>
              <w:rPr>
                <w:noProof/>
              </w:rPr>
            </w:pPr>
            <w:r>
              <w:rPr>
                <w:noProof/>
              </w:rPr>
              <w:t>2023</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A78D6B2" w14:textId="47942944" w:rsidR="00615E2D" w:rsidRDefault="00C83E46">
            <w:pPr>
              <w:pStyle w:val="P68B1DB1-Normal11"/>
              <w:spacing w:before="0" w:line="240" w:lineRule="auto"/>
              <w:rPr>
                <w:noProof/>
              </w:rPr>
            </w:pPr>
            <w:r>
              <w:rPr>
                <w:noProof/>
              </w:rPr>
              <w:t>Revizija podataka i posljedična strategija služe kao osnova za pripremu zakonodavnih promjena kako bi se u javnu upravu uključilo dobro upravljanje podacima u skladu s načelima FAIR i predviđenim Europskim aktom o upravljanju podacima.</w:t>
            </w:r>
          </w:p>
        </w:tc>
      </w:tr>
      <w:tr w:rsidR="00615E2D" w14:paraId="61EC50F1" w14:textId="77777777">
        <w:trPr>
          <w:trHeight w:val="945"/>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690064A" w14:textId="77777777" w:rsidR="00615E2D" w:rsidRDefault="00C83E46">
            <w:pPr>
              <w:pStyle w:val="P68B1DB1-Normal11"/>
              <w:spacing w:line="240" w:lineRule="auto"/>
              <w:jc w:val="center"/>
              <w:rPr>
                <w:noProof/>
              </w:rPr>
            </w:pPr>
            <w:r>
              <w:rPr>
                <w:noProof/>
              </w:rPr>
              <w:t>2</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E4E23BE" w14:textId="77777777" w:rsidR="00615E2D" w:rsidRDefault="00C83E46">
            <w:pPr>
              <w:pStyle w:val="P68B1DB1-Normal11"/>
              <w:spacing w:line="240" w:lineRule="auto"/>
              <w:rPr>
                <w:noProof/>
              </w:rPr>
            </w:pPr>
            <w:r>
              <w:rPr>
                <w:noProof/>
              </w:rPr>
              <w:t>Reforma 1.: Uvjeti za upravljanje kvalitetnim skupom podataka i osiguravanje kontroliranog pristupa podacima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6BE0837" w14:textId="77777777" w:rsidR="00615E2D" w:rsidRDefault="00C83E46">
            <w:pPr>
              <w:pStyle w:val="P68B1DB1-Normal11"/>
              <w:spacing w:line="240" w:lineRule="auto"/>
              <w:rPr>
                <w:noProof/>
              </w:rPr>
            </w:pPr>
            <w:r>
              <w:rPr>
                <w:noProof/>
              </w:rPr>
              <w:t>Ciljna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34DF7CD" w14:textId="77777777" w:rsidR="00615E2D" w:rsidRDefault="00C83E46">
            <w:pPr>
              <w:pStyle w:val="P68B1DB1-Normal11"/>
              <w:spacing w:line="240" w:lineRule="auto"/>
              <w:rPr>
                <w:noProof/>
              </w:rPr>
            </w:pPr>
            <w:r>
              <w:rPr>
                <w:noProof/>
              </w:rPr>
              <w:t>Uvođenje novih metodologija upravljanja podacima u javnu upravu</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1285ACC"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303075" w14:textId="12B97777" w:rsidR="00615E2D" w:rsidRDefault="00C83E46">
            <w:pPr>
              <w:pStyle w:val="P68B1DB1-Normal11"/>
              <w:spacing w:line="240" w:lineRule="auto"/>
              <w:rPr>
                <w:noProof/>
              </w:rPr>
            </w:pPr>
            <w:r>
              <w:rPr>
                <w:noProof/>
              </w:rPr>
              <w:t>Broj tijela javne uprave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7BFC528" w14:textId="77777777" w:rsidR="00615E2D" w:rsidRDefault="00C83E46">
            <w:pPr>
              <w:pStyle w:val="P68B1DB1-Normal11"/>
              <w:spacing w:line="240" w:lineRule="auto"/>
              <w:jc w:val="center"/>
              <w:rPr>
                <w:noProof/>
              </w:rPr>
            </w:pPr>
            <w:r>
              <w:rPr>
                <w:noProof/>
              </w:rPr>
              <w:t>0</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2FB6267" w14:textId="7154E25A" w:rsidR="00615E2D" w:rsidRDefault="00C83E46">
            <w:pPr>
              <w:pStyle w:val="P68B1DB1-Normal11"/>
              <w:spacing w:line="240" w:lineRule="auto"/>
              <w:jc w:val="center"/>
              <w:rPr>
                <w:noProof/>
              </w:rPr>
            </w:pPr>
            <w:r>
              <w:rPr>
                <w:noProof/>
              </w:rPr>
              <w:t>32</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0FADF37" w14:textId="77777777"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351F3A3" w14:textId="77777777" w:rsidR="00615E2D" w:rsidRDefault="00C83E46">
            <w:pPr>
              <w:pStyle w:val="P68B1DB1-Normal11"/>
              <w:spacing w:line="240" w:lineRule="auto"/>
              <w:jc w:val="center"/>
              <w:rPr>
                <w:noProof/>
              </w:rPr>
            </w:pPr>
            <w:r>
              <w:rPr>
                <w:noProof/>
              </w:rPr>
              <w:t>2025</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9FC5F98" w14:textId="0359E0B3" w:rsidR="00615E2D" w:rsidRDefault="00C83E46">
            <w:pPr>
              <w:pStyle w:val="P68B1DB1-Normal11"/>
              <w:spacing w:before="0" w:line="240" w:lineRule="auto"/>
              <w:rPr>
                <w:noProof/>
              </w:rPr>
            </w:pPr>
            <w:r>
              <w:rPr>
                <w:noProof/>
              </w:rPr>
              <w:t xml:space="preserve">Standarde za dobro upravljanje podacima u skladu s načelom FAIR koje treba razviti za primjenu u javnoj upravi, a koje donose i provode nadležna tijela. </w:t>
            </w:r>
          </w:p>
        </w:tc>
      </w:tr>
      <w:tr w:rsidR="00615E2D" w14:paraId="07B649D4" w14:textId="77777777">
        <w:trPr>
          <w:trHeight w:val="373"/>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1EA0EBC" w14:textId="77777777" w:rsidR="00615E2D" w:rsidRDefault="00C83E46">
            <w:pPr>
              <w:pStyle w:val="P68B1DB1-Normal11"/>
              <w:spacing w:line="240" w:lineRule="auto"/>
              <w:jc w:val="center"/>
              <w:rPr>
                <w:noProof/>
              </w:rPr>
            </w:pPr>
            <w:r>
              <w:rPr>
                <w:noProof/>
              </w:rPr>
              <w:t>3</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B440C53" w14:textId="77777777" w:rsidR="00615E2D" w:rsidRDefault="00C83E46">
            <w:pPr>
              <w:pStyle w:val="P68B1DB1-Normal11"/>
              <w:spacing w:line="240" w:lineRule="auto"/>
              <w:rPr>
                <w:noProof/>
              </w:rPr>
            </w:pPr>
            <w:r>
              <w:rPr>
                <w:noProof/>
              </w:rPr>
              <w:t>Reforma br. 2: e-zdravstvo</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C99B7AE" w14:textId="77777777" w:rsidR="00615E2D" w:rsidRDefault="00C83E46">
            <w:pPr>
              <w:pStyle w:val="P68B1DB1-Normal11"/>
              <w:spacing w:line="240" w:lineRule="auto"/>
              <w:rPr>
                <w:noProof/>
              </w:rPr>
            </w:pPr>
            <w:r>
              <w:rPr>
                <w:noProof/>
              </w:rPr>
              <w:t>Prekretnica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028346E" w14:textId="77777777" w:rsidR="00615E2D" w:rsidRDefault="00C83E46">
            <w:pPr>
              <w:pStyle w:val="P68B1DB1-Normal11"/>
              <w:spacing w:line="240" w:lineRule="auto"/>
              <w:rPr>
                <w:noProof/>
              </w:rPr>
            </w:pPr>
            <w:r>
              <w:rPr>
                <w:noProof/>
              </w:rPr>
              <w:t>Definicija standarda interoperabilnosti u skladu s Europskim okvirom interoperabilnosti za e-zdravstvo i definiranje pravila kojima se uređuje telemedicina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1700581" w14:textId="77777777" w:rsidR="00615E2D" w:rsidRDefault="00C83E46">
            <w:pPr>
              <w:pStyle w:val="P68B1DB1-Normal11"/>
              <w:spacing w:line="240" w:lineRule="auto"/>
              <w:rPr>
                <w:noProof/>
              </w:rPr>
            </w:pPr>
            <w:r>
              <w:rPr>
                <w:noProof/>
              </w:rPr>
              <w:t>Donošenje standarda i pravila od strane Ministarstva zdravstva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18FD96A"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6949E88"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92BE3D"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E992D83" w14:textId="77777777" w:rsidR="00615E2D" w:rsidRDefault="00C83E46">
            <w:pPr>
              <w:pStyle w:val="P68B1DB1-Normal11"/>
              <w:spacing w:line="240" w:lineRule="auto"/>
              <w:jc w:val="center"/>
              <w:rPr>
                <w:noProof/>
              </w:rPr>
            </w:pPr>
            <w:r>
              <w:rPr>
                <w:noProof/>
              </w:rPr>
              <w:t>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573BE1A" w14:textId="77777777" w:rsidR="00615E2D" w:rsidRDefault="00C83E46">
            <w:pPr>
              <w:pStyle w:val="P68B1DB1-Normal11"/>
              <w:spacing w:line="240" w:lineRule="auto"/>
              <w:jc w:val="center"/>
              <w:rPr>
                <w:noProof/>
              </w:rPr>
            </w:pPr>
            <w:r>
              <w:rPr>
                <w:noProof/>
              </w:rPr>
              <w:t>2022</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450B82C" w14:textId="77777777" w:rsidR="00615E2D" w:rsidRDefault="00C83E46">
            <w:pPr>
              <w:pStyle w:val="P68B1DB1-Normal11"/>
              <w:spacing w:before="0" w:line="240" w:lineRule="auto"/>
              <w:rPr>
                <w:noProof/>
              </w:rPr>
            </w:pPr>
            <w:r>
              <w:rPr>
                <w:noProof/>
              </w:rPr>
              <w:t xml:space="preserve">Mjerom se utvrđuju standardi, pravila i zahtjevi kojima se uređuje interoperabilnost pružatelja zdravstvene zaštite te ona služi kao osnova za prilagodbu zdravstvenih sustava. Pravila kojima se uređuju usluge telemedicine utvrđuju se kako bi se definirali uvjeti pružanja takvih usluga. </w:t>
            </w:r>
          </w:p>
        </w:tc>
      </w:tr>
      <w:tr w:rsidR="00615E2D" w14:paraId="7B1ADD74" w14:textId="77777777">
        <w:trPr>
          <w:trHeight w:val="945"/>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73AF552" w14:textId="77777777" w:rsidR="00615E2D" w:rsidRDefault="00C83E46">
            <w:pPr>
              <w:pStyle w:val="P68B1DB1-Normal11"/>
              <w:spacing w:line="240" w:lineRule="auto"/>
              <w:jc w:val="center"/>
              <w:rPr>
                <w:noProof/>
              </w:rPr>
            </w:pPr>
            <w:r>
              <w:rPr>
                <w:noProof/>
              </w:rPr>
              <w:t>4</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BE24A8B" w14:textId="77777777" w:rsidR="00615E2D" w:rsidRDefault="00C83E46">
            <w:pPr>
              <w:pStyle w:val="P68B1DB1-Normal11"/>
              <w:spacing w:line="240" w:lineRule="auto"/>
              <w:rPr>
                <w:noProof/>
              </w:rPr>
            </w:pPr>
            <w:r>
              <w:rPr>
                <w:noProof/>
              </w:rPr>
              <w:t>Reforma br. 2: e-zdravstvo</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35284CC" w14:textId="77777777" w:rsidR="00615E2D" w:rsidRDefault="00C83E46">
            <w:pPr>
              <w:pStyle w:val="P68B1DB1-Normal11"/>
              <w:spacing w:line="240" w:lineRule="auto"/>
              <w:rPr>
                <w:noProof/>
              </w:rPr>
            </w:pPr>
            <w:r>
              <w:rPr>
                <w:noProof/>
              </w:rPr>
              <w:t>Ciljna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FBD58D5" w14:textId="77777777" w:rsidR="00615E2D" w:rsidRDefault="00C83E46">
            <w:pPr>
              <w:pStyle w:val="P68B1DB1-Normal11"/>
              <w:spacing w:line="259" w:lineRule="auto"/>
              <w:rPr>
                <w:noProof/>
              </w:rPr>
            </w:pPr>
            <w:r>
              <w:rPr>
                <w:noProof/>
              </w:rPr>
              <w:t>Broj novih telemedicinskih usluga koje su uvedene i stavljene na raspolaganje pacijentima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05AB3D"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A86FE0F" w14:textId="77777777" w:rsidR="00615E2D" w:rsidRDefault="00C83E46">
            <w:pPr>
              <w:pStyle w:val="P68B1DB1-Normal11"/>
              <w:spacing w:line="240" w:lineRule="auto"/>
              <w:rPr>
                <w:noProof/>
              </w:rPr>
            </w:pPr>
            <w:r>
              <w:rPr>
                <w:noProof/>
              </w:rPr>
              <w:t>Broj</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7CD3015" w14:textId="77777777" w:rsidR="00615E2D" w:rsidRDefault="00C83E46">
            <w:pPr>
              <w:pStyle w:val="P68B1DB1-Normal11"/>
              <w:spacing w:line="240" w:lineRule="auto"/>
              <w:jc w:val="center"/>
              <w:rPr>
                <w:noProof/>
              </w:rPr>
            </w:pPr>
            <w:r>
              <w:rPr>
                <w:noProof/>
              </w:rPr>
              <w:t>0</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5BA7D08" w14:textId="77777777" w:rsidR="00615E2D" w:rsidRDefault="00C83E46">
            <w:pPr>
              <w:pStyle w:val="P68B1DB1-Normal11"/>
              <w:spacing w:line="240" w:lineRule="auto"/>
              <w:jc w:val="center"/>
              <w:rPr>
                <w:noProof/>
              </w:rPr>
            </w:pPr>
            <w:r>
              <w:rPr>
                <w:noProof/>
              </w:rPr>
              <w:t>5</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E5B68DC" w14:textId="77777777"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3D2884E" w14:textId="77777777" w:rsidR="00615E2D" w:rsidRDefault="00C83E46">
            <w:pPr>
              <w:pStyle w:val="P68B1DB1-Normal11"/>
              <w:spacing w:line="240" w:lineRule="auto"/>
              <w:jc w:val="center"/>
              <w:rPr>
                <w:noProof/>
              </w:rPr>
            </w:pPr>
            <w:r>
              <w:rPr>
                <w:noProof/>
              </w:rPr>
              <w:t>2025</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EC3DDA5" w14:textId="77777777" w:rsidR="00615E2D" w:rsidRDefault="00C83E46">
            <w:pPr>
              <w:pStyle w:val="P68B1DB1-Normal11"/>
              <w:spacing w:line="259" w:lineRule="auto"/>
              <w:rPr>
                <w:noProof/>
              </w:rPr>
            </w:pPr>
            <w:r>
              <w:rPr>
                <w:noProof/>
              </w:rPr>
              <w:t>Nove usluge telemedicine razvijene su i stavljene na raspolaganje pacijentima nakon što Ministarstvo zdravstva odobri provedbu projekta.</w:t>
            </w:r>
          </w:p>
        </w:tc>
      </w:tr>
      <w:tr w:rsidR="00615E2D" w14:paraId="634812D5" w14:textId="77777777">
        <w:trPr>
          <w:trHeight w:val="945"/>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0AE952A" w14:textId="77777777" w:rsidR="00615E2D" w:rsidRDefault="00C83E46">
            <w:pPr>
              <w:pStyle w:val="P68B1DB1-Normal11"/>
              <w:spacing w:line="240" w:lineRule="auto"/>
              <w:jc w:val="center"/>
              <w:rPr>
                <w:noProof/>
              </w:rPr>
            </w:pPr>
            <w:r>
              <w:rPr>
                <w:noProof/>
              </w:rPr>
              <w:t>5</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49D46FF" w14:textId="77777777" w:rsidR="00615E2D" w:rsidRDefault="00C83E46">
            <w:pPr>
              <w:pStyle w:val="P68B1DB1-Normal11"/>
              <w:spacing w:line="240" w:lineRule="auto"/>
              <w:rPr>
                <w:noProof/>
              </w:rPr>
            </w:pPr>
            <w:r>
              <w:rPr>
                <w:noProof/>
              </w:rPr>
              <w:t>Reforma br. 2: e-zdravstvo</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0B97D34" w14:textId="77777777" w:rsidR="00615E2D" w:rsidRDefault="00C83E46">
            <w:pPr>
              <w:pStyle w:val="P68B1DB1-Normal11"/>
              <w:spacing w:line="240" w:lineRule="auto"/>
              <w:rPr>
                <w:noProof/>
              </w:rPr>
            </w:pPr>
            <w:r>
              <w:rPr>
                <w:noProof/>
              </w:rPr>
              <w:t>Ciljna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7050231" w14:textId="33D65596" w:rsidR="00615E2D" w:rsidRDefault="00C83E46">
            <w:pPr>
              <w:pStyle w:val="P68B1DB1-Normal11"/>
              <w:spacing w:before="0" w:line="240" w:lineRule="auto"/>
              <w:rPr>
                <w:noProof/>
              </w:rPr>
            </w:pPr>
            <w:r>
              <w:rPr>
                <w:noProof/>
              </w:rPr>
              <w:t>Završetak projekata koji vode do provedbe novih digitalnih zdravstvenih usluga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631E485"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318B088" w14:textId="77777777" w:rsidR="00615E2D" w:rsidRDefault="00C83E46">
            <w:pPr>
              <w:pStyle w:val="P68B1DB1-Normal11"/>
              <w:spacing w:line="240" w:lineRule="auto"/>
              <w:rPr>
                <w:noProof/>
              </w:rPr>
            </w:pPr>
            <w:r>
              <w:rPr>
                <w:noProof/>
              </w:rPr>
              <w:t>Broj</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539591B" w14:textId="77777777" w:rsidR="00615E2D" w:rsidRDefault="00C83E46">
            <w:pPr>
              <w:pStyle w:val="P68B1DB1-Normal11"/>
              <w:spacing w:line="240" w:lineRule="auto"/>
              <w:jc w:val="center"/>
              <w:rPr>
                <w:noProof/>
              </w:rPr>
            </w:pPr>
            <w:r>
              <w:rPr>
                <w:noProof/>
              </w:rPr>
              <w:t>1</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41C127C" w14:textId="77777777" w:rsidR="00615E2D" w:rsidRDefault="00C83E46">
            <w:pPr>
              <w:pStyle w:val="P68B1DB1-Normal11"/>
              <w:spacing w:line="240" w:lineRule="auto"/>
              <w:jc w:val="center"/>
              <w:rPr>
                <w:noProof/>
              </w:rPr>
            </w:pPr>
            <w:r>
              <w:rPr>
                <w:noProof/>
              </w:rPr>
              <w:t>8</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3FE094B" w14:textId="77777777"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3B771D0" w14:textId="77777777" w:rsidR="00615E2D" w:rsidRDefault="00C83E46">
            <w:pPr>
              <w:pStyle w:val="P68B1DB1-Normal11"/>
              <w:spacing w:line="240" w:lineRule="auto"/>
              <w:jc w:val="center"/>
              <w:rPr>
                <w:noProof/>
              </w:rPr>
            </w:pPr>
            <w:r>
              <w:rPr>
                <w:noProof/>
              </w:rPr>
              <w:t>2025</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D35D137" w14:textId="409E29DE" w:rsidR="00615E2D" w:rsidRDefault="00C83E46">
            <w:pPr>
              <w:pStyle w:val="P68B1DB1-Normal12"/>
              <w:spacing w:before="0" w:line="240" w:lineRule="auto"/>
              <w:rPr>
                <w:rFonts w:eastAsia="Times New Roman"/>
                <w:noProof/>
                <w:color w:val="006100"/>
              </w:rPr>
            </w:pPr>
            <w:r>
              <w:rPr>
                <w:rFonts w:eastAsia="Times New Roman"/>
                <w:noProof/>
                <w:color w:val="006100"/>
              </w:rPr>
              <w:t>Dovršeni projekti uključuju pametnu karantenu 2.0; promicanje digitalnih zdravstvenih usluga; rješenja portala e-zdravstva i sekundarna uporaba zdravstvenih podataka. Ti projekti dovode do uvođenja sljedećih usluga:</w:t>
            </w:r>
            <w:r>
              <w:rPr>
                <w:noProof/>
              </w:rPr>
              <w:br/>
            </w:r>
            <w:r>
              <w:rPr>
                <w:rFonts w:eastAsia="Times New Roman"/>
                <w:noProof/>
                <w:color w:val="006100"/>
              </w:rPr>
              <w:t xml:space="preserve">(1)Službeni list o aktivnostima, </w:t>
            </w:r>
          </w:p>
          <w:p w14:paraId="3F962429" w14:textId="56120AD1" w:rsidR="00615E2D" w:rsidRDefault="00C83E46">
            <w:pPr>
              <w:pStyle w:val="P68B1DB1-Normal11"/>
              <w:spacing w:before="0" w:line="240" w:lineRule="auto"/>
              <w:rPr>
                <w:noProof/>
              </w:rPr>
            </w:pPr>
            <w:r>
              <w:rPr>
                <w:noProof/>
              </w:rPr>
              <w:t>(2) Katalog digitalnih usluga</w:t>
            </w:r>
          </w:p>
          <w:p w14:paraId="17DFD6BD" w14:textId="77777777" w:rsidR="00615E2D" w:rsidRDefault="00C83E46">
            <w:pPr>
              <w:pStyle w:val="P68B1DB1-Normal11"/>
              <w:spacing w:before="0" w:line="240" w:lineRule="auto"/>
              <w:rPr>
                <w:noProof/>
              </w:rPr>
            </w:pPr>
            <w:r>
              <w:rPr>
                <w:noProof/>
              </w:rPr>
              <w:t xml:space="preserve">(3) Referentni registar zdravstvenih djelatnika </w:t>
            </w:r>
          </w:p>
          <w:p w14:paraId="3A71DAB0" w14:textId="77777777" w:rsidR="00615E2D" w:rsidRDefault="00C83E46">
            <w:pPr>
              <w:pStyle w:val="P68B1DB1-Normal11"/>
              <w:spacing w:before="0" w:line="240" w:lineRule="auto"/>
              <w:rPr>
                <w:noProof/>
              </w:rPr>
            </w:pPr>
            <w:r>
              <w:rPr>
                <w:noProof/>
              </w:rPr>
              <w:t xml:space="preserve">(4) Referentni registar pacijenata, </w:t>
            </w:r>
          </w:p>
          <w:p w14:paraId="61D1F2F4" w14:textId="77777777" w:rsidR="00615E2D" w:rsidRDefault="00C83E46">
            <w:pPr>
              <w:pStyle w:val="P68B1DB1-Normal11"/>
              <w:spacing w:before="0" w:line="240" w:lineRule="auto"/>
              <w:rPr>
                <w:noProof/>
              </w:rPr>
            </w:pPr>
            <w:r>
              <w:rPr>
                <w:noProof/>
              </w:rPr>
              <w:t xml:space="preserve">(5) Usluge identifikacije/autentikacije za pacijente i zdravstvene djelatnike, </w:t>
            </w:r>
          </w:p>
          <w:p w14:paraId="306920AA" w14:textId="0EB90357" w:rsidR="00615E2D" w:rsidRDefault="00C83E46">
            <w:pPr>
              <w:pStyle w:val="P68B1DB1-Normal11"/>
              <w:spacing w:before="0" w:line="240" w:lineRule="auto"/>
              <w:rPr>
                <w:noProof/>
              </w:rPr>
            </w:pPr>
            <w:r>
              <w:rPr>
                <w:noProof/>
              </w:rPr>
              <w:t xml:space="preserve">(6) Usluge informiranja pacijenata, </w:t>
            </w:r>
          </w:p>
          <w:p w14:paraId="7DF60C70" w14:textId="6AC1E457" w:rsidR="00615E2D" w:rsidRDefault="00C83E46">
            <w:pPr>
              <w:pStyle w:val="P68B1DB1-Normal11"/>
              <w:spacing w:before="0" w:line="240" w:lineRule="auto"/>
              <w:rPr>
                <w:noProof/>
              </w:rPr>
            </w:pPr>
            <w:r>
              <w:rPr>
                <w:noProof/>
              </w:rPr>
              <w:t>(7) Referentni registar pružatelja zdravstvenih usluga.</w:t>
            </w:r>
          </w:p>
        </w:tc>
      </w:tr>
      <w:tr w:rsidR="00615E2D" w14:paraId="186B1903" w14:textId="77777777">
        <w:trPr>
          <w:trHeight w:val="338"/>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F074FD1" w14:textId="77777777" w:rsidR="00615E2D" w:rsidRDefault="00C83E46">
            <w:pPr>
              <w:pStyle w:val="P68B1DB1-Normal11"/>
              <w:spacing w:line="240" w:lineRule="auto"/>
              <w:jc w:val="center"/>
              <w:rPr>
                <w:noProof/>
              </w:rPr>
            </w:pPr>
            <w:r>
              <w:rPr>
                <w:noProof/>
              </w:rPr>
              <w:t>6</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68DE7FB" w14:textId="77777777" w:rsidR="00615E2D" w:rsidRDefault="00C83E46">
            <w:pPr>
              <w:pStyle w:val="P68B1DB1-Normal11"/>
              <w:spacing w:line="240" w:lineRule="auto"/>
              <w:rPr>
                <w:noProof/>
              </w:rPr>
            </w:pPr>
            <w:r>
              <w:rPr>
                <w:noProof/>
              </w:rPr>
              <w:t>Reforma br. 2: e-zdravstvo</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D0966F7" w14:textId="77777777" w:rsidR="00615E2D" w:rsidRDefault="00C83E46">
            <w:pPr>
              <w:pStyle w:val="P68B1DB1-Normal11"/>
              <w:spacing w:line="240" w:lineRule="auto"/>
              <w:rPr>
                <w:noProof/>
              </w:rPr>
            </w:pPr>
            <w:r>
              <w:rPr>
                <w:noProof/>
              </w:rPr>
              <w:t>Ciljna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CC00950" w14:textId="5A6444FC" w:rsidR="00615E2D" w:rsidRDefault="00C83E46">
            <w:pPr>
              <w:pStyle w:val="P68B1DB1-Normal11"/>
              <w:spacing w:before="0" w:line="240" w:lineRule="auto"/>
              <w:rPr>
                <w:noProof/>
              </w:rPr>
            </w:pPr>
            <w:r>
              <w:rPr>
                <w:noProof/>
              </w:rPr>
              <w:t xml:space="preserve">Povezivanje pružatelja zdravstvene zaštite sa sustavom interoperabilnosti u skladu s pravilima interoperabilnosti za usluge e-zdravstva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E323E5F"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88F832E"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A825D3" w14:textId="77777777" w:rsidR="00615E2D" w:rsidRDefault="00C83E46">
            <w:pPr>
              <w:pStyle w:val="P68B1DB1-Normal11"/>
              <w:spacing w:line="240" w:lineRule="auto"/>
              <w:jc w:val="center"/>
              <w:rPr>
                <w:noProof/>
              </w:rPr>
            </w:pPr>
            <w:r>
              <w:rPr>
                <w:noProof/>
              </w:rPr>
              <w:t>0</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1BFC646" w14:textId="77777777" w:rsidR="00615E2D" w:rsidRDefault="00C83E46">
            <w:pPr>
              <w:pStyle w:val="P68B1DB1-Normal11"/>
              <w:spacing w:line="240" w:lineRule="auto"/>
              <w:jc w:val="center"/>
              <w:rPr>
                <w:noProof/>
              </w:rPr>
            </w:pPr>
            <w:r>
              <w:rPr>
                <w:noProof/>
              </w:rPr>
              <w:t>15</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526553A" w14:textId="77777777"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AA07E31" w14:textId="77777777" w:rsidR="00615E2D" w:rsidRDefault="00C83E46">
            <w:pPr>
              <w:pStyle w:val="P68B1DB1-Normal11"/>
              <w:spacing w:line="240" w:lineRule="auto"/>
              <w:jc w:val="center"/>
              <w:rPr>
                <w:noProof/>
              </w:rPr>
            </w:pPr>
            <w:r>
              <w:rPr>
                <w:noProof/>
              </w:rPr>
              <w:t>2025</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A15FBD6" w14:textId="7412A270" w:rsidR="00615E2D" w:rsidRDefault="00C83E46">
            <w:pPr>
              <w:pStyle w:val="P68B1DB1-Normal11"/>
              <w:spacing w:before="0" w:line="240" w:lineRule="auto"/>
              <w:rPr>
                <w:noProof/>
              </w:rPr>
            </w:pPr>
            <w:r>
              <w:rPr>
                <w:noProof/>
              </w:rPr>
              <w:t>Mjera bi trebala rezultirati povezivanjem pružatelja zdravstvene zaštite s interoperabilnim sustavom u skladu s pravilima interoperabilnosti za usluge e-zdravstva.</w:t>
            </w:r>
          </w:p>
        </w:tc>
      </w:tr>
      <w:tr w:rsidR="00615E2D" w14:paraId="5FE7B0C2" w14:textId="77777777">
        <w:trPr>
          <w:trHeight w:val="945"/>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FAB3A84" w14:textId="77777777" w:rsidR="00615E2D" w:rsidRDefault="00C83E46">
            <w:pPr>
              <w:pStyle w:val="P68B1DB1-Normal11"/>
              <w:spacing w:line="240" w:lineRule="auto"/>
              <w:jc w:val="center"/>
              <w:rPr>
                <w:noProof/>
              </w:rPr>
            </w:pPr>
            <w:r>
              <w:rPr>
                <w:noProof/>
              </w:rPr>
              <w:t>7</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6F0BD28" w14:textId="77777777" w:rsidR="00615E2D" w:rsidRDefault="00C83E46">
            <w:pPr>
              <w:pStyle w:val="P68B1DB1-Normal11"/>
              <w:spacing w:line="240" w:lineRule="auto"/>
              <w:rPr>
                <w:noProof/>
              </w:rPr>
            </w:pPr>
            <w:r>
              <w:rPr>
                <w:noProof/>
              </w:rPr>
              <w:t>Ulaganje 1: Digitalne usluge za krajnje korisnike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C959441" w14:textId="77777777" w:rsidR="00615E2D" w:rsidRDefault="00C83E46">
            <w:pPr>
              <w:pStyle w:val="P68B1DB1-Normal11"/>
              <w:spacing w:line="240" w:lineRule="auto"/>
              <w:rPr>
                <w:noProof/>
              </w:rPr>
            </w:pPr>
            <w:r>
              <w:rPr>
                <w:noProof/>
              </w:rPr>
              <w:t>Prekretnica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1654A98" w14:textId="77777777" w:rsidR="00615E2D" w:rsidRDefault="00C83E46">
            <w:pPr>
              <w:pStyle w:val="P68B1DB1-Normal11"/>
              <w:spacing w:line="240" w:lineRule="auto"/>
              <w:rPr>
                <w:noProof/>
              </w:rPr>
            </w:pPr>
            <w:r>
              <w:rPr>
                <w:noProof/>
              </w:rPr>
              <w:t>Potpuno funkcioniranje jedinstvenog digitalnog pristupnika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5EB7FEA" w14:textId="77777777" w:rsidR="00615E2D" w:rsidRDefault="00C83E46">
            <w:pPr>
              <w:pStyle w:val="P68B1DB1-Normal11"/>
              <w:spacing w:line="240" w:lineRule="auto"/>
              <w:rPr>
                <w:noProof/>
              </w:rPr>
            </w:pPr>
            <w:r>
              <w:rPr>
                <w:noProof/>
              </w:rPr>
              <w:t xml:space="preserve">Početak rada jedinstvenog digitalnog pristupnika koji pruža usluge građanima i poduzećima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696ED8E"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724273E"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025A60"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2520173" w14:textId="3965E96D"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F0E53E6" w14:textId="09EEA7C4" w:rsidR="00615E2D" w:rsidRDefault="00C83E46">
            <w:pPr>
              <w:pStyle w:val="P68B1DB1-Normal11"/>
              <w:spacing w:line="240" w:lineRule="auto"/>
              <w:jc w:val="center"/>
              <w:rPr>
                <w:noProof/>
              </w:rPr>
            </w:pPr>
            <w:r>
              <w:rPr>
                <w:noProof/>
              </w:rPr>
              <w:t>2023</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3B55E1A" w14:textId="1BB23906" w:rsidR="00615E2D" w:rsidRDefault="00C83E46">
            <w:pPr>
              <w:pStyle w:val="P68B1DB1-Normal11"/>
              <w:spacing w:before="0" w:line="240" w:lineRule="auto"/>
              <w:rPr>
                <w:noProof/>
              </w:rPr>
            </w:pPr>
            <w:r>
              <w:rPr>
                <w:noProof/>
              </w:rPr>
              <w:t>Jedinstvena platforma za građane i poduzeća koja omogućuje barem: podnošenje početnog zahtjeva za upis na javno visoko učilište; zahtjev za određivanje primjenjivog zakonodavstva u skladu s glavom II. Uredbe (EZ) br. 883/2004 o koordinaciji sustava socijalne sigurnosti; zahtjev za mirovinu i predmirovinsko davanje iz obveznih sustava; zahtjev za financiranje visokog obrazovanja, primjerice u obliku stipendije i zajma tijela javne vlasti ili ustanove.</w:t>
            </w:r>
          </w:p>
        </w:tc>
      </w:tr>
      <w:tr w:rsidR="00615E2D" w14:paraId="35CC724D" w14:textId="77777777">
        <w:trPr>
          <w:trHeight w:val="573"/>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674EDD9" w14:textId="77777777" w:rsidR="00615E2D" w:rsidRDefault="00C83E46">
            <w:pPr>
              <w:pStyle w:val="P68B1DB1-Normal11"/>
              <w:spacing w:line="240" w:lineRule="auto"/>
              <w:jc w:val="center"/>
              <w:rPr>
                <w:noProof/>
              </w:rPr>
            </w:pPr>
            <w:r>
              <w:rPr>
                <w:noProof/>
              </w:rPr>
              <w:t>8</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ED582D5" w14:textId="77777777" w:rsidR="00615E2D" w:rsidRDefault="00C83E46">
            <w:pPr>
              <w:pStyle w:val="P68B1DB1-Normal11"/>
              <w:spacing w:line="240" w:lineRule="auto"/>
              <w:rPr>
                <w:noProof/>
              </w:rPr>
            </w:pPr>
            <w:r>
              <w:rPr>
                <w:noProof/>
              </w:rPr>
              <w:t>Ulaganje 1: Digitalne usluge za krajnje korisnike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0091FE3" w14:textId="77777777" w:rsidR="00615E2D" w:rsidRDefault="00C83E46">
            <w:pPr>
              <w:pStyle w:val="P68B1DB1-Normal11"/>
              <w:spacing w:line="240" w:lineRule="auto"/>
              <w:rPr>
                <w:noProof/>
              </w:rPr>
            </w:pPr>
            <w:r>
              <w:rPr>
                <w:noProof/>
              </w:rPr>
              <w:t>Prekretnica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91920A1" w14:textId="1D07B5D3" w:rsidR="00615E2D" w:rsidRDefault="00C83E46">
            <w:pPr>
              <w:pStyle w:val="P68B1DB1-Normal11"/>
              <w:spacing w:line="240" w:lineRule="auto"/>
              <w:rPr>
                <w:noProof/>
              </w:rPr>
            </w:pPr>
            <w:r>
              <w:rPr>
                <w:noProof/>
              </w:rPr>
              <w:t>Dovršetak novih informacijskih sustava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405A02D" w14:textId="4BD72F00" w:rsidR="00615E2D" w:rsidRDefault="00C83E46">
            <w:pPr>
              <w:pStyle w:val="P68B1DB1-Normal11"/>
              <w:spacing w:line="240" w:lineRule="auto"/>
              <w:rPr>
                <w:noProof/>
              </w:rPr>
            </w:pPr>
            <w:r>
              <w:rPr>
                <w:noProof/>
              </w:rPr>
              <w:t>Uspješna nadogradnja postojećih sustava i razvoj novih sustava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6DE901A"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4B004D"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F574F0F"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380B810" w14:textId="77777777"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C21E779" w14:textId="77777777" w:rsidR="00615E2D" w:rsidRDefault="00C83E46">
            <w:pPr>
              <w:pStyle w:val="P68B1DB1-Normal11"/>
              <w:spacing w:line="240" w:lineRule="auto"/>
              <w:jc w:val="center"/>
              <w:rPr>
                <w:noProof/>
              </w:rPr>
            </w:pPr>
            <w:r>
              <w:rPr>
                <w:noProof/>
              </w:rPr>
              <w:t>2023</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BB9E67F" w14:textId="69ADCFCB" w:rsidR="00615E2D" w:rsidRDefault="00C83E46">
            <w:pPr>
              <w:pStyle w:val="P68B1DB1-Normal11"/>
              <w:spacing w:line="240" w:lineRule="auto"/>
              <w:jc w:val="both"/>
              <w:rPr>
                <w:noProof/>
              </w:rPr>
            </w:pPr>
            <w:r>
              <w:rPr>
                <w:noProof/>
              </w:rPr>
              <w:t>Dovršetak novih informacijskih sustava za sljedeće projekte: DOP – Baza podataka o obvezama informiranja, Popis forenzičkih stručnjaka i tumača, zona klijenta, osnivanje tijela za registraciju pri Ministarstvu unutarnjih poslova.</w:t>
            </w:r>
          </w:p>
        </w:tc>
      </w:tr>
      <w:tr w:rsidR="00615E2D" w14:paraId="29DC7A59" w14:textId="77777777">
        <w:trPr>
          <w:trHeight w:val="339"/>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F49B77B" w14:textId="77777777" w:rsidR="00615E2D" w:rsidRDefault="00C83E46">
            <w:pPr>
              <w:pStyle w:val="P68B1DB1-Normal11"/>
              <w:spacing w:line="240" w:lineRule="auto"/>
              <w:jc w:val="center"/>
              <w:rPr>
                <w:noProof/>
              </w:rPr>
            </w:pPr>
            <w:r>
              <w:rPr>
                <w:noProof/>
              </w:rPr>
              <w:t>9</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A10DCC6" w14:textId="77777777" w:rsidR="00615E2D" w:rsidRDefault="00C83E46">
            <w:pPr>
              <w:pStyle w:val="P68B1DB1-Normal11"/>
              <w:spacing w:line="240" w:lineRule="auto"/>
              <w:rPr>
                <w:noProof/>
              </w:rPr>
            </w:pPr>
            <w:r>
              <w:rPr>
                <w:noProof/>
              </w:rPr>
              <w:t>Ulaganje 1: Digitalne usluge za krajnje korisnike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3F271C6" w14:textId="77777777" w:rsidR="00615E2D" w:rsidRDefault="00C83E46">
            <w:pPr>
              <w:pStyle w:val="P68B1DB1-Normal11"/>
              <w:spacing w:line="240" w:lineRule="auto"/>
              <w:rPr>
                <w:noProof/>
              </w:rPr>
            </w:pPr>
            <w:r>
              <w:rPr>
                <w:noProof/>
              </w:rPr>
              <w:t>Prekretnica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703643E" w14:textId="77777777" w:rsidR="00615E2D" w:rsidRDefault="00C83E46">
            <w:pPr>
              <w:pStyle w:val="P68B1DB1-Normal10"/>
              <w:spacing w:line="240" w:lineRule="auto"/>
              <w:rPr>
                <w:noProof/>
                <w:color w:val="006100"/>
              </w:rPr>
            </w:pPr>
            <w:r>
              <w:rPr>
                <w:noProof/>
                <w:color w:val="006100"/>
              </w:rPr>
              <w:t xml:space="preserve">Potpuno </w:t>
            </w:r>
            <w:r>
              <w:rPr>
                <w:noProof/>
                <w:color w:val="004300"/>
              </w:rPr>
              <w:t>funkcioniranje 4 informacijske sitne</w:t>
            </w:r>
            <w:r>
              <w:rPr>
                <w:noProof/>
                <w:color w:val="006100"/>
              </w:rPr>
              <w:t>stabljike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829518D" w14:textId="77777777" w:rsidR="00615E2D" w:rsidRDefault="00C83E46">
            <w:pPr>
              <w:pStyle w:val="P68B1DB1-Normal11"/>
              <w:spacing w:line="240" w:lineRule="auto"/>
              <w:rPr>
                <w:noProof/>
              </w:rPr>
            </w:pPr>
            <w:r>
              <w:rPr>
                <w:noProof/>
              </w:rPr>
              <w:t>Početak rada četiriju razvijenih informacijskih sustava koji pružaju usluge krajnjim korisnicima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42A5C72"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297387"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941F462"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24934A3" w14:textId="77777777"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D750D4E" w14:textId="77777777" w:rsidR="00615E2D" w:rsidRDefault="00C83E46">
            <w:pPr>
              <w:pStyle w:val="P68B1DB1-Normal11"/>
              <w:spacing w:line="240" w:lineRule="auto"/>
              <w:jc w:val="center"/>
              <w:rPr>
                <w:noProof/>
              </w:rPr>
            </w:pPr>
            <w:r>
              <w:rPr>
                <w:noProof/>
              </w:rPr>
              <w:t>2024</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E8C5D1A" w14:textId="2A735AC2" w:rsidR="00615E2D" w:rsidRDefault="00C83E46">
            <w:pPr>
              <w:pStyle w:val="P68B1DB1-Normal11"/>
              <w:spacing w:line="259" w:lineRule="auto"/>
              <w:rPr>
                <w:noProof/>
              </w:rPr>
            </w:pPr>
            <w:r>
              <w:rPr>
                <w:noProof/>
              </w:rPr>
              <w:t>Dovršavaju se sljedeći projekti: Razvoj digitalnog registra; Jedinstveni portal za evidenciju kontrola (JePEK); SIS_2 Alati za središnju obradu statističkih zadaća; e-turizam.</w:t>
            </w:r>
          </w:p>
        </w:tc>
      </w:tr>
      <w:tr w:rsidR="00615E2D" w14:paraId="7562A58D" w14:textId="77777777">
        <w:trPr>
          <w:trHeight w:val="945"/>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A4E8240" w14:textId="77777777" w:rsidR="00615E2D" w:rsidRDefault="00C83E46">
            <w:pPr>
              <w:pStyle w:val="P68B1DB1-Normal11"/>
              <w:spacing w:line="259" w:lineRule="auto"/>
              <w:jc w:val="center"/>
              <w:rPr>
                <w:noProof/>
              </w:rPr>
            </w:pPr>
            <w:r>
              <w:rPr>
                <w:noProof/>
              </w:rPr>
              <w:t>10</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0E78388" w14:textId="77777777" w:rsidR="00615E2D" w:rsidRDefault="00C83E46">
            <w:pPr>
              <w:pStyle w:val="P68B1DB1-Normal11"/>
              <w:spacing w:line="240" w:lineRule="auto"/>
              <w:rPr>
                <w:noProof/>
              </w:rPr>
            </w:pPr>
            <w:r>
              <w:rPr>
                <w:noProof/>
              </w:rPr>
              <w:t>Ulaganje 1: Digitalne usluge za krajnje korisnike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CADA750" w14:textId="77777777" w:rsidR="00615E2D" w:rsidRDefault="00C83E46">
            <w:pPr>
              <w:pStyle w:val="P68B1DB1-Normal11"/>
              <w:spacing w:line="240" w:lineRule="auto"/>
              <w:rPr>
                <w:noProof/>
              </w:rPr>
            </w:pPr>
            <w:r>
              <w:rPr>
                <w:noProof/>
              </w:rPr>
              <w:t> Ciljna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CF876AA" w14:textId="77777777" w:rsidR="00615E2D" w:rsidRDefault="00C83E46">
            <w:pPr>
              <w:pStyle w:val="P68B1DB1-Normal11"/>
              <w:spacing w:line="240" w:lineRule="auto"/>
              <w:rPr>
                <w:noProof/>
              </w:rPr>
            </w:pPr>
            <w:r>
              <w:rPr>
                <w:noProof/>
              </w:rPr>
              <w:t>Dovršetak navedenih projekata, što dovodi do povećanja broja ispunjenih obrazaca koje fizičke i pravne osobe šalju državnim tijelima na digitalni način (putem portala ili digitalnih poštanskih sandučića)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2ED2B74" w14:textId="77777777" w:rsidR="00615E2D" w:rsidRDefault="00C83E46">
            <w:pPr>
              <w:pStyle w:val="P68B1DB1-Normal11"/>
              <w:spacing w:line="240" w:lineRule="auto"/>
              <w:rPr>
                <w:noProof/>
              </w:rPr>
            </w:pPr>
            <w:r>
              <w:rPr>
                <w:noProof/>
              </w:rPr>
              <w:t>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FA8D6DB" w14:textId="77777777" w:rsidR="00615E2D" w:rsidRDefault="00C83E46">
            <w:pPr>
              <w:pStyle w:val="P68B1DB1-Normal11"/>
              <w:spacing w:line="240" w:lineRule="auto"/>
              <w:rPr>
                <w:noProof/>
              </w:rPr>
            </w:pPr>
            <w:r>
              <w:rPr>
                <w:noProof/>
              </w:rPr>
              <w:t>Broj</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B4787F9" w14:textId="2834E12D" w:rsidR="00615E2D" w:rsidRDefault="00C83E46">
            <w:pPr>
              <w:pStyle w:val="P68B1DB1-Normal11"/>
              <w:spacing w:line="240" w:lineRule="auto"/>
              <w:jc w:val="center"/>
              <w:rPr>
                <w:noProof/>
              </w:rPr>
            </w:pPr>
            <w:r>
              <w:rPr>
                <w:b/>
                <w:noProof/>
              </w:rPr>
              <w:t xml:space="preserve"> </w:t>
            </w:r>
            <w:r>
              <w:rPr>
                <w:noProof/>
              </w:rPr>
              <w:t>13 942 722</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2380B09" w14:textId="77777777" w:rsidR="00615E2D" w:rsidRDefault="00C83E46">
            <w:pPr>
              <w:pStyle w:val="P68B1DB1-Normal11"/>
              <w:spacing w:line="240" w:lineRule="auto"/>
              <w:jc w:val="center"/>
              <w:rPr>
                <w:noProof/>
              </w:rPr>
            </w:pPr>
            <w:r>
              <w:rPr>
                <w:noProof/>
              </w:rPr>
              <w:t> </w:t>
            </w:r>
          </w:p>
          <w:p w14:paraId="4B0C3F38" w14:textId="0FAF3C04" w:rsidR="00615E2D" w:rsidRDefault="00C83E46">
            <w:pPr>
              <w:pStyle w:val="P68B1DB1-Normal11"/>
              <w:spacing w:before="0" w:after="0" w:line="240" w:lineRule="auto"/>
              <w:jc w:val="center"/>
              <w:rPr>
                <w:noProof/>
              </w:rPr>
            </w:pPr>
            <w:r>
              <w:rPr>
                <w:noProof/>
              </w:rPr>
              <w:t>27 885 444</w:t>
            </w:r>
          </w:p>
          <w:p w14:paraId="2FE23737"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46CF3BA" w14:textId="77777777" w:rsidR="00615E2D" w:rsidRDefault="00C83E46">
            <w:pPr>
              <w:pStyle w:val="P68B1DB1-Normal11"/>
              <w:spacing w:line="240" w:lineRule="auto"/>
              <w:jc w:val="center"/>
              <w:rPr>
                <w:noProof/>
              </w:rPr>
            </w:pPr>
            <w:r>
              <w:rPr>
                <w:noProof/>
              </w:rPr>
              <w:t>TROMJESEČJE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2CEE9A2" w14:textId="77777777" w:rsidR="00615E2D" w:rsidRDefault="00C83E46">
            <w:pPr>
              <w:pStyle w:val="P68B1DB1-Normal11"/>
              <w:spacing w:line="240" w:lineRule="auto"/>
              <w:jc w:val="center"/>
              <w:rPr>
                <w:noProof/>
              </w:rPr>
            </w:pPr>
            <w:r>
              <w:rPr>
                <w:noProof/>
              </w:rPr>
              <w:t>2026 </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6E5B522" w14:textId="418E2169" w:rsidR="00615E2D" w:rsidRDefault="00C83E46">
            <w:pPr>
              <w:pStyle w:val="P68B1DB1-Normal11"/>
              <w:spacing w:line="240" w:lineRule="auto"/>
              <w:rPr>
                <w:noProof/>
              </w:rPr>
            </w:pPr>
            <w:r>
              <w:rPr>
                <w:noProof/>
              </w:rPr>
              <w:t xml:space="preserve">Mjere dovode do stopostotnog povećanja broja elektronički ispunjenih obrazaca podnesenih putem portala i podatkovnih sandučića tijekom jednogodišnjeg razdoblja u odnosu na referentnu osnovu za 2019. To se postiže dovršetkom sljedećih povezanih projekata: provedba zakonodavnih promjena u informacijskom sustavu za katastar nekretnina (ISKN); nove digitalne usluge za male organizacije; Digitalna usluga u okviru Integriranog informacijskog sustava češke uprave za socijalnu sigurnost (IIS ČSSZ); Sustav za provjeru ulaganja; Nacionalni elektronički alat; Službeni list ugovora o javnoj nabavi; Popis kvalificiranih dobavljača; Portal za poduzetnike; Portal javne uprave 2.0 (Portal za građane); SIS1_Jedinstvena točka prikupljanja – jedinstveno sučelje za pružanje podataka; Usluge tehničkog i patentnog informacijskog sustava; elektroničko podnošenje odjelu za okoliš; razvoj podnesaka češkoj upravi za socijalnu sigurnost i povezivanje javne uprave s digitalnim uslugama; daljnji razvoj češke uprave za socijalnu sigurnost – Informacijsko i komunikacijsko sučelje – Jedinstveno rješenje portala za rad i socijalna pitanja te njegovo povezivanje digitalne usluge s javnom upravom; razvoj novih internetskih prezentacija za </w:t>
            </w:r>
            <w:r>
              <w:rPr>
                <w:noProof/>
                <w:u w:val="single"/>
              </w:rPr>
              <w:t>Ministarstvo vanjskih poslova.</w:t>
            </w:r>
          </w:p>
        </w:tc>
      </w:tr>
      <w:tr w:rsidR="00615E2D" w14:paraId="220D5F87" w14:textId="77777777">
        <w:trPr>
          <w:trHeight w:val="450"/>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4760802" w14:textId="77777777" w:rsidR="00615E2D" w:rsidRDefault="00C83E46">
            <w:pPr>
              <w:pStyle w:val="P68B1DB1-Normal11"/>
              <w:spacing w:line="240" w:lineRule="auto"/>
              <w:jc w:val="center"/>
              <w:rPr>
                <w:noProof/>
              </w:rPr>
            </w:pPr>
            <w:r>
              <w:rPr>
                <w:noProof/>
              </w:rPr>
              <w:t> 11</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F1E2340" w14:textId="77777777" w:rsidR="00615E2D" w:rsidRDefault="00C83E46">
            <w:pPr>
              <w:pStyle w:val="P68B1DB1-Normal11"/>
              <w:spacing w:line="240" w:lineRule="auto"/>
              <w:rPr>
                <w:noProof/>
              </w:rPr>
            </w:pPr>
            <w:r>
              <w:rPr>
                <w:noProof/>
              </w:rPr>
              <w:t>Ulaganje 2: Razvoj otvorenih podataka i javnih podataka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23AFEA7" w14:textId="77777777" w:rsidR="00615E2D" w:rsidRDefault="00C83E46">
            <w:pPr>
              <w:pStyle w:val="P68B1DB1-Normal11"/>
              <w:spacing w:line="240" w:lineRule="auto"/>
              <w:rPr>
                <w:noProof/>
              </w:rPr>
            </w:pPr>
            <w:r>
              <w:rPr>
                <w:noProof/>
              </w:rPr>
              <w:t> Prekretnica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C48338C" w14:textId="77777777" w:rsidR="00615E2D" w:rsidRDefault="00C83E46">
            <w:pPr>
              <w:pStyle w:val="P68B1DB1-Normal11"/>
              <w:spacing w:line="240" w:lineRule="auto"/>
              <w:rPr>
                <w:noProof/>
                <w:color w:val="FF0000"/>
              </w:rPr>
            </w:pPr>
            <w:r>
              <w:rPr>
                <w:noProof/>
              </w:rPr>
              <w:t xml:space="preserve">Proširenje nacionalnog kataloga otvorenih podataka naprednim funkcijama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8EE4465" w14:textId="04A47EE8" w:rsidR="00615E2D" w:rsidRDefault="00C83E46">
            <w:pPr>
              <w:pStyle w:val="P68B1DB1-Normal11"/>
              <w:spacing w:line="240" w:lineRule="auto"/>
              <w:rPr>
                <w:noProof/>
              </w:rPr>
            </w:pPr>
            <w:r>
              <w:rPr>
                <w:noProof/>
              </w:rPr>
              <w:t xml:space="preserve">Potpuno funkcionalan nacionalni katalog otvorenih podataka s naprednim funkcijama i uslugama,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7C2BBEB" w14:textId="77777777" w:rsidR="00615E2D" w:rsidRDefault="00C83E46">
            <w:pPr>
              <w:pStyle w:val="P68B1DB1-Normal11"/>
              <w:spacing w:line="240" w:lineRule="auto"/>
              <w:rPr>
                <w:noProof/>
              </w:rPr>
            </w:pPr>
            <w:r>
              <w:rPr>
                <w:noProof/>
              </w:rPr>
              <w:t>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4B00F6D" w14:textId="77777777" w:rsidR="00615E2D" w:rsidRDefault="00C83E46">
            <w:pPr>
              <w:pStyle w:val="P68B1DB1-Normal11"/>
              <w:spacing w:line="240" w:lineRule="auto"/>
              <w:jc w:val="center"/>
              <w:rPr>
                <w:noProof/>
              </w:rPr>
            </w:pPr>
            <w:r>
              <w:rPr>
                <w:noProof/>
              </w:rPr>
              <w:t>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14C6F2F" w14:textId="77777777" w:rsidR="00615E2D" w:rsidRDefault="00C83E46">
            <w:pPr>
              <w:pStyle w:val="P68B1DB1-Normal11"/>
              <w:spacing w:line="240" w:lineRule="auto"/>
              <w:jc w:val="center"/>
              <w:rPr>
                <w:noProof/>
              </w:rPr>
            </w:pPr>
            <w:r>
              <w:rPr>
                <w:noProof/>
              </w:rPr>
              <w:t>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C524CD2" w14:textId="77777777" w:rsidR="00615E2D" w:rsidRDefault="00C83E46">
            <w:pPr>
              <w:pStyle w:val="P68B1DB1-Normal11"/>
              <w:spacing w:line="240" w:lineRule="auto"/>
              <w:jc w:val="center"/>
              <w:rPr>
                <w:noProof/>
              </w:rPr>
            </w:pPr>
            <w:r>
              <w:rPr>
                <w:noProof/>
              </w:rPr>
              <w:t> 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C59D9C0" w14:textId="35A541E1" w:rsidR="00615E2D" w:rsidRDefault="00C83E46">
            <w:pPr>
              <w:pStyle w:val="P68B1DB1-Normal11"/>
              <w:spacing w:line="240" w:lineRule="auto"/>
              <w:jc w:val="center"/>
              <w:rPr>
                <w:noProof/>
              </w:rPr>
            </w:pPr>
            <w:r>
              <w:rPr>
                <w:noProof/>
              </w:rPr>
              <w:t>2024 </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E035CD6" w14:textId="1FDD260A" w:rsidR="00615E2D" w:rsidRDefault="00C83E46">
            <w:pPr>
              <w:pStyle w:val="P68B1DB1-Normal11"/>
              <w:spacing w:line="259" w:lineRule="auto"/>
              <w:rPr>
                <w:noProof/>
              </w:rPr>
            </w:pPr>
            <w:r>
              <w:rPr>
                <w:noProof/>
              </w:rPr>
              <w:t>Nacionalni katalog otvorenih podataka registrira i objavljuje otvorene i javne podatke i informacije iz cijele javne uprave na jednom mjestu. Ima napredne funkcije za pretraživanje, povećanje katalogiziranih podataka i usluga, uključujući objavu popisa kodova u javnom podatkovnom fondu.</w:t>
            </w:r>
          </w:p>
        </w:tc>
      </w:tr>
      <w:tr w:rsidR="00615E2D" w14:paraId="17C2CC44" w14:textId="77777777">
        <w:trPr>
          <w:trHeight w:val="287"/>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6167317" w14:textId="77777777" w:rsidR="00615E2D" w:rsidRDefault="00C83E46">
            <w:pPr>
              <w:pStyle w:val="P68B1DB1-Normal11"/>
              <w:spacing w:line="240" w:lineRule="auto"/>
              <w:jc w:val="center"/>
              <w:rPr>
                <w:noProof/>
              </w:rPr>
            </w:pPr>
            <w:r>
              <w:rPr>
                <w:noProof/>
              </w:rPr>
              <w:t> 12</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64A2A45" w14:textId="77777777" w:rsidR="00615E2D" w:rsidRDefault="00C83E46">
            <w:pPr>
              <w:pStyle w:val="P68B1DB1-Normal11"/>
              <w:spacing w:line="240" w:lineRule="auto"/>
              <w:rPr>
                <w:noProof/>
              </w:rPr>
            </w:pPr>
            <w:r>
              <w:rPr>
                <w:noProof/>
              </w:rPr>
              <w:t>Ulaganje 2: Razvoj otvorenih podataka i javnih podataka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6448F13" w14:textId="77777777" w:rsidR="00615E2D" w:rsidRDefault="00C83E46">
            <w:pPr>
              <w:pStyle w:val="P68B1DB1-Normal11"/>
              <w:spacing w:line="240" w:lineRule="auto"/>
              <w:rPr>
                <w:noProof/>
              </w:rPr>
            </w:pPr>
            <w:r>
              <w:rPr>
                <w:noProof/>
              </w:rPr>
              <w:t> Ciljna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F31CF54" w14:textId="77777777" w:rsidR="00615E2D" w:rsidRDefault="00C83E46">
            <w:pPr>
              <w:pStyle w:val="P68B1DB1-Normal11"/>
              <w:spacing w:line="240" w:lineRule="auto"/>
              <w:rPr>
                <w:noProof/>
              </w:rPr>
            </w:pPr>
            <w:r>
              <w:rPr>
                <w:noProof/>
              </w:rPr>
              <w:t>Povećanje broja proizvođača otvorenih podataka u javnoj upravi koji objavljuju otvorene podatke u Nacionalnom katalogu otvorenih podataka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4EB9411" w14:textId="77777777" w:rsidR="00615E2D" w:rsidRDefault="00C83E46">
            <w:pPr>
              <w:pStyle w:val="P68B1DB1-Normal11"/>
              <w:spacing w:line="240" w:lineRule="auto"/>
              <w:rPr>
                <w:noProof/>
              </w:rPr>
            </w:pPr>
            <w:r>
              <w:rPr>
                <w:noProof/>
              </w:rPr>
              <w:t>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C9C461E" w14:textId="77777777" w:rsidR="00615E2D" w:rsidRDefault="00C83E46">
            <w:pPr>
              <w:pStyle w:val="P68B1DB1-Normal11"/>
              <w:spacing w:line="240" w:lineRule="auto"/>
              <w:rPr>
                <w:noProof/>
              </w:rPr>
            </w:pPr>
            <w:r>
              <w:rPr>
                <w:noProof/>
              </w:rPr>
              <w:t>Broj novih javnih tijela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23A9CC7" w14:textId="77777777" w:rsidR="00615E2D" w:rsidRDefault="00C83E46">
            <w:pPr>
              <w:pStyle w:val="P68B1DB1-Normal11"/>
              <w:spacing w:line="240" w:lineRule="auto"/>
              <w:jc w:val="center"/>
              <w:rPr>
                <w:noProof/>
              </w:rPr>
            </w:pPr>
            <w:r>
              <w:rPr>
                <w:noProof/>
              </w:rPr>
              <w:t>23 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D9D5AC0" w14:textId="77777777" w:rsidR="00615E2D" w:rsidRDefault="00C83E46">
            <w:pPr>
              <w:pStyle w:val="P68B1DB1-Normal11"/>
              <w:spacing w:line="240" w:lineRule="auto"/>
              <w:jc w:val="center"/>
              <w:rPr>
                <w:noProof/>
              </w:rPr>
            </w:pPr>
            <w:r>
              <w:rPr>
                <w:noProof/>
              </w:rPr>
              <w:t> 100</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8AF7D80" w14:textId="77777777" w:rsidR="00615E2D" w:rsidRDefault="00C83E46">
            <w:pPr>
              <w:pStyle w:val="P68B1DB1-Normal11"/>
              <w:spacing w:line="240" w:lineRule="auto"/>
              <w:jc w:val="center"/>
              <w:rPr>
                <w:noProof/>
              </w:rPr>
            </w:pPr>
            <w:r>
              <w:rPr>
                <w:noProof/>
              </w:rPr>
              <w:t> 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F6E53D2" w14:textId="0209042F" w:rsidR="00615E2D" w:rsidRDefault="00C83E46">
            <w:pPr>
              <w:pStyle w:val="P68B1DB1-Normal11"/>
              <w:spacing w:line="240" w:lineRule="auto"/>
              <w:jc w:val="center"/>
              <w:rPr>
                <w:noProof/>
              </w:rPr>
            </w:pPr>
            <w:r>
              <w:rPr>
                <w:noProof/>
              </w:rPr>
              <w:t> 2022</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6925B3B" w14:textId="2EF23B8B" w:rsidR="00615E2D" w:rsidRDefault="00C83E46">
            <w:pPr>
              <w:pStyle w:val="P68B1DB1-Normal11"/>
              <w:spacing w:line="240" w:lineRule="auto"/>
              <w:rPr>
                <w:noProof/>
              </w:rPr>
            </w:pPr>
            <w:r>
              <w:rPr>
                <w:noProof/>
              </w:rPr>
              <w:t>Ciljna vrijednost dovodi do povećanja od 77 novih subjekata koji objavljuju otvorene podatke u javnoj upravi.</w:t>
            </w:r>
          </w:p>
        </w:tc>
      </w:tr>
      <w:tr w:rsidR="00615E2D" w14:paraId="31AF9685" w14:textId="77777777">
        <w:trPr>
          <w:trHeight w:val="287"/>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E98F479" w14:textId="5C78EC7B" w:rsidR="00615E2D" w:rsidRDefault="00C83E46">
            <w:pPr>
              <w:pStyle w:val="P68B1DB1-Normal11"/>
              <w:spacing w:line="240" w:lineRule="auto"/>
              <w:jc w:val="center"/>
              <w:rPr>
                <w:noProof/>
              </w:rPr>
            </w:pPr>
            <w:r>
              <w:rPr>
                <w:noProof/>
              </w:rPr>
              <w:t>245</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CE7AFE8" w14:textId="205E127E" w:rsidR="00615E2D" w:rsidRDefault="00C83E46">
            <w:pPr>
              <w:pStyle w:val="P68B1DB1-Normal11"/>
              <w:spacing w:line="240" w:lineRule="auto"/>
              <w:rPr>
                <w:noProof/>
              </w:rPr>
            </w:pPr>
            <w:r>
              <w:rPr>
                <w:noProof/>
              </w:rPr>
              <w:t>Ulaganje 2: Razvoj otvorenih podataka i javnih podataka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F542B20" w14:textId="53F833DB" w:rsidR="00615E2D" w:rsidRDefault="00C83E46">
            <w:pPr>
              <w:pStyle w:val="P68B1DB1-Normal11"/>
              <w:spacing w:line="240" w:lineRule="auto"/>
              <w:rPr>
                <w:noProof/>
              </w:rPr>
            </w:pPr>
            <w:r>
              <w:rPr>
                <w:noProof/>
              </w:rPr>
              <w:t>Ciljna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B074E48" w14:textId="1DE30D61" w:rsidR="00615E2D" w:rsidRDefault="00C83E46">
            <w:pPr>
              <w:pStyle w:val="P68B1DB1-Normal11"/>
              <w:spacing w:line="240" w:lineRule="auto"/>
              <w:rPr>
                <w:noProof/>
              </w:rPr>
            </w:pPr>
            <w:r>
              <w:rPr>
                <w:noProof/>
              </w:rPr>
              <w:t xml:space="preserve">Povećanje broja novih ili poboljšanih skupova otvorenih podataka objavljenih u nacionalnom katalogu otvorenih podataka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252EA1D"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1EC18BA" w14:textId="2A851077" w:rsidR="00615E2D" w:rsidRDefault="00C83E46">
            <w:pPr>
              <w:pStyle w:val="P68B1DB1-Normal11"/>
              <w:spacing w:line="240" w:lineRule="auto"/>
              <w:rPr>
                <w:noProof/>
              </w:rPr>
            </w:pPr>
            <w:r>
              <w:rPr>
                <w:noProof/>
              </w:rPr>
              <w:t>Broj skupova podataka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7D6845" w14:textId="575A2CA4" w:rsidR="00615E2D" w:rsidRDefault="00C83E46">
            <w:pPr>
              <w:pStyle w:val="P68B1DB1-Normal11"/>
              <w:spacing w:line="240" w:lineRule="auto"/>
              <w:jc w:val="center"/>
              <w:rPr>
                <w:noProof/>
              </w:rPr>
            </w:pPr>
            <w:r>
              <w:rPr>
                <w:noProof/>
              </w:rPr>
              <w:t>0</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B15EA98" w14:textId="293FEC80" w:rsidR="00615E2D" w:rsidRDefault="00C83E46">
            <w:pPr>
              <w:pStyle w:val="P68B1DB1-Normal11"/>
              <w:spacing w:line="240" w:lineRule="auto"/>
              <w:jc w:val="center"/>
              <w:rPr>
                <w:noProof/>
              </w:rPr>
            </w:pPr>
            <w:r>
              <w:rPr>
                <w:noProof/>
              </w:rPr>
              <w:t>125</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D5A6A8" w14:textId="1460A266"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96741FE" w14:textId="5A42E9DC" w:rsidR="00615E2D" w:rsidRDefault="00C83E46">
            <w:pPr>
              <w:pStyle w:val="P68B1DB1-Normal11"/>
              <w:spacing w:line="240" w:lineRule="auto"/>
              <w:jc w:val="center"/>
              <w:rPr>
                <w:noProof/>
              </w:rPr>
            </w:pPr>
            <w:r>
              <w:rPr>
                <w:noProof/>
              </w:rPr>
              <w:t>2024</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5B6146" w14:textId="105C3F87" w:rsidR="00615E2D" w:rsidRDefault="00C83E46">
            <w:pPr>
              <w:pStyle w:val="P68B1DB1-Normal11"/>
              <w:spacing w:line="240" w:lineRule="auto"/>
              <w:rPr>
                <w:noProof/>
              </w:rPr>
            </w:pPr>
            <w:bookmarkStart w:id="2" w:name="_Hlk136249708"/>
            <w:r>
              <w:rPr>
                <w:noProof/>
              </w:rPr>
              <w:t>125 novih ili poboljšanih otvorenih skupova podataka (popisi oznaka, obvezujući podaci, statistički podaci) objavljeni u nacionalnom katalogu otvorenih podataka.</w:t>
            </w:r>
            <w:bookmarkEnd w:id="2"/>
          </w:p>
        </w:tc>
      </w:tr>
      <w:tr w:rsidR="00615E2D" w14:paraId="15E1AE93" w14:textId="77777777">
        <w:trPr>
          <w:trHeight w:val="514"/>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722FA69" w14:textId="77777777" w:rsidR="00615E2D" w:rsidRDefault="00C83E46">
            <w:pPr>
              <w:pStyle w:val="P68B1DB1-Normal11"/>
              <w:spacing w:line="240" w:lineRule="auto"/>
              <w:jc w:val="center"/>
              <w:rPr>
                <w:noProof/>
              </w:rPr>
            </w:pPr>
            <w:r>
              <w:rPr>
                <w:noProof/>
              </w:rPr>
              <w:t>13</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3ED6058" w14:textId="77777777" w:rsidR="00615E2D" w:rsidRDefault="00C83E46">
            <w:pPr>
              <w:pStyle w:val="P68B1DB1-Normal11"/>
              <w:spacing w:line="240" w:lineRule="auto"/>
              <w:rPr>
                <w:noProof/>
              </w:rPr>
            </w:pPr>
            <w:r>
              <w:rPr>
                <w:noProof/>
              </w:rPr>
              <w:t>Ulaganje 3: Digitalna služba za pravosuđe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495CD69" w14:textId="77777777" w:rsidR="00615E2D" w:rsidRDefault="00C83E46">
            <w:pPr>
              <w:pStyle w:val="P68B1DB1-Normal11"/>
              <w:spacing w:line="240" w:lineRule="auto"/>
              <w:rPr>
                <w:noProof/>
              </w:rPr>
            </w:pPr>
            <w:r>
              <w:rPr>
                <w:noProof/>
              </w:rPr>
              <w:t>Prekretnica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1F60CE3" w14:textId="77777777" w:rsidR="00615E2D" w:rsidRDefault="00C83E46">
            <w:pPr>
              <w:pStyle w:val="P68B1DB1-Normal11"/>
              <w:spacing w:before="0" w:line="240" w:lineRule="auto"/>
              <w:rPr>
                <w:noProof/>
              </w:rPr>
            </w:pPr>
            <w:r>
              <w:rPr>
                <w:noProof/>
              </w:rPr>
              <w:t>Uvođenje nove tehnološke platforme portala Pravosuđe na kojoj će digitalne usluge biti dostupne građanima i koja je povezana sa središnjim portalom za građane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7592ED8" w14:textId="77777777" w:rsidR="00615E2D" w:rsidRDefault="00C83E46">
            <w:pPr>
              <w:pStyle w:val="P68B1DB1-Normal11"/>
              <w:spacing w:line="240" w:lineRule="auto"/>
              <w:rPr>
                <w:noProof/>
              </w:rPr>
            </w:pPr>
            <w:r>
              <w:rPr>
                <w:noProof/>
              </w:rPr>
              <w:t>Ažuriranje i potpuno funkcioniranje portala Pravosuđe s proširenim funkcijama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66C7CB"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0BA0D9"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E26601A"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614192EB" w14:textId="77777777"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BAE3A88" w14:textId="77777777" w:rsidR="00615E2D" w:rsidRDefault="00C83E46">
            <w:pPr>
              <w:pStyle w:val="P68B1DB1-Normal11"/>
              <w:spacing w:line="240" w:lineRule="auto"/>
              <w:jc w:val="center"/>
              <w:rPr>
                <w:noProof/>
              </w:rPr>
            </w:pPr>
            <w:r>
              <w:rPr>
                <w:noProof/>
              </w:rPr>
              <w:t>2023</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608423B" w14:textId="7B197257" w:rsidR="00615E2D" w:rsidRDefault="00C83E46">
            <w:pPr>
              <w:pStyle w:val="P68B1DB1-Normal11"/>
              <w:spacing w:line="240" w:lineRule="auto"/>
              <w:rPr>
                <w:noProof/>
                <w:highlight w:val="yellow"/>
              </w:rPr>
            </w:pPr>
            <w:r>
              <w:rPr>
                <w:noProof/>
              </w:rPr>
              <w:t xml:space="preserve">Mjerom se stvara novi portal Pravosuđe povezan s portalom za građane. Funkcije i dizajn definiraju se na temelju procjene potreba i anketa korisnika. Redizajn portala justice.cz provodi se u osam paketa tematskih sličnih lokacija. Očekuje se da će se svaki paket sastojati od faze istraživanja usmjerenog na korisnika i faze osmišljavanja sadržaja. </w:t>
            </w:r>
          </w:p>
        </w:tc>
      </w:tr>
      <w:tr w:rsidR="00615E2D" w14:paraId="497564ED" w14:textId="77777777">
        <w:trPr>
          <w:trHeight w:val="945"/>
          <w:jc w:val="center"/>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DF2E86A" w14:textId="77777777" w:rsidR="00615E2D" w:rsidRDefault="00C83E46">
            <w:pPr>
              <w:pStyle w:val="P68B1DB1-Normal11"/>
              <w:spacing w:line="240" w:lineRule="auto"/>
              <w:jc w:val="center"/>
              <w:rPr>
                <w:noProof/>
              </w:rPr>
            </w:pPr>
            <w:r>
              <w:rPr>
                <w:noProof/>
              </w:rPr>
              <w:t>14</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ACAE806" w14:textId="77777777" w:rsidR="00615E2D" w:rsidRDefault="00C83E46">
            <w:pPr>
              <w:pStyle w:val="P68B1DB1-Normal11"/>
              <w:spacing w:line="240" w:lineRule="auto"/>
              <w:rPr>
                <w:noProof/>
              </w:rPr>
            </w:pPr>
            <w:r>
              <w:rPr>
                <w:noProof/>
              </w:rPr>
              <w:t>Ulaganje 3: Digitalna služba za pravosuđe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5340CE4" w14:textId="77777777" w:rsidR="00615E2D" w:rsidRDefault="00C83E46">
            <w:pPr>
              <w:pStyle w:val="P68B1DB1-Normal11"/>
              <w:spacing w:line="240" w:lineRule="auto"/>
              <w:rPr>
                <w:noProof/>
              </w:rPr>
            </w:pPr>
            <w:r>
              <w:rPr>
                <w:noProof/>
              </w:rPr>
              <w:t>Ciljna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8DF5116" w14:textId="77777777" w:rsidR="00615E2D" w:rsidRDefault="00C83E46">
            <w:pPr>
              <w:pStyle w:val="P68B1DB1-Normal11"/>
              <w:spacing w:before="0" w:line="240" w:lineRule="auto"/>
              <w:rPr>
                <w:noProof/>
              </w:rPr>
            </w:pPr>
            <w:r>
              <w:rPr>
                <w:noProof/>
              </w:rPr>
              <w:t>Opremanje sudnica s uređajima za snimanje audiovizualnih podataka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366CB1"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4F4A8E1" w14:textId="77777777" w:rsidR="00615E2D" w:rsidRDefault="00C83E46">
            <w:pPr>
              <w:pStyle w:val="P68B1DB1-Normal11"/>
              <w:spacing w:line="240" w:lineRule="auto"/>
              <w:rPr>
                <w:noProof/>
              </w:rPr>
            </w:pPr>
            <w:r>
              <w:rPr>
                <w:noProof/>
              </w:rPr>
              <w:t>Broj sudnica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8FF8CD8" w14:textId="77777777" w:rsidR="00615E2D" w:rsidRDefault="00C83E46">
            <w:pPr>
              <w:pStyle w:val="P68B1DB1-Normal11"/>
              <w:spacing w:line="240" w:lineRule="auto"/>
              <w:jc w:val="center"/>
              <w:rPr>
                <w:noProof/>
              </w:rPr>
            </w:pPr>
            <w:r>
              <w:rPr>
                <w:noProof/>
              </w:rPr>
              <w:t>370</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ECAEA6C" w14:textId="77777777" w:rsidR="00615E2D" w:rsidRDefault="00C83E46">
            <w:pPr>
              <w:pStyle w:val="P68B1DB1-Normal11"/>
              <w:spacing w:line="240" w:lineRule="auto"/>
              <w:jc w:val="center"/>
              <w:rPr>
                <w:noProof/>
              </w:rPr>
            </w:pPr>
            <w:r>
              <w:rPr>
                <w:noProof/>
              </w:rPr>
              <w:t>1100</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599014AA" w14:textId="77777777" w:rsidR="00615E2D" w:rsidRDefault="00C83E46">
            <w:pPr>
              <w:pStyle w:val="P68B1DB1-Normal11"/>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7759906" w14:textId="77777777" w:rsidR="00615E2D" w:rsidRDefault="00C83E46">
            <w:pPr>
              <w:pStyle w:val="P68B1DB1-Normal11"/>
              <w:spacing w:line="240" w:lineRule="auto"/>
              <w:jc w:val="center"/>
              <w:rPr>
                <w:noProof/>
              </w:rPr>
            </w:pPr>
            <w:r>
              <w:rPr>
                <w:noProof/>
              </w:rPr>
              <w:t>2023</w:t>
            </w:r>
          </w:p>
        </w:tc>
        <w:tc>
          <w:tcPr>
            <w:tcW w:w="4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57C37CC" w14:textId="77777777" w:rsidR="00615E2D" w:rsidRDefault="00C83E46">
            <w:pPr>
              <w:pStyle w:val="P68B1DB1-Normal11"/>
              <w:spacing w:line="240" w:lineRule="auto"/>
              <w:rPr>
                <w:noProof/>
              </w:rPr>
            </w:pPr>
            <w:r>
              <w:rPr>
                <w:noProof/>
              </w:rPr>
              <w:t>Mjerom se nabavlja audiovizualna oprema za sudnice kako bi se omogućilo digitalno snimanje rasprava i postupaka radi veće transparentnosti.</w:t>
            </w:r>
          </w:p>
        </w:tc>
      </w:tr>
    </w:tbl>
    <w:p w14:paraId="7CD0AE75" w14:textId="38F8E1B9" w:rsidR="00615E2D" w:rsidRDefault="00615E2D">
      <w:pPr>
        <w:rPr>
          <w:noProof/>
        </w:rPr>
      </w:pPr>
    </w:p>
    <w:p w14:paraId="3BA4596A" w14:textId="77777777" w:rsidR="00615E2D" w:rsidRDefault="00615E2D">
      <w:pPr>
        <w:pBdr>
          <w:top w:val="nil"/>
          <w:left w:val="nil"/>
          <w:bottom w:val="nil"/>
          <w:right w:val="nil"/>
          <w:between w:val="nil"/>
        </w:pBdr>
        <w:spacing w:line="240" w:lineRule="auto"/>
        <w:rPr>
          <w:b/>
          <w:noProof/>
        </w:rPr>
        <w:sectPr w:rsidR="00615E2D" w:rsidSect="00FA0A0D">
          <w:headerReference w:type="even" r:id="rId24"/>
          <w:headerReference w:type="default" r:id="rId25"/>
          <w:footerReference w:type="even" r:id="rId26"/>
          <w:footerReference w:type="default" r:id="rId27"/>
          <w:headerReference w:type="first" r:id="rId28"/>
          <w:footerReference w:type="first" r:id="rId29"/>
          <w:pgSz w:w="16839" w:h="11907" w:orient="landscape"/>
          <w:pgMar w:top="1134" w:right="1134" w:bottom="1134" w:left="1134" w:header="567" w:footer="567" w:gutter="0"/>
          <w:cols w:space="720"/>
          <w:docGrid w:linePitch="360"/>
        </w:sectPr>
      </w:pPr>
    </w:p>
    <w:p w14:paraId="45C89E91" w14:textId="3578DD55" w:rsidR="00615E2D" w:rsidRDefault="00C83E46">
      <w:pPr>
        <w:pStyle w:val="P68B1DB1-Normal5"/>
        <w:pBdr>
          <w:top w:val="nil"/>
          <w:left w:val="nil"/>
          <w:bottom w:val="nil"/>
          <w:right w:val="nil"/>
          <w:between w:val="nil"/>
        </w:pBdr>
        <w:spacing w:line="240" w:lineRule="auto"/>
        <w:rPr>
          <w:noProof/>
        </w:rPr>
      </w:pPr>
      <w:r>
        <w:rPr>
          <w:noProof/>
        </w:rPr>
        <w:t>A.3. Opis reformi i ulaganja za zajam</w:t>
      </w:r>
    </w:p>
    <w:p w14:paraId="3C77F2CC" w14:textId="77777777" w:rsidR="00615E2D" w:rsidRDefault="00C83E46">
      <w:pPr>
        <w:pStyle w:val="P68B1DB1-Normal7"/>
        <w:pBdr>
          <w:top w:val="nil"/>
          <w:left w:val="nil"/>
          <w:bottom w:val="nil"/>
          <w:right w:val="nil"/>
          <w:between w:val="nil"/>
        </w:pBdr>
        <w:spacing w:line="240" w:lineRule="auto"/>
        <w:rPr>
          <w:noProof/>
        </w:rPr>
      </w:pPr>
      <w:r>
        <w:rPr>
          <w:noProof/>
        </w:rPr>
        <w:t>Ulaganje 4: Digitalne usluge za krajnje korisnike u socijalnom području</w:t>
      </w:r>
    </w:p>
    <w:p w14:paraId="60AA58F2" w14:textId="32DAD67F" w:rsidR="00615E2D" w:rsidRDefault="00C83E46">
      <w:pPr>
        <w:spacing w:line="240" w:lineRule="auto"/>
        <w:jc w:val="both"/>
        <w:rPr>
          <w:rFonts w:eastAsia="Times New Roman"/>
          <w:noProof/>
        </w:rPr>
      </w:pPr>
      <w:r>
        <w:rPr>
          <w:noProof/>
        </w:rPr>
        <w:t xml:space="preserve">Ulaganje se sastoji od nadogradnje samoposlužnog portala za Ured rada uspostavom zone klijenta II., uz uvođenje novih funkcija za krajnje korisnike. Njime se posebno </w:t>
      </w:r>
      <w:r>
        <w:rPr>
          <w:rFonts w:eastAsia="Times New Roman"/>
          <w:noProof/>
          <w:color w:val="000000" w:themeColor="text1"/>
        </w:rPr>
        <w:t xml:space="preserve">omogućuje potpora internetskim prijavama za naknade za stanovanje, potpunoj elektroničkoj razmjeni podataka s krajnjim korisnicima te odabranim procesima u programu zapošljavanja. </w:t>
      </w:r>
    </w:p>
    <w:p w14:paraId="3569420B" w14:textId="77777777" w:rsidR="00615E2D" w:rsidRDefault="00C83E46">
      <w:pPr>
        <w:spacing w:line="240" w:lineRule="auto"/>
        <w:jc w:val="both"/>
        <w:rPr>
          <w:noProof/>
        </w:rPr>
        <w:sectPr w:rsidR="00615E2D" w:rsidSect="00FA0A0D">
          <w:headerReference w:type="even" r:id="rId30"/>
          <w:headerReference w:type="default" r:id="rId31"/>
          <w:footerReference w:type="even" r:id="rId32"/>
          <w:footerReference w:type="default" r:id="rId33"/>
          <w:headerReference w:type="first" r:id="rId34"/>
          <w:footerReference w:type="first" r:id="rId35"/>
          <w:pgSz w:w="11907" w:h="16839"/>
          <w:pgMar w:top="1134" w:right="1134" w:bottom="1134" w:left="1134" w:header="567" w:footer="567" w:gutter="0"/>
          <w:cols w:space="720"/>
          <w:docGrid w:linePitch="360"/>
        </w:sectPr>
      </w:pPr>
      <w:r>
        <w:rPr>
          <w:noProof/>
        </w:rPr>
        <w:t>To se ulaganje provodi do 30. lipnja 2026.</w:t>
      </w:r>
    </w:p>
    <w:p w14:paraId="00AE9D74" w14:textId="1063968A" w:rsidR="00615E2D" w:rsidRDefault="00C83E46">
      <w:pPr>
        <w:pStyle w:val="P68B1DB1-Normal8"/>
        <w:pBdr>
          <w:top w:val="nil"/>
          <w:left w:val="nil"/>
          <w:bottom w:val="nil"/>
          <w:right w:val="nil"/>
          <w:between w:val="nil"/>
        </w:pBdr>
        <w:tabs>
          <w:tab w:val="left" w:pos="993"/>
        </w:tabs>
        <w:spacing w:line="240" w:lineRule="auto"/>
        <w:rPr>
          <w:rFonts w:ascii="Calibri" w:hAnsi="Calibri"/>
          <w:noProof/>
          <w:sz w:val="22"/>
        </w:rPr>
      </w:pPr>
      <w:r>
        <w:rPr>
          <w:noProof/>
        </w:rPr>
        <w:t xml:space="preserve">A.4. Ključne etape, ciljne vrijednosti, pokazatelji i vremenski raspored za praćenje i provedbu zajma </w:t>
      </w:r>
    </w:p>
    <w:tbl>
      <w:tblPr>
        <w:tblW w:w="1456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35"/>
        <w:gridCol w:w="1188"/>
        <w:gridCol w:w="1091"/>
        <w:gridCol w:w="1676"/>
        <w:gridCol w:w="1092"/>
        <w:gridCol w:w="990"/>
        <w:gridCol w:w="990"/>
        <w:gridCol w:w="990"/>
        <w:gridCol w:w="990"/>
        <w:gridCol w:w="990"/>
        <w:gridCol w:w="3932"/>
      </w:tblGrid>
      <w:tr w:rsidR="00615E2D" w14:paraId="0C2F377E" w14:textId="77777777">
        <w:trPr>
          <w:trHeight w:val="331"/>
          <w:tblHeader/>
          <w:jc w:val="center"/>
        </w:trPr>
        <w:tc>
          <w:tcPr>
            <w:tcW w:w="682"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45DB261C" w14:textId="77777777" w:rsidR="00615E2D" w:rsidRDefault="00C83E46">
            <w:pPr>
              <w:pStyle w:val="P68B1DB1-Normal9"/>
              <w:spacing w:line="240" w:lineRule="auto"/>
              <w:jc w:val="center"/>
              <w:rPr>
                <w:noProof/>
              </w:rPr>
            </w:pPr>
            <w:r>
              <w:rPr>
                <w:noProof/>
              </w:rPr>
              <w:t>Sljedeće NUM.</w:t>
            </w:r>
          </w:p>
        </w:tc>
        <w:tc>
          <w:tcPr>
            <w:tcW w:w="1300"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0351D825" w14:textId="77777777" w:rsidR="00615E2D" w:rsidRDefault="00C83E46">
            <w:pPr>
              <w:pStyle w:val="P68B1DB1-Normal9"/>
              <w:spacing w:line="240" w:lineRule="auto"/>
              <w:jc w:val="center"/>
              <w:rPr>
                <w:noProof/>
              </w:rPr>
            </w:pPr>
            <w:r>
              <w:rPr>
                <w:noProof/>
              </w:rPr>
              <w:t xml:space="preserve">Povezana mjera (reforma ili ulaganje) </w:t>
            </w:r>
          </w:p>
        </w:tc>
        <w:tc>
          <w:tcPr>
            <w:tcW w:w="1191"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75DDA575" w14:textId="77777777" w:rsidR="00615E2D" w:rsidRDefault="00C83E46">
            <w:pPr>
              <w:pStyle w:val="P68B1DB1-Normal9"/>
              <w:spacing w:line="240" w:lineRule="auto"/>
              <w:jc w:val="center"/>
              <w:rPr>
                <w:noProof/>
              </w:rPr>
            </w:pPr>
            <w:r>
              <w:rPr>
                <w:noProof/>
              </w:rPr>
              <w:t xml:space="preserve">Ključna etapa/ciljna vrijednost </w:t>
            </w:r>
          </w:p>
        </w:tc>
        <w:tc>
          <w:tcPr>
            <w:tcW w:w="1843"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5321652D" w14:textId="77777777" w:rsidR="00615E2D" w:rsidRDefault="00C83E46">
            <w:pPr>
              <w:pStyle w:val="P68B1DB1-Normal9"/>
              <w:spacing w:line="240" w:lineRule="auto"/>
              <w:jc w:val="center"/>
              <w:rPr>
                <w:noProof/>
              </w:rPr>
            </w:pPr>
            <w:r>
              <w:rPr>
                <w:noProof/>
              </w:rPr>
              <w:t xml:space="preserve">Ime </w:t>
            </w:r>
          </w:p>
        </w:tc>
        <w:tc>
          <w:tcPr>
            <w:tcW w:w="1191" w:type="dxa"/>
            <w:vMerge w:val="restart"/>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BDD7EE"/>
            <w:vAlign w:val="center"/>
            <w:hideMark/>
          </w:tcPr>
          <w:p w14:paraId="433360DD"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w:t>
            </w:r>
          </w:p>
        </w:tc>
        <w:tc>
          <w:tcPr>
            <w:tcW w:w="107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2517DF3F"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077" w:type="dxa"/>
            <w:gridSpan w:val="2"/>
            <w:tcBorders>
              <w:top w:val="single" w:sz="8" w:space="0" w:color="000000" w:themeColor="text1"/>
              <w:left w:val="nil"/>
              <w:bottom w:val="single" w:sz="8" w:space="0" w:color="000000" w:themeColor="text1"/>
              <w:right w:val="single" w:sz="8" w:space="0" w:color="000000" w:themeColor="text1"/>
            </w:tcBorders>
            <w:shd w:val="clear" w:color="auto" w:fill="BDD7EE"/>
            <w:vAlign w:val="center"/>
            <w:hideMark/>
          </w:tcPr>
          <w:p w14:paraId="1FDC2903" w14:textId="77777777" w:rsidR="00615E2D" w:rsidRDefault="00C83E46">
            <w:pPr>
              <w:pStyle w:val="P68B1DB1-Normal9"/>
              <w:spacing w:line="240" w:lineRule="auto"/>
              <w:jc w:val="center"/>
              <w:rPr>
                <w:noProof/>
              </w:rPr>
            </w:pPr>
            <w:r>
              <w:rPr>
                <w:noProof/>
              </w:rPr>
              <w:t xml:space="preserve">Okvirni vremenski okvir za dovršetak </w:t>
            </w:r>
          </w:p>
        </w:tc>
        <w:tc>
          <w:tcPr>
            <w:tcW w:w="4361" w:type="dxa"/>
            <w:vMerge w:val="restart"/>
            <w:tcBorders>
              <w:top w:val="single" w:sz="8" w:space="0" w:color="000000" w:themeColor="text1"/>
              <w:left w:val="nil"/>
              <w:bottom w:val="single" w:sz="4" w:space="0" w:color="000000" w:themeColor="text1"/>
              <w:right w:val="single" w:sz="8" w:space="0" w:color="000000" w:themeColor="text1"/>
            </w:tcBorders>
            <w:shd w:val="clear" w:color="auto" w:fill="BDD7EE"/>
            <w:vAlign w:val="center"/>
            <w:hideMark/>
          </w:tcPr>
          <w:p w14:paraId="5C1E299C"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1564244F" w14:textId="77777777">
        <w:trPr>
          <w:trHeight w:val="416"/>
          <w:tblHeader/>
          <w:jc w:val="center"/>
        </w:trPr>
        <w:tc>
          <w:tcPr>
            <w:tcW w:w="682" w:type="dxa"/>
            <w:vMerge/>
            <w:vAlign w:val="center"/>
            <w:hideMark/>
          </w:tcPr>
          <w:p w14:paraId="0A708CE2" w14:textId="77777777" w:rsidR="00615E2D" w:rsidRDefault="00615E2D">
            <w:pPr>
              <w:spacing w:before="0" w:after="0" w:line="240" w:lineRule="auto"/>
              <w:rPr>
                <w:rFonts w:eastAsia="Times New Roman"/>
                <w:noProof/>
                <w:sz w:val="18"/>
              </w:rPr>
            </w:pPr>
          </w:p>
        </w:tc>
        <w:tc>
          <w:tcPr>
            <w:tcW w:w="1300" w:type="dxa"/>
            <w:vMerge/>
            <w:vAlign w:val="center"/>
            <w:hideMark/>
          </w:tcPr>
          <w:p w14:paraId="1AD95EBE" w14:textId="77777777" w:rsidR="00615E2D" w:rsidRDefault="00615E2D">
            <w:pPr>
              <w:spacing w:before="0" w:after="0" w:line="240" w:lineRule="auto"/>
              <w:rPr>
                <w:rFonts w:eastAsia="Times New Roman"/>
                <w:noProof/>
                <w:sz w:val="18"/>
              </w:rPr>
            </w:pPr>
          </w:p>
        </w:tc>
        <w:tc>
          <w:tcPr>
            <w:tcW w:w="1191" w:type="dxa"/>
            <w:vMerge/>
            <w:vAlign w:val="center"/>
            <w:hideMark/>
          </w:tcPr>
          <w:p w14:paraId="2014720C" w14:textId="77777777" w:rsidR="00615E2D" w:rsidRDefault="00615E2D">
            <w:pPr>
              <w:spacing w:before="0" w:after="0" w:line="240" w:lineRule="auto"/>
              <w:rPr>
                <w:rFonts w:eastAsia="Times New Roman"/>
                <w:noProof/>
                <w:sz w:val="18"/>
              </w:rPr>
            </w:pPr>
          </w:p>
        </w:tc>
        <w:tc>
          <w:tcPr>
            <w:tcW w:w="1843" w:type="dxa"/>
            <w:vMerge/>
            <w:vAlign w:val="center"/>
            <w:hideMark/>
          </w:tcPr>
          <w:p w14:paraId="4B67F3BA" w14:textId="77777777" w:rsidR="00615E2D" w:rsidRDefault="00615E2D">
            <w:pPr>
              <w:spacing w:before="0" w:after="0" w:line="240" w:lineRule="auto"/>
              <w:rPr>
                <w:rFonts w:eastAsia="Times New Roman"/>
                <w:noProof/>
                <w:sz w:val="18"/>
              </w:rPr>
            </w:pPr>
          </w:p>
        </w:tc>
        <w:tc>
          <w:tcPr>
            <w:tcW w:w="1191" w:type="dxa"/>
            <w:vMerge/>
            <w:vAlign w:val="center"/>
            <w:hideMark/>
          </w:tcPr>
          <w:p w14:paraId="6DFDF757" w14:textId="77777777" w:rsidR="00615E2D" w:rsidRDefault="00615E2D">
            <w:pPr>
              <w:spacing w:before="0" w:after="0" w:line="240" w:lineRule="auto"/>
              <w:rPr>
                <w:rFonts w:eastAsia="Times New Roman"/>
                <w:noProof/>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4306BD77" w14:textId="77777777" w:rsidR="00615E2D" w:rsidRDefault="00C83E46">
            <w:pPr>
              <w:pStyle w:val="P68B1DB1-Normal9"/>
              <w:spacing w:line="240" w:lineRule="auto"/>
              <w:jc w:val="center"/>
              <w:rPr>
                <w:noProof/>
              </w:rPr>
            </w:pPr>
            <w:r>
              <w:rPr>
                <w:noProof/>
              </w:rPr>
              <w:t>Jedinica mjere</w:t>
            </w:r>
          </w:p>
        </w:tc>
        <w:tc>
          <w:tcPr>
            <w:tcW w:w="10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749F579E" w14:textId="77777777" w:rsidR="00615E2D" w:rsidRDefault="00C83E46">
            <w:pPr>
              <w:pStyle w:val="P68B1DB1-Normal9"/>
              <w:spacing w:line="240" w:lineRule="auto"/>
              <w:jc w:val="center"/>
              <w:rPr>
                <w:noProof/>
              </w:rPr>
            </w:pPr>
            <w:r>
              <w:rPr>
                <w:noProof/>
              </w:rPr>
              <w:t>Osnovna vrijednost</w:t>
            </w:r>
          </w:p>
        </w:tc>
        <w:tc>
          <w:tcPr>
            <w:tcW w:w="10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1FF13CFD" w14:textId="77777777" w:rsidR="00615E2D" w:rsidRDefault="00C83E46">
            <w:pPr>
              <w:pStyle w:val="P68B1DB1-Normal9"/>
              <w:spacing w:line="240" w:lineRule="auto"/>
              <w:jc w:val="center"/>
              <w:rPr>
                <w:noProof/>
              </w:rPr>
            </w:pPr>
            <w:r>
              <w:rPr>
                <w:noProof/>
              </w:rPr>
              <w:t>Cilj</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04BD81AB" w14:textId="77777777" w:rsidR="00615E2D" w:rsidRDefault="00C83E46">
            <w:pPr>
              <w:pStyle w:val="P68B1DB1-Normal9"/>
              <w:spacing w:line="240" w:lineRule="auto"/>
              <w:jc w:val="center"/>
              <w:rPr>
                <w:noProof/>
              </w:rPr>
            </w:pPr>
            <w:r>
              <w:rPr>
                <w:noProof/>
              </w:rPr>
              <w:t>Tromjesečje</w:t>
            </w:r>
          </w:p>
        </w:tc>
        <w:tc>
          <w:tcPr>
            <w:tcW w:w="10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hideMark/>
          </w:tcPr>
          <w:p w14:paraId="752422BB" w14:textId="77777777" w:rsidR="00615E2D" w:rsidRDefault="00C83E46">
            <w:pPr>
              <w:pStyle w:val="P68B1DB1-Normal9"/>
              <w:spacing w:line="240" w:lineRule="auto"/>
              <w:jc w:val="center"/>
              <w:rPr>
                <w:noProof/>
              </w:rPr>
            </w:pPr>
            <w:r>
              <w:rPr>
                <w:noProof/>
              </w:rPr>
              <w:t>Godina</w:t>
            </w:r>
          </w:p>
        </w:tc>
        <w:tc>
          <w:tcPr>
            <w:tcW w:w="4361" w:type="dxa"/>
            <w:vMerge/>
            <w:vAlign w:val="center"/>
            <w:hideMark/>
          </w:tcPr>
          <w:p w14:paraId="0655672F" w14:textId="77777777" w:rsidR="00615E2D" w:rsidRDefault="00615E2D">
            <w:pPr>
              <w:spacing w:before="0" w:after="0" w:line="240" w:lineRule="auto"/>
              <w:rPr>
                <w:rFonts w:eastAsia="Times New Roman"/>
                <w:noProof/>
                <w:sz w:val="18"/>
              </w:rPr>
            </w:pPr>
          </w:p>
        </w:tc>
      </w:tr>
      <w:tr w:rsidR="00615E2D" w14:paraId="0AA1BBE4" w14:textId="77777777">
        <w:trPr>
          <w:trHeight w:val="945"/>
          <w:jc w:val="center"/>
        </w:trPr>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3DD1A0F3" w14:textId="686E0446" w:rsidR="00615E2D" w:rsidRDefault="00C83E46">
            <w:pPr>
              <w:pStyle w:val="P68B1DB1-Normal11"/>
              <w:spacing w:line="240" w:lineRule="auto"/>
              <w:jc w:val="center"/>
              <w:rPr>
                <w:noProof/>
              </w:rPr>
            </w:pPr>
            <w:r>
              <w:rPr>
                <w:noProof/>
              </w:rPr>
              <w:t>246</w:t>
            </w:r>
          </w:p>
        </w:tc>
        <w:tc>
          <w:tcPr>
            <w:tcW w:w="1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E18513C" w14:textId="661765D1" w:rsidR="00615E2D" w:rsidRDefault="00C83E46">
            <w:pPr>
              <w:pStyle w:val="P68B1DB1-Normal11"/>
              <w:spacing w:line="240" w:lineRule="auto"/>
              <w:rPr>
                <w:noProof/>
              </w:rPr>
            </w:pPr>
            <w:r>
              <w:rPr>
                <w:noProof/>
              </w:rPr>
              <w:t>Ulaganje 4: Digitalne usluge za krajnje korisnike u socijalnom području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5F14528" w14:textId="77777777" w:rsidR="00615E2D" w:rsidRDefault="00C83E46">
            <w:pPr>
              <w:pStyle w:val="P68B1DB1-Normal11"/>
              <w:spacing w:line="240" w:lineRule="auto"/>
              <w:rPr>
                <w:noProof/>
              </w:rPr>
            </w:pPr>
            <w:r>
              <w:rPr>
                <w:noProof/>
              </w:rPr>
              <w:t>Prekretnica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43F711FB" w14:textId="59F23959" w:rsidR="00615E2D" w:rsidRDefault="00C83E46">
            <w:pPr>
              <w:spacing w:line="240" w:lineRule="auto"/>
              <w:rPr>
                <w:rFonts w:eastAsia="Times New Roman"/>
                <w:noProof/>
                <w:color w:val="006100"/>
                <w:sz w:val="18"/>
              </w:rPr>
            </w:pPr>
            <w:r>
              <w:rPr>
                <w:rStyle w:val="normaltextrun"/>
                <w:noProof/>
                <w:color w:val="006100"/>
                <w:sz w:val="18"/>
              </w:rPr>
              <w:t>Unaprijeđeni samoposlužni portal za Ured rada – područje klijenta II.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7879AD29" w14:textId="38069BF1" w:rsidR="00615E2D" w:rsidRDefault="00C83E46">
            <w:pPr>
              <w:spacing w:line="240" w:lineRule="auto"/>
              <w:rPr>
                <w:rStyle w:val="eop"/>
                <w:noProof/>
                <w:color w:val="006100"/>
                <w:sz w:val="18"/>
              </w:rPr>
            </w:pPr>
            <w:r>
              <w:rPr>
                <w:rStyle w:val="normaltextrun"/>
                <w:noProof/>
                <w:color w:val="006100"/>
                <w:sz w:val="18"/>
              </w:rPr>
              <w:t>Početak rada unaprijeđenog samoposlužnog portala za Ured rada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F4FC12"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7773A3F"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4025888" w14:textId="77777777" w:rsidR="00615E2D" w:rsidRDefault="00615E2D">
            <w:pPr>
              <w:spacing w:line="240" w:lineRule="auto"/>
              <w:jc w:val="center"/>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90B247C" w14:textId="693F42C6" w:rsidR="00615E2D" w:rsidRDefault="00C83E46">
            <w:pPr>
              <w:pStyle w:val="P68B1DB1-Normal11"/>
              <w:spacing w:line="240" w:lineRule="auto"/>
              <w:jc w:val="center"/>
              <w:rPr>
                <w:noProof/>
              </w:rPr>
            </w:pPr>
            <w:r>
              <w:rPr>
                <w:noProof/>
              </w:rPr>
              <w:t>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2B83830A" w14:textId="0B047792" w:rsidR="00615E2D" w:rsidRDefault="00C83E46">
            <w:pPr>
              <w:pStyle w:val="P68B1DB1-Normal11"/>
              <w:spacing w:line="240" w:lineRule="auto"/>
              <w:jc w:val="center"/>
              <w:rPr>
                <w:noProof/>
              </w:rPr>
            </w:pPr>
            <w:r>
              <w:rPr>
                <w:noProof/>
              </w:rPr>
              <w:t>2026</w:t>
            </w:r>
          </w:p>
        </w:tc>
        <w:tc>
          <w:tcPr>
            <w:tcW w:w="43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93B928A" w14:textId="709931EF" w:rsidR="00615E2D" w:rsidRDefault="00C83E46">
            <w:pPr>
              <w:spacing w:before="0" w:line="240" w:lineRule="auto"/>
              <w:rPr>
                <w:rFonts w:eastAsia="Times New Roman"/>
                <w:noProof/>
                <w:color w:val="006100"/>
                <w:sz w:val="18"/>
              </w:rPr>
            </w:pPr>
            <w:r>
              <w:rPr>
                <w:rFonts w:eastAsia="Times New Roman"/>
                <w:noProof/>
                <w:color w:val="006100"/>
                <w:sz w:val="18"/>
              </w:rPr>
              <w:t xml:space="preserve">Unaprijeđeni </w:t>
            </w:r>
            <w:r>
              <w:rPr>
                <w:rStyle w:val="normaltextrun"/>
                <w:noProof/>
                <w:color w:val="006100"/>
                <w:sz w:val="18"/>
              </w:rPr>
              <w:t xml:space="preserve"> samoposlužni portal za Ured rada</w:t>
            </w:r>
            <w:r>
              <w:rPr>
                <w:rFonts w:eastAsia="Times New Roman"/>
                <w:noProof/>
                <w:color w:val="006100"/>
                <w:sz w:val="18"/>
              </w:rPr>
              <w:t xml:space="preserve"> operativan je i podržava sljedeće funkcije: </w:t>
            </w:r>
          </w:p>
          <w:p w14:paraId="1D716E29" w14:textId="0483728D" w:rsidR="00615E2D" w:rsidRDefault="00C83E46">
            <w:pPr>
              <w:pStyle w:val="P68B1DB1-Normal11"/>
              <w:spacing w:before="0" w:line="240" w:lineRule="auto"/>
              <w:rPr>
                <w:noProof/>
              </w:rPr>
            </w:pPr>
            <w:r>
              <w:rPr>
                <w:noProof/>
              </w:rPr>
              <w:t>Internetski zahtjev za naknadu za stanovanje, </w:t>
            </w:r>
          </w:p>
          <w:p w14:paraId="239BCCF3" w14:textId="0483728D" w:rsidR="00615E2D" w:rsidRDefault="00C83E46">
            <w:pPr>
              <w:pStyle w:val="P68B1DB1-Normal11"/>
              <w:spacing w:before="0" w:line="240" w:lineRule="auto"/>
              <w:rPr>
                <w:noProof/>
              </w:rPr>
            </w:pPr>
            <w:r>
              <w:rPr>
                <w:noProof/>
              </w:rPr>
              <w:t>—Potpuna elektronička razmjena podataka s krajnjim korisnicima, </w:t>
            </w:r>
          </w:p>
          <w:p w14:paraId="6F46CFE0" w14:textId="0483728D" w:rsidR="00615E2D" w:rsidRDefault="00C83E46">
            <w:pPr>
              <w:pStyle w:val="P68B1DB1-Normal11"/>
              <w:spacing w:before="0" w:line="240" w:lineRule="auto"/>
              <w:rPr>
                <w:noProof/>
              </w:rPr>
            </w:pPr>
            <w:r>
              <w:rPr>
                <w:noProof/>
              </w:rPr>
              <w:t>—Odabrani procesi u programu zapošljavanja. </w:t>
            </w:r>
          </w:p>
        </w:tc>
      </w:tr>
    </w:tbl>
    <w:p w14:paraId="37ADAD71" w14:textId="5D14D894" w:rsidR="00615E2D" w:rsidRDefault="00615E2D">
      <w:pPr>
        <w:spacing w:before="0" w:after="0" w:line="240" w:lineRule="auto"/>
        <w:rPr>
          <w:b/>
          <w:noProof/>
          <w:u w:val="single"/>
        </w:rPr>
        <w:sectPr w:rsidR="00615E2D" w:rsidSect="00FA0A0D">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1CE39D9F" w14:textId="77777777" w:rsidR="00615E2D" w:rsidRDefault="00C83E46">
      <w:pPr>
        <w:pStyle w:val="P68B1DB1-Normal2"/>
        <w:keepNext/>
        <w:tabs>
          <w:tab w:val="left" w:pos="850"/>
        </w:tabs>
        <w:spacing w:before="360" w:line="240" w:lineRule="auto"/>
        <w:jc w:val="both"/>
        <w:outlineLvl w:val="0"/>
        <w:rPr>
          <w:noProof/>
        </w:rPr>
      </w:pPr>
      <w:r>
        <w:rPr>
          <w:noProof/>
        </w:rPr>
        <w:t>B. SASTAVNI DIO 1.2.: Digitalni sustavi javne uprave</w:t>
      </w:r>
    </w:p>
    <w:p w14:paraId="6322A0DF" w14:textId="77777777" w:rsidR="00615E2D" w:rsidRDefault="00C83E46">
      <w:pPr>
        <w:spacing w:line="240" w:lineRule="auto"/>
        <w:jc w:val="both"/>
        <w:rPr>
          <w:noProof/>
        </w:rPr>
      </w:pPr>
      <w:r>
        <w:rPr>
          <w:noProof/>
        </w:rPr>
        <w:t>Cilj je te komponente češkog plana za oporavak i otpornost odgovoriti na izazov jačanja digitalne transformacije u češkoj javnoj upravi i poticanja suradnje i razmjene među javnim institucijama.</w:t>
      </w:r>
    </w:p>
    <w:p w14:paraId="4282691F" w14:textId="77777777" w:rsidR="00615E2D" w:rsidRDefault="00C83E46">
      <w:pPr>
        <w:spacing w:line="240" w:lineRule="auto"/>
        <w:jc w:val="both"/>
        <w:rPr>
          <w:noProof/>
          <w:color w:val="000000"/>
        </w:rPr>
      </w:pPr>
      <w:r>
        <w:rPr>
          <w:noProof/>
          <w:color w:val="000000"/>
        </w:rPr>
        <w:t xml:space="preserve">Cilj mu je osigurati razvoj međusobno povezanih skupova podataka IT sustava javne uprave, podupirući i omogućujući sastavnicu 1.1., kojom se podupire širenje usluga e-uprave koje se pružaju krajnjim korisnicima. Komponentom se razvijaju </w:t>
      </w:r>
      <w:r>
        <w:rPr>
          <w:noProof/>
        </w:rPr>
        <w:t xml:space="preserve">osnovni </w:t>
      </w:r>
      <w:r>
        <w:rPr>
          <w:noProof/>
          <w:color w:val="000000"/>
        </w:rPr>
        <w:t xml:space="preserve">registri, uključujući zdravstvene registre, i povezuju baze podataka javne uprave i relevantni IT sustavi kako bi se smanjila </w:t>
      </w:r>
      <w:r>
        <w:rPr>
          <w:noProof/>
        </w:rPr>
        <w:t xml:space="preserve"> </w:t>
      </w:r>
      <w:r>
        <w:rPr>
          <w:noProof/>
          <w:color w:val="000000"/>
        </w:rPr>
        <w:t xml:space="preserve">složenost postupaka za poduzeća i građane te osigurala sigurna razmjena podataka unutar javne uprave. </w:t>
      </w:r>
    </w:p>
    <w:p w14:paraId="2007A97F" w14:textId="77777777" w:rsidR="00615E2D" w:rsidRDefault="00C83E46">
      <w:pPr>
        <w:pStyle w:val="P68B1DB1-Normal13"/>
        <w:spacing w:line="240" w:lineRule="auto"/>
        <w:jc w:val="both"/>
        <w:rPr>
          <w:noProof/>
        </w:rPr>
      </w:pPr>
      <w:r>
        <w:rPr>
          <w:noProof/>
        </w:rPr>
        <w:t>Provedbom reformi u okviru ove komponente nastoji se osigurati standardiziran i dosljedan pristup razvoju informacijskih sustava programa u javnoj upravi. Pružaju stručno znanje i usluge savjetovanja putem centara za stručnost. Također razvijaju i konsolidiraju fragmentirane zdravstvene registre kako bi ih pripremile za pružanje zajedničkih usluga i razmjenu informacija.</w:t>
      </w:r>
    </w:p>
    <w:p w14:paraId="60FE41CE" w14:textId="77777777" w:rsidR="00615E2D" w:rsidRDefault="00C83E46">
      <w:pPr>
        <w:pStyle w:val="P68B1DB1-Normal13"/>
        <w:spacing w:line="240" w:lineRule="auto"/>
        <w:jc w:val="both"/>
        <w:rPr>
          <w:noProof/>
        </w:rPr>
      </w:pPr>
      <w:r>
        <w:rPr>
          <w:noProof/>
        </w:rPr>
        <w:t>Ulaganja su usmjerena na razvoj i povezivanje osnovnih registara, na poticanje međusobne povezanosti i ažuriranja informacijskih sustava programa povezanih sa starenjem stanovništva, na ulaganje u opremu i infrastrukturu za usluge e-pravosuđa te na poboljšanje kibersigurnosti javne uprave.</w:t>
      </w:r>
    </w:p>
    <w:p w14:paraId="152F5F6B" w14:textId="77777777" w:rsidR="00615E2D" w:rsidRDefault="00C83E46">
      <w:pPr>
        <w:spacing w:line="240" w:lineRule="auto"/>
        <w:jc w:val="both"/>
        <w:rPr>
          <w:noProof/>
          <w:color w:val="000000"/>
        </w:rPr>
      </w:pPr>
      <w:r>
        <w:rPr>
          <w:rFonts w:eastAsia="Times New Roman"/>
          <w:noProof/>
          <w:color w:val="000000"/>
        </w:rPr>
        <w:t xml:space="preserve">Komponentom se </w:t>
      </w:r>
      <w:r>
        <w:rPr>
          <w:rFonts w:eastAsia="Times New Roman"/>
          <w:noProof/>
        </w:rPr>
        <w:t xml:space="preserve">podupire odgovor </w:t>
      </w:r>
      <w:r>
        <w:rPr>
          <w:noProof/>
        </w:rPr>
        <w:t xml:space="preserve">na preporuku 2019 </w:t>
      </w:r>
      <w:r>
        <w:rPr>
          <w:rFonts w:eastAsia="Times New Roman"/>
          <w:noProof/>
        </w:rPr>
        <w:t xml:space="preserve">3, u skladu s kojom će Češka usmjeriti </w:t>
      </w:r>
      <w:r>
        <w:rPr>
          <w:noProof/>
          <w:color w:val="000000"/>
        </w:rPr>
        <w:t>investicijsku politiku na digitalnu infrastrukturu,</w:t>
      </w:r>
      <w:r>
        <w:rPr>
          <w:noProof/>
        </w:rPr>
        <w:t xml:space="preserve"> preporuku za pojedinu zemlju 2020 1</w:t>
      </w:r>
      <w:r>
        <w:rPr>
          <w:rFonts w:eastAsia="Times New Roman"/>
          <w:noProof/>
        </w:rPr>
        <w:t>, u skladu s</w:t>
      </w:r>
      <w:r>
        <w:rPr>
          <w:rFonts w:eastAsia="Times New Roman"/>
          <w:noProof/>
          <w:color w:val="000000"/>
        </w:rPr>
        <w:t>kojom će Češka pojačati uvođenje</w:t>
      </w:r>
      <w:r>
        <w:rPr>
          <w:i/>
          <w:noProof/>
          <w:color w:val="000000"/>
        </w:rPr>
        <w:t xml:space="preserve"> </w:t>
      </w:r>
      <w:r>
        <w:rPr>
          <w:noProof/>
          <w:color w:val="000000"/>
        </w:rPr>
        <w:t xml:space="preserve">usluga e-zdravstva, i preporuku za pojedinu zemlju </w:t>
      </w:r>
      <w:r>
        <w:rPr>
          <w:noProof/>
        </w:rPr>
        <w:t xml:space="preserve">2020 3, u </w:t>
      </w:r>
      <w:r>
        <w:rPr>
          <w:rFonts w:eastAsia="Times New Roman"/>
          <w:noProof/>
        </w:rPr>
        <w:t xml:space="preserve">skladu s kojom će Češka podupirati mala i </w:t>
      </w:r>
      <w:r>
        <w:rPr>
          <w:noProof/>
        </w:rPr>
        <w:t>srednja poduzeća smanjenjem administrativnog opterećenja i usmjeriti ulaganja na digitalnu tranziciju.</w:t>
      </w:r>
    </w:p>
    <w:p w14:paraId="16A4C649" w14:textId="75643F82"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3714507E" w14:textId="78371411" w:rsidR="00615E2D" w:rsidRDefault="00615E2D">
      <w:pPr>
        <w:spacing w:line="240" w:lineRule="auto"/>
        <w:jc w:val="both"/>
        <w:rPr>
          <w:rFonts w:eastAsia="Times New Roman"/>
          <w:noProof/>
          <w:sz w:val="22"/>
        </w:rPr>
      </w:pPr>
    </w:p>
    <w:p w14:paraId="2160CA57" w14:textId="77777777" w:rsidR="00615E2D" w:rsidRDefault="00C83E46">
      <w:pPr>
        <w:pStyle w:val="P68B1DB1-Normal8"/>
        <w:spacing w:line="240" w:lineRule="auto"/>
        <w:jc w:val="both"/>
        <w:rPr>
          <w:i/>
          <w:noProof/>
        </w:rPr>
      </w:pPr>
      <w:r>
        <w:rPr>
          <w:noProof/>
        </w:rPr>
        <w:t>B.1. Opis reformi i ulaganja za programe bespovratne financijske potpore</w:t>
      </w:r>
    </w:p>
    <w:p w14:paraId="46210799" w14:textId="49D658F6" w:rsidR="00615E2D" w:rsidRDefault="00C83E46">
      <w:pPr>
        <w:pStyle w:val="P68B1DB1-Normal14"/>
        <w:spacing w:line="240" w:lineRule="auto"/>
        <w:jc w:val="both"/>
        <w:rPr>
          <w:noProof/>
        </w:rPr>
      </w:pPr>
      <w:r>
        <w:rPr>
          <w:noProof/>
        </w:rPr>
        <w:t>Ulaganje 1: Razvoj i poboljšanje pojedinačnih informacijskih sustava</w:t>
      </w:r>
    </w:p>
    <w:p w14:paraId="7C2D6467" w14:textId="2709B749" w:rsidR="00615E2D" w:rsidRDefault="00C83E46">
      <w:pPr>
        <w:pStyle w:val="P68B1DB1-Normal13"/>
        <w:spacing w:line="240" w:lineRule="auto"/>
        <w:jc w:val="both"/>
        <w:rPr>
          <w:noProof/>
        </w:rPr>
      </w:pPr>
      <w:r>
        <w:rPr>
          <w:noProof/>
        </w:rPr>
        <w:t>Ulaganjem se podupiru projekti čiji je cilj ažuriranje, poboljšanje i povezivanje prethodnih informacijskih sustava povezanih sa starenjem stanovništva kako bi se omogućilo pružanje novih i poboljšanih usluga građanima i poduzećima u područjima politike zapošljavanja, socijalne sigurnosti, zdravstvene procjene, statistike, putovnica i viza te usluga kako je predviđeno u okviru komponente 1.1. Ti projekti dovode do razvoja ili poboljšanja ukupno najmanje deset informacijskih sustava.</w:t>
      </w:r>
    </w:p>
    <w:p w14:paraId="7471ABDD" w14:textId="3AC9418A" w:rsidR="00615E2D" w:rsidRDefault="00C83E46">
      <w:pPr>
        <w:pStyle w:val="P68B1DB1-Normal13"/>
        <w:spacing w:line="240" w:lineRule="auto"/>
        <w:jc w:val="both"/>
        <w:rPr>
          <w:noProof/>
        </w:rPr>
      </w:pPr>
      <w:r>
        <w:rPr>
          <w:noProof/>
        </w:rPr>
        <w:t>Ulaganje se provodi do 31. ožujka 2026.</w:t>
      </w:r>
    </w:p>
    <w:p w14:paraId="47DB4594" w14:textId="77777777" w:rsidR="00615E2D" w:rsidRDefault="00C83E46">
      <w:pPr>
        <w:pStyle w:val="P68B1DB1-Normal14"/>
        <w:keepNext/>
        <w:spacing w:line="240" w:lineRule="auto"/>
        <w:jc w:val="both"/>
        <w:rPr>
          <w:noProof/>
        </w:rPr>
      </w:pPr>
      <w:r>
        <w:rPr>
          <w:noProof/>
        </w:rPr>
        <w:t>Ulaganje 2: Razvoj osnovnih registara i objekata za e-upravu</w:t>
      </w:r>
    </w:p>
    <w:p w14:paraId="42092831" w14:textId="0CEB7C0F" w:rsidR="00615E2D" w:rsidRDefault="00C83E46">
      <w:pPr>
        <w:pStyle w:val="P68B1DB1-Normal13"/>
        <w:spacing w:line="240" w:lineRule="auto"/>
        <w:jc w:val="both"/>
        <w:rPr>
          <w:noProof/>
        </w:rPr>
      </w:pPr>
      <w:r>
        <w:rPr>
          <w:noProof/>
        </w:rPr>
        <w:t>Cilj je ulaganja stvoriti i nadograditi osnovne registre u Češkoj, posebno Registar pojedinaca, registar stanovništva, registar prava i obveza, Registar teritorijalnih identifikacija, adresa i nekretnina, informacijski sustav ORG, te uključivati razvoj zajedničkog informacijskog sustava usluga koji povezuje podatke iz različitih informacijskih sustava u međusobno povezanu bazu podataka. To se postiže putem dvadeset međusobno povezanih projekata. Osim registara, podržani projekti uključuju novi podatkovni centar i razvoj oblaka e-uprave za računalne usluge i razvoj tehnološke infrastrukture javne uprave.</w:t>
      </w:r>
    </w:p>
    <w:p w14:paraId="7457A914" w14:textId="42D2389D" w:rsidR="00615E2D" w:rsidRDefault="00C83E46">
      <w:pPr>
        <w:pStyle w:val="P68B1DB1-Normal13"/>
        <w:spacing w:line="240" w:lineRule="auto"/>
        <w:jc w:val="both"/>
        <w:rPr>
          <w:strike/>
          <w:noProof/>
        </w:rPr>
      </w:pPr>
      <w:r>
        <w:rPr>
          <w:noProof/>
        </w:rPr>
        <w:t>To se ulaganje provodi do 30. lipnja 2026.</w:t>
      </w:r>
    </w:p>
    <w:p w14:paraId="61FE56D4" w14:textId="77777777" w:rsidR="00615E2D" w:rsidRDefault="00C83E46">
      <w:pPr>
        <w:pStyle w:val="P68B1DB1-Normal14"/>
        <w:spacing w:line="240" w:lineRule="auto"/>
        <w:jc w:val="both"/>
        <w:rPr>
          <w:noProof/>
        </w:rPr>
      </w:pPr>
      <w:r>
        <w:rPr>
          <w:noProof/>
        </w:rPr>
        <w:t>Ulaganje 3: Računalna sigurnost</w:t>
      </w:r>
    </w:p>
    <w:p w14:paraId="7555F8E0" w14:textId="1F9F3B99" w:rsidR="00615E2D" w:rsidRDefault="00C83E46">
      <w:pPr>
        <w:pStyle w:val="P68B1DB1-Normal13"/>
        <w:spacing w:line="240" w:lineRule="auto"/>
        <w:jc w:val="both"/>
        <w:rPr>
          <w:noProof/>
        </w:rPr>
      </w:pPr>
      <w:r>
        <w:rPr>
          <w:noProof/>
        </w:rPr>
        <w:t>Cilj je ulaganja povećati kibersigurnost javne uprave i zdravstvene infrastrukture i informacijskih sustava IKT-a u okviru Akta o kibersigurnosti, u skladu s nacionalnom strategijom za kibersigurnost. Mjera uključuje projekte koji dovode do i. modernizacije i proširenja kapaciteta policijskih snaga u Češkoj za otkrivanje, utvrđivanje i odgovor na sigurnosne incidente i IKT incidente te ii. povećanje kibersigurnosti najmanje 87 informacijskih sustava.</w:t>
      </w:r>
    </w:p>
    <w:p w14:paraId="7E399EDC" w14:textId="508F1801" w:rsidR="00615E2D" w:rsidRDefault="00C83E46">
      <w:pPr>
        <w:pStyle w:val="P68B1DB1-Normal13"/>
        <w:spacing w:line="240" w:lineRule="auto"/>
        <w:jc w:val="both"/>
        <w:rPr>
          <w:noProof/>
        </w:rPr>
      </w:pPr>
      <w:r>
        <w:rPr>
          <w:noProof/>
        </w:rPr>
        <w:t>Ulaganje se provodi do 31. prosinca 2025.</w:t>
      </w:r>
    </w:p>
    <w:p w14:paraId="257DEB3B" w14:textId="3ABE165A" w:rsidR="00615E2D" w:rsidRDefault="00C83E46">
      <w:pPr>
        <w:pStyle w:val="P68B1DB1-Normal14"/>
        <w:spacing w:line="240" w:lineRule="auto"/>
        <w:jc w:val="both"/>
        <w:rPr>
          <w:noProof/>
        </w:rPr>
      </w:pPr>
      <w:r>
        <w:rPr>
          <w:noProof/>
        </w:rPr>
        <w:t>Reforma 1.: Centri kompetentnosti za potporu e-upravi, kibersigurnosti i e-zdravstvu</w:t>
      </w:r>
    </w:p>
    <w:p w14:paraId="6AB5FE23" w14:textId="508F1801" w:rsidR="00615E2D" w:rsidRDefault="00C83E46">
      <w:pPr>
        <w:pStyle w:val="P68B1DB1-Normal13"/>
        <w:spacing w:line="240" w:lineRule="auto"/>
        <w:jc w:val="both"/>
        <w:rPr>
          <w:noProof/>
        </w:rPr>
      </w:pPr>
      <w:r>
        <w:rPr>
          <w:noProof/>
        </w:rPr>
        <w:t>Reformom se uspostavljaju centri za kompetencije e-uprave koji pružaju smjernice, stručno znanje, savjetodavne usluge i zajedničke standarde u cijeloj javnoj upravi kako bi se osigurala dosljedna provedba mjera za digitalizaciju i modernizaciju informacijskih sustava predviđenih u okviru sastavnica 1.1. i 1.2. To se provodi putem triju centara kompetentnosti (kibersigurnost; e-zdravstvo; centri za stručnost u području e-uprave) koji djeluju u javnoj upravi i pružaju potporu javnim tijelima u područjima analize, arhitekture sustava, korisničkog iskustva i dizajna korisničkog sučelja, kibersigurnosti ili rješenja portala te upravljanja projektima.</w:t>
      </w:r>
    </w:p>
    <w:p w14:paraId="62E37E66" w14:textId="508F1801" w:rsidR="00615E2D" w:rsidRDefault="00C83E46">
      <w:pPr>
        <w:pStyle w:val="P68B1DB1-Normal13"/>
        <w:spacing w:line="240" w:lineRule="auto"/>
        <w:jc w:val="both"/>
        <w:rPr>
          <w:b/>
          <w:noProof/>
        </w:rPr>
      </w:pPr>
      <w:r>
        <w:rPr>
          <w:noProof/>
        </w:rPr>
        <w:t>Ta se reforma provodi do 31. prosinca 2025.</w:t>
      </w:r>
    </w:p>
    <w:p w14:paraId="4C74E84B" w14:textId="0BE1DA0B" w:rsidR="00615E2D" w:rsidRDefault="00C83E46">
      <w:pPr>
        <w:pStyle w:val="P68B1DB1-Normal14"/>
        <w:spacing w:line="240" w:lineRule="auto"/>
        <w:jc w:val="both"/>
        <w:rPr>
          <w:noProof/>
        </w:rPr>
      </w:pPr>
      <w:r>
        <w:rPr>
          <w:noProof/>
        </w:rPr>
        <w:t>Reforma br. 2: Razvoj sustava za potporu digitalizaciji zdravstva</w:t>
      </w:r>
    </w:p>
    <w:p w14:paraId="77382A8C" w14:textId="2B8C9D08" w:rsidR="00615E2D" w:rsidRDefault="00C83E46">
      <w:pPr>
        <w:pStyle w:val="P68B1DB1-Normal13"/>
        <w:spacing w:line="240" w:lineRule="auto"/>
        <w:jc w:val="both"/>
        <w:rPr>
          <w:noProof/>
        </w:rPr>
      </w:pPr>
      <w:r>
        <w:rPr>
          <w:noProof/>
        </w:rPr>
        <w:t>Reformom se ubrzava i olakšava stvaranje usklađene infrastrukture e-zdravstva, uključujući stabilizaciju i standardizaciju baze podataka o zdravstvenoj skrbi. Mjera je podijeljena na nekoliko međusobno povezanih projekata kojima se provode referentni registri pružatelja zdravstvenih usluga, zdravstvenih djelatnika i pacijenata, povezanih s referentnim registrima e-uprave; zdravstveni registri higijenskih usluga i zdravstveni registri onkoloških, kardiovaskularnih i drugih bolesti;  projekt za izgradnju informacijskog sustava za potporu upravljanju higijenskim uslugama u Češkoj; proširenje postojeće funkcionalnosti e-recepata uključivanjem recepata za opojne droge i psihotropne tvari i uvođenje usluge elektroničkih vaučera, izgradnjom infrastrukture kojom se podupire sustav skrbi za pacijente s rijetkim bolestima. Mjera uključuje i programe osposobljavanja za proširenje upotrebe e-zdravstva i digitalnih usluga u zdravstvenom sektoru, koji su prvenstveno namijenjeni zdravstvenom osoblju.</w:t>
      </w:r>
    </w:p>
    <w:p w14:paraId="1650505E" w14:textId="1C6A7468" w:rsidR="00615E2D" w:rsidRDefault="00C83E46">
      <w:pPr>
        <w:pStyle w:val="P68B1DB1-Normal13"/>
        <w:spacing w:line="240" w:lineRule="auto"/>
        <w:jc w:val="both"/>
        <w:rPr>
          <w:noProof/>
        </w:rPr>
      </w:pPr>
      <w:r>
        <w:rPr>
          <w:noProof/>
        </w:rPr>
        <w:t>Reforma se provodi do 31. prosinca 2025.</w:t>
      </w:r>
    </w:p>
    <w:p w14:paraId="039056EF" w14:textId="112E47C4" w:rsidR="00615E2D" w:rsidRDefault="00C83E46">
      <w:pPr>
        <w:pStyle w:val="P68B1DB1-Normal14"/>
        <w:keepNext/>
        <w:spacing w:line="240" w:lineRule="auto"/>
        <w:jc w:val="both"/>
        <w:rPr>
          <w:noProof/>
        </w:rPr>
      </w:pPr>
      <w:r>
        <w:rPr>
          <w:noProof/>
        </w:rPr>
        <w:t>Ulaganje 4: Stvaranje uvjeta za digitalno pravosuđe</w:t>
      </w:r>
    </w:p>
    <w:p w14:paraId="5363CFC9" w14:textId="77777777" w:rsidR="00615E2D" w:rsidRDefault="00C83E46">
      <w:pPr>
        <w:pStyle w:val="P68B1DB1-Normal13"/>
        <w:spacing w:line="240" w:lineRule="auto"/>
        <w:jc w:val="both"/>
        <w:rPr>
          <w:noProof/>
        </w:rPr>
      </w:pPr>
      <w:r>
        <w:rPr>
          <w:noProof/>
        </w:rPr>
        <w:t>Cilj je ulaganja modernizirati radno okruženje pravosudnog sustava i omogućiti nastavak rada u vrijeme ograničenih fizičkih kontakata, čime se povećava otpornost nacionalnog pravosudnog sustava. Ulaganje se sastoji od tri međusobno povezana projekta, koji uključuju i. analizu upotrebe podataka i mapiranje potreba digitalizacije u pravosudnom sektoru, zajedno s uvođenjem skladišta podataka i povećanim kapacitetom pohrane, ii. povećanje kapaciteta infrastrukture kojom se omogućuje daljinski pristup i iii. povećanje broja opremljenih prostorija za videokonferencije za pravosuđe.</w:t>
      </w:r>
    </w:p>
    <w:p w14:paraId="52080596" w14:textId="296C5642" w:rsidR="00615E2D" w:rsidRDefault="00C83E46">
      <w:pPr>
        <w:pStyle w:val="P68B1DB1-Normal13"/>
        <w:pBdr>
          <w:top w:val="nil"/>
          <w:left w:val="nil"/>
          <w:bottom w:val="nil"/>
          <w:right w:val="nil"/>
          <w:between w:val="nil"/>
        </w:pBdr>
        <w:spacing w:line="240" w:lineRule="auto"/>
        <w:rPr>
          <w:noProof/>
          <w:color w:val="000000" w:themeColor="text1"/>
        </w:rPr>
      </w:pPr>
      <w:r>
        <w:rPr>
          <w:noProof/>
        </w:rPr>
        <w:t>Ulaganje se provodi do 31. prosinca 2024.</w:t>
      </w:r>
    </w:p>
    <w:p w14:paraId="76C492C3" w14:textId="420E70F8" w:rsidR="00615E2D" w:rsidRDefault="00615E2D">
      <w:pPr>
        <w:pBdr>
          <w:top w:val="nil"/>
          <w:left w:val="nil"/>
          <w:bottom w:val="nil"/>
          <w:right w:val="nil"/>
          <w:between w:val="nil"/>
        </w:pBdr>
        <w:spacing w:line="240" w:lineRule="auto"/>
        <w:rPr>
          <w:noProof/>
          <w:color w:val="000000" w:themeColor="text1"/>
        </w:rPr>
        <w:sectPr w:rsidR="00615E2D" w:rsidSect="001B1626">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26"/>
        </w:sectPr>
      </w:pPr>
    </w:p>
    <w:p w14:paraId="7A0B9399" w14:textId="7CD38B78" w:rsidR="00615E2D" w:rsidRDefault="00C83E46">
      <w:pPr>
        <w:pStyle w:val="P68B1DB1-Normal8"/>
        <w:pBdr>
          <w:top w:val="nil"/>
          <w:left w:val="nil"/>
          <w:bottom w:val="nil"/>
          <w:right w:val="nil"/>
          <w:between w:val="nil"/>
        </w:pBdr>
        <w:spacing w:line="240" w:lineRule="auto"/>
        <w:rPr>
          <w:noProof/>
        </w:rPr>
      </w:pPr>
      <w:r>
        <w:rPr>
          <w:noProof/>
        </w:rPr>
        <w:t>B.2. Ključne etape, ciljne vrijednosti i vremenski raspored za praćenje i provedbu programa bespovratne financijske potpore</w:t>
      </w:r>
    </w:p>
    <w:tbl>
      <w:tblPr>
        <w:tblW w:w="1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89"/>
        <w:gridCol w:w="1409"/>
        <w:gridCol w:w="1105"/>
        <w:gridCol w:w="1654"/>
        <w:gridCol w:w="1791"/>
        <w:gridCol w:w="1050"/>
        <w:gridCol w:w="997"/>
        <w:gridCol w:w="694"/>
        <w:gridCol w:w="968"/>
        <w:gridCol w:w="694"/>
        <w:gridCol w:w="3570"/>
      </w:tblGrid>
      <w:tr w:rsidR="00615E2D" w14:paraId="7976A06F" w14:textId="77777777">
        <w:trPr>
          <w:trHeight w:val="620"/>
          <w:tblHeader/>
          <w:jc w:val="center"/>
        </w:trPr>
        <w:tc>
          <w:tcPr>
            <w:tcW w:w="704" w:type="dxa"/>
            <w:vMerge w:val="restart"/>
            <w:shd w:val="clear" w:color="auto" w:fill="BDD7EE"/>
            <w:vAlign w:val="center"/>
            <w:hideMark/>
          </w:tcPr>
          <w:p w14:paraId="292A58FB" w14:textId="77777777" w:rsidR="00615E2D" w:rsidRDefault="00C83E46">
            <w:pPr>
              <w:pStyle w:val="P68B1DB1-Normal9"/>
              <w:spacing w:before="0" w:after="0" w:line="240" w:lineRule="auto"/>
              <w:jc w:val="center"/>
              <w:rPr>
                <w:noProof/>
              </w:rPr>
            </w:pPr>
            <w:r>
              <w:rPr>
                <w:noProof/>
              </w:rPr>
              <w:t>Sljedeće NUM.</w:t>
            </w:r>
          </w:p>
        </w:tc>
        <w:tc>
          <w:tcPr>
            <w:tcW w:w="1448" w:type="dxa"/>
            <w:vMerge w:val="restart"/>
            <w:shd w:val="clear" w:color="auto" w:fill="BDD7EE"/>
            <w:vAlign w:val="center"/>
            <w:hideMark/>
          </w:tcPr>
          <w:p w14:paraId="58A46D86"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370A8D70" w14:textId="77777777" w:rsidR="00615E2D" w:rsidRDefault="00C83E46">
            <w:pPr>
              <w:pStyle w:val="P68B1DB1-Normal9"/>
              <w:spacing w:before="0" w:after="0" w:line="240" w:lineRule="auto"/>
              <w:jc w:val="center"/>
              <w:rPr>
                <w:noProof/>
              </w:rPr>
            </w:pPr>
            <w:r>
              <w:rPr>
                <w:noProof/>
              </w:rPr>
              <w:t>Ključna etapa/ciljna vrijednost</w:t>
            </w:r>
          </w:p>
        </w:tc>
        <w:tc>
          <w:tcPr>
            <w:tcW w:w="1701" w:type="dxa"/>
            <w:vMerge w:val="restart"/>
            <w:shd w:val="clear" w:color="auto" w:fill="BDD7EE"/>
            <w:vAlign w:val="center"/>
            <w:hideMark/>
          </w:tcPr>
          <w:p w14:paraId="2AE0E0C6" w14:textId="77777777" w:rsidR="00615E2D" w:rsidRDefault="00C83E46">
            <w:pPr>
              <w:pStyle w:val="P68B1DB1-Normal9"/>
              <w:spacing w:before="0" w:after="0" w:line="240" w:lineRule="auto"/>
              <w:jc w:val="center"/>
              <w:rPr>
                <w:noProof/>
              </w:rPr>
            </w:pPr>
            <w:r>
              <w:rPr>
                <w:noProof/>
              </w:rPr>
              <w:t>Ime</w:t>
            </w:r>
          </w:p>
        </w:tc>
        <w:tc>
          <w:tcPr>
            <w:tcW w:w="1843" w:type="dxa"/>
            <w:vMerge w:val="restart"/>
            <w:shd w:val="clear" w:color="auto" w:fill="BDD7EE"/>
            <w:vAlign w:val="center"/>
            <w:hideMark/>
          </w:tcPr>
          <w:p w14:paraId="101BD2AA" w14:textId="77777777" w:rsidR="00615E2D" w:rsidRDefault="00C83E46">
            <w:pPr>
              <w:pStyle w:val="P68B1DB1-Normal12"/>
              <w:spacing w:before="0" w:after="0" w:line="240" w:lineRule="auto"/>
              <w:jc w:val="center"/>
              <w:rPr>
                <w:rFonts w:eastAsia="Times New Roman"/>
                <w:b/>
                <w:noProof/>
              </w:rPr>
            </w:pPr>
            <w:r>
              <w:rPr>
                <w:rFonts w:eastAsia="Times New Roman"/>
                <w:b/>
                <w:noProof/>
              </w:rPr>
              <w:t>Kvalitativni pokazatelji</w:t>
            </w:r>
            <w:r>
              <w:rPr>
                <w:rFonts w:ascii="Calibri" w:hAnsi="Calibri"/>
                <w:noProof/>
              </w:rPr>
              <w:br/>
            </w:r>
            <w:r>
              <w:rPr>
                <w:rFonts w:eastAsia="Times New Roman"/>
                <w:b/>
                <w:noProof/>
              </w:rPr>
              <w:t>(za ključne etape)</w:t>
            </w:r>
          </w:p>
        </w:tc>
        <w:tc>
          <w:tcPr>
            <w:tcW w:w="2551" w:type="dxa"/>
            <w:gridSpan w:val="3"/>
            <w:shd w:val="clear" w:color="auto" w:fill="BDD7EE"/>
            <w:vAlign w:val="center"/>
            <w:hideMark/>
          </w:tcPr>
          <w:p w14:paraId="166D8938" w14:textId="77777777" w:rsidR="00615E2D" w:rsidRDefault="00C83E46">
            <w:pPr>
              <w:pStyle w:val="P68B1DB1-Normal12"/>
              <w:spacing w:before="0" w:after="0" w:line="240" w:lineRule="auto"/>
              <w:jc w:val="center"/>
              <w:rPr>
                <w:rFonts w:eastAsia="Times New Roman"/>
                <w:b/>
                <w:noProof/>
              </w:rPr>
            </w:pPr>
            <w:r>
              <w:rPr>
                <w:rFonts w:eastAsia="Times New Roman"/>
                <w:b/>
                <w:noProof/>
              </w:rPr>
              <w:t>Kvantitativni pokazatelji</w:t>
            </w:r>
            <w:r>
              <w:rPr>
                <w:rFonts w:ascii="Calibri" w:hAnsi="Calibri"/>
                <w:noProof/>
              </w:rPr>
              <w:br/>
            </w:r>
            <w:r>
              <w:rPr>
                <w:rFonts w:eastAsia="Times New Roman"/>
                <w:b/>
                <w:noProof/>
              </w:rPr>
              <w:t>(za ciljeve)</w:t>
            </w:r>
          </w:p>
        </w:tc>
        <w:tc>
          <w:tcPr>
            <w:tcW w:w="1701" w:type="dxa"/>
            <w:gridSpan w:val="2"/>
            <w:shd w:val="clear" w:color="auto" w:fill="BDD7EE"/>
            <w:vAlign w:val="center"/>
            <w:hideMark/>
          </w:tcPr>
          <w:p w14:paraId="0335EB6F" w14:textId="77777777" w:rsidR="00615E2D" w:rsidRDefault="00C83E46">
            <w:pPr>
              <w:pStyle w:val="P68B1DB1-Normal9"/>
              <w:spacing w:before="0" w:after="0" w:line="240" w:lineRule="auto"/>
              <w:jc w:val="center"/>
              <w:rPr>
                <w:noProof/>
              </w:rPr>
            </w:pPr>
            <w:r>
              <w:rPr>
                <w:noProof/>
              </w:rPr>
              <w:t>Okvirni vremenski okvir za dovršetak</w:t>
            </w:r>
          </w:p>
        </w:tc>
        <w:tc>
          <w:tcPr>
            <w:tcW w:w="3681" w:type="dxa"/>
            <w:vMerge w:val="restart"/>
            <w:shd w:val="clear" w:color="auto" w:fill="BDD7EE"/>
            <w:vAlign w:val="center"/>
            <w:hideMark/>
          </w:tcPr>
          <w:p w14:paraId="4695BCBE"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7217F275" w14:textId="77777777">
        <w:trPr>
          <w:trHeight w:val="558"/>
          <w:tblHeader/>
          <w:jc w:val="center"/>
        </w:trPr>
        <w:tc>
          <w:tcPr>
            <w:tcW w:w="704" w:type="dxa"/>
            <w:vMerge/>
            <w:vAlign w:val="center"/>
            <w:hideMark/>
          </w:tcPr>
          <w:p w14:paraId="56F5CA3E" w14:textId="77777777" w:rsidR="00615E2D" w:rsidRDefault="00615E2D">
            <w:pPr>
              <w:spacing w:before="0" w:after="0" w:line="240" w:lineRule="auto"/>
              <w:rPr>
                <w:rFonts w:eastAsia="Times New Roman"/>
                <w:b/>
                <w:noProof/>
                <w:sz w:val="18"/>
              </w:rPr>
            </w:pPr>
          </w:p>
        </w:tc>
        <w:tc>
          <w:tcPr>
            <w:tcW w:w="1448" w:type="dxa"/>
            <w:vMerge/>
            <w:vAlign w:val="center"/>
            <w:hideMark/>
          </w:tcPr>
          <w:p w14:paraId="2E5C998C" w14:textId="77777777" w:rsidR="00615E2D" w:rsidRDefault="00615E2D">
            <w:pPr>
              <w:spacing w:before="0" w:after="0" w:line="240" w:lineRule="auto"/>
              <w:rPr>
                <w:rFonts w:eastAsia="Times New Roman"/>
                <w:b/>
                <w:noProof/>
                <w:sz w:val="18"/>
              </w:rPr>
            </w:pPr>
          </w:p>
        </w:tc>
        <w:tc>
          <w:tcPr>
            <w:tcW w:w="1134" w:type="dxa"/>
            <w:vMerge/>
            <w:vAlign w:val="center"/>
            <w:hideMark/>
          </w:tcPr>
          <w:p w14:paraId="317B4E5A" w14:textId="77777777" w:rsidR="00615E2D" w:rsidRDefault="00615E2D">
            <w:pPr>
              <w:spacing w:before="0" w:after="0" w:line="240" w:lineRule="auto"/>
              <w:rPr>
                <w:rFonts w:eastAsia="Times New Roman"/>
                <w:b/>
                <w:noProof/>
                <w:sz w:val="18"/>
              </w:rPr>
            </w:pPr>
          </w:p>
        </w:tc>
        <w:tc>
          <w:tcPr>
            <w:tcW w:w="1701" w:type="dxa"/>
            <w:vMerge/>
            <w:vAlign w:val="center"/>
            <w:hideMark/>
          </w:tcPr>
          <w:p w14:paraId="627998E7" w14:textId="77777777" w:rsidR="00615E2D" w:rsidRDefault="00615E2D">
            <w:pPr>
              <w:spacing w:before="0" w:after="0" w:line="240" w:lineRule="auto"/>
              <w:rPr>
                <w:rFonts w:eastAsia="Times New Roman"/>
                <w:b/>
                <w:noProof/>
                <w:sz w:val="18"/>
              </w:rPr>
            </w:pPr>
          </w:p>
        </w:tc>
        <w:tc>
          <w:tcPr>
            <w:tcW w:w="1843" w:type="dxa"/>
            <w:vMerge/>
            <w:vAlign w:val="center"/>
            <w:hideMark/>
          </w:tcPr>
          <w:p w14:paraId="6DEBB753" w14:textId="77777777" w:rsidR="00615E2D" w:rsidRDefault="00615E2D">
            <w:pPr>
              <w:spacing w:before="0" w:after="0" w:line="240" w:lineRule="auto"/>
              <w:rPr>
                <w:rFonts w:eastAsia="Times New Roman"/>
                <w:b/>
                <w:noProof/>
                <w:sz w:val="18"/>
              </w:rPr>
            </w:pPr>
          </w:p>
        </w:tc>
        <w:tc>
          <w:tcPr>
            <w:tcW w:w="1077" w:type="dxa"/>
            <w:shd w:val="clear" w:color="auto" w:fill="BDD7EE"/>
            <w:vAlign w:val="center"/>
            <w:hideMark/>
          </w:tcPr>
          <w:p w14:paraId="06E4CA17" w14:textId="77777777" w:rsidR="00615E2D" w:rsidRDefault="00C83E46">
            <w:pPr>
              <w:pStyle w:val="P68B1DB1-Normal9"/>
              <w:spacing w:before="0" w:after="0" w:line="240" w:lineRule="auto"/>
              <w:jc w:val="center"/>
              <w:rPr>
                <w:noProof/>
              </w:rPr>
            </w:pPr>
            <w:r>
              <w:rPr>
                <w:noProof/>
              </w:rPr>
              <w:t>Jedinica mjere</w:t>
            </w:r>
          </w:p>
        </w:tc>
        <w:tc>
          <w:tcPr>
            <w:tcW w:w="1022" w:type="dxa"/>
            <w:shd w:val="clear" w:color="auto" w:fill="BDD7EE"/>
            <w:vAlign w:val="center"/>
            <w:hideMark/>
          </w:tcPr>
          <w:p w14:paraId="12298D3B" w14:textId="77777777" w:rsidR="00615E2D" w:rsidRDefault="00C83E46">
            <w:pPr>
              <w:pStyle w:val="P68B1DB1-Normal9"/>
              <w:spacing w:before="0" w:after="0" w:line="240" w:lineRule="auto"/>
              <w:jc w:val="center"/>
              <w:rPr>
                <w:noProof/>
              </w:rPr>
            </w:pPr>
            <w:r>
              <w:rPr>
                <w:noProof/>
              </w:rPr>
              <w:t xml:space="preserve">Osnovna vrijednost </w:t>
            </w:r>
          </w:p>
        </w:tc>
        <w:tc>
          <w:tcPr>
            <w:tcW w:w="709" w:type="dxa"/>
            <w:shd w:val="clear" w:color="auto" w:fill="BDD7EE"/>
            <w:vAlign w:val="center"/>
            <w:hideMark/>
          </w:tcPr>
          <w:p w14:paraId="5F1BBEBD" w14:textId="77777777" w:rsidR="00615E2D" w:rsidRDefault="00C83E46">
            <w:pPr>
              <w:pStyle w:val="P68B1DB1-Normal9"/>
              <w:spacing w:before="0" w:after="0" w:line="240" w:lineRule="auto"/>
              <w:jc w:val="center"/>
              <w:rPr>
                <w:noProof/>
              </w:rPr>
            </w:pPr>
            <w:r>
              <w:rPr>
                <w:noProof/>
              </w:rPr>
              <w:t xml:space="preserve">Cilj </w:t>
            </w:r>
          </w:p>
        </w:tc>
        <w:tc>
          <w:tcPr>
            <w:tcW w:w="992" w:type="dxa"/>
            <w:shd w:val="clear" w:color="auto" w:fill="BDD7EE"/>
            <w:vAlign w:val="center"/>
            <w:hideMark/>
          </w:tcPr>
          <w:p w14:paraId="46713C3D" w14:textId="77777777" w:rsidR="00615E2D" w:rsidRDefault="00C83E46">
            <w:pPr>
              <w:pStyle w:val="P68B1DB1-Normal9"/>
              <w:spacing w:before="0" w:after="0" w:line="240" w:lineRule="auto"/>
              <w:jc w:val="center"/>
              <w:rPr>
                <w:noProof/>
              </w:rPr>
            </w:pPr>
            <w:r>
              <w:rPr>
                <w:noProof/>
              </w:rPr>
              <w:t>Tromjesečje</w:t>
            </w:r>
          </w:p>
        </w:tc>
        <w:tc>
          <w:tcPr>
            <w:tcW w:w="709" w:type="dxa"/>
            <w:shd w:val="clear" w:color="auto" w:fill="BDD7EE"/>
            <w:vAlign w:val="center"/>
            <w:hideMark/>
          </w:tcPr>
          <w:p w14:paraId="0120D95D" w14:textId="77777777" w:rsidR="00615E2D" w:rsidRDefault="00C83E46">
            <w:pPr>
              <w:pStyle w:val="P68B1DB1-Normal9"/>
              <w:spacing w:before="0" w:after="0" w:line="240" w:lineRule="auto"/>
              <w:jc w:val="center"/>
              <w:rPr>
                <w:noProof/>
              </w:rPr>
            </w:pPr>
            <w:r>
              <w:rPr>
                <w:noProof/>
              </w:rPr>
              <w:t>Godina</w:t>
            </w:r>
          </w:p>
        </w:tc>
        <w:tc>
          <w:tcPr>
            <w:tcW w:w="3681" w:type="dxa"/>
            <w:vMerge/>
            <w:vAlign w:val="center"/>
            <w:hideMark/>
          </w:tcPr>
          <w:p w14:paraId="643F7928" w14:textId="77777777" w:rsidR="00615E2D" w:rsidRDefault="00615E2D">
            <w:pPr>
              <w:spacing w:before="0" w:after="0" w:line="240" w:lineRule="auto"/>
              <w:rPr>
                <w:rFonts w:eastAsia="Times New Roman"/>
                <w:b/>
                <w:noProof/>
                <w:sz w:val="18"/>
              </w:rPr>
            </w:pPr>
          </w:p>
        </w:tc>
      </w:tr>
      <w:tr w:rsidR="00615E2D" w14:paraId="6008479E" w14:textId="77777777">
        <w:trPr>
          <w:trHeight w:val="309"/>
          <w:jc w:val="center"/>
        </w:trPr>
        <w:tc>
          <w:tcPr>
            <w:tcW w:w="704" w:type="dxa"/>
            <w:shd w:val="clear" w:color="auto" w:fill="C6EFCE"/>
            <w:vAlign w:val="center"/>
            <w:hideMark/>
          </w:tcPr>
          <w:p w14:paraId="1BBD72A2" w14:textId="77777777" w:rsidR="00615E2D" w:rsidRDefault="00C83E46">
            <w:pPr>
              <w:pStyle w:val="P68B1DB1-Normal15"/>
              <w:spacing w:before="0" w:after="0" w:line="240" w:lineRule="auto"/>
              <w:jc w:val="center"/>
              <w:rPr>
                <w:noProof/>
              </w:rPr>
            </w:pPr>
            <w:r>
              <w:rPr>
                <w:noProof/>
              </w:rPr>
              <w:t>15</w:t>
            </w:r>
          </w:p>
        </w:tc>
        <w:tc>
          <w:tcPr>
            <w:tcW w:w="1448" w:type="dxa"/>
            <w:shd w:val="clear" w:color="auto" w:fill="C6EFCE"/>
            <w:vAlign w:val="center"/>
            <w:hideMark/>
          </w:tcPr>
          <w:p w14:paraId="4DE37BB4" w14:textId="77777777" w:rsidR="00615E2D" w:rsidRDefault="00C83E46">
            <w:pPr>
              <w:pStyle w:val="P68B1DB1-Normal16"/>
              <w:spacing w:before="0" w:after="0" w:line="240" w:lineRule="auto"/>
              <w:rPr>
                <w:noProof/>
              </w:rPr>
            </w:pPr>
            <w:r>
              <w:rPr>
                <w:noProof/>
              </w:rPr>
              <w:t>Ulaganje 1:</w:t>
            </w:r>
          </w:p>
          <w:p w14:paraId="2B0D93D7" w14:textId="77777777" w:rsidR="00615E2D" w:rsidRDefault="00C83E46">
            <w:pPr>
              <w:pStyle w:val="P68B1DB1-Normal16"/>
              <w:spacing w:before="0" w:after="0" w:line="240" w:lineRule="auto"/>
              <w:rPr>
                <w:rFonts w:eastAsia="Times New Roman"/>
                <w:noProof/>
              </w:rPr>
            </w:pPr>
            <w:r>
              <w:rPr>
                <w:noProof/>
              </w:rPr>
              <w:t>Razvoj informacijskih sustava</w:t>
            </w:r>
          </w:p>
        </w:tc>
        <w:tc>
          <w:tcPr>
            <w:tcW w:w="1134" w:type="dxa"/>
            <w:shd w:val="clear" w:color="auto" w:fill="C6EFCE"/>
            <w:vAlign w:val="center"/>
            <w:hideMark/>
          </w:tcPr>
          <w:p w14:paraId="42ED64B7" w14:textId="77777777" w:rsidR="00615E2D" w:rsidRDefault="00C83E46">
            <w:pPr>
              <w:pStyle w:val="P68B1DB1-Normal16"/>
              <w:spacing w:before="0" w:after="0" w:line="240" w:lineRule="auto"/>
              <w:rPr>
                <w:rFonts w:eastAsia="Times New Roman"/>
                <w:noProof/>
              </w:rPr>
            </w:pPr>
            <w:r>
              <w:rPr>
                <w:noProof/>
              </w:rPr>
              <w:t>Prekretnica</w:t>
            </w:r>
          </w:p>
        </w:tc>
        <w:tc>
          <w:tcPr>
            <w:tcW w:w="1701" w:type="dxa"/>
            <w:shd w:val="clear" w:color="auto" w:fill="C6EFCE"/>
            <w:vAlign w:val="center"/>
          </w:tcPr>
          <w:p w14:paraId="283D9081" w14:textId="040BB68F" w:rsidR="00615E2D" w:rsidRDefault="00C83E46">
            <w:pPr>
              <w:pStyle w:val="P68B1DB1-Normal16"/>
              <w:spacing w:before="0" w:after="0" w:line="240" w:lineRule="auto"/>
              <w:rPr>
                <w:noProof/>
              </w:rPr>
            </w:pPr>
            <w:r>
              <w:rPr>
                <w:noProof/>
              </w:rPr>
              <w:t xml:space="preserve">Provedba i rad sustava CzechPOINT 2.0 i CAAIS </w:t>
            </w:r>
          </w:p>
          <w:p w14:paraId="5CDD7E67" w14:textId="77777777" w:rsidR="00615E2D" w:rsidRDefault="00615E2D">
            <w:pPr>
              <w:spacing w:before="0" w:after="0" w:line="240" w:lineRule="auto"/>
              <w:rPr>
                <w:rFonts w:eastAsia="Times New Roman"/>
                <w:noProof/>
                <w:color w:val="004300"/>
                <w:sz w:val="18"/>
              </w:rPr>
            </w:pPr>
          </w:p>
        </w:tc>
        <w:tc>
          <w:tcPr>
            <w:tcW w:w="1843" w:type="dxa"/>
            <w:shd w:val="clear" w:color="auto" w:fill="C6EFCE"/>
            <w:vAlign w:val="center"/>
            <w:hideMark/>
          </w:tcPr>
          <w:p w14:paraId="38471195" w14:textId="251E3D15" w:rsidR="00615E2D" w:rsidRDefault="00C83E46">
            <w:pPr>
              <w:pStyle w:val="P68B1DB1-Normal15"/>
              <w:spacing w:before="0" w:after="0" w:line="240" w:lineRule="auto"/>
              <w:rPr>
                <w:noProof/>
              </w:rPr>
            </w:pPr>
            <w:r>
              <w:rPr>
                <w:noProof/>
              </w:rPr>
              <w:t>Sustav CzechPOINT 2.0 (u odnosu na građane i dužnosnike) i središnji prostor za provjeru autentičnosti javne uprave, takozvani CAAIS (za dužnosnike) operativni su.</w:t>
            </w:r>
          </w:p>
        </w:tc>
        <w:tc>
          <w:tcPr>
            <w:tcW w:w="1077" w:type="dxa"/>
            <w:shd w:val="clear" w:color="auto" w:fill="C6EFCE"/>
            <w:vAlign w:val="center"/>
          </w:tcPr>
          <w:p w14:paraId="197A44A4" w14:textId="77777777" w:rsidR="00615E2D" w:rsidRDefault="00615E2D">
            <w:pPr>
              <w:spacing w:before="0" w:after="0" w:line="240" w:lineRule="auto"/>
              <w:rPr>
                <w:rFonts w:eastAsia="Times New Roman"/>
                <w:noProof/>
                <w:color w:val="004300"/>
                <w:sz w:val="18"/>
              </w:rPr>
            </w:pPr>
          </w:p>
        </w:tc>
        <w:tc>
          <w:tcPr>
            <w:tcW w:w="1022" w:type="dxa"/>
            <w:shd w:val="clear" w:color="auto" w:fill="C6EFCE"/>
            <w:vAlign w:val="center"/>
          </w:tcPr>
          <w:p w14:paraId="02A8144F"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tcPr>
          <w:p w14:paraId="051FCE2E"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30356606"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0B97BE34" w14:textId="77777777" w:rsidR="00615E2D" w:rsidRDefault="00C83E46">
            <w:pPr>
              <w:pStyle w:val="P68B1DB1-Normal15"/>
              <w:spacing w:before="0" w:after="0" w:line="240" w:lineRule="auto"/>
              <w:jc w:val="center"/>
              <w:rPr>
                <w:noProof/>
              </w:rPr>
            </w:pPr>
            <w:r>
              <w:rPr>
                <w:noProof/>
              </w:rPr>
              <w:t>2022</w:t>
            </w:r>
          </w:p>
        </w:tc>
        <w:tc>
          <w:tcPr>
            <w:tcW w:w="3681" w:type="dxa"/>
            <w:shd w:val="clear" w:color="auto" w:fill="C6EFCE"/>
            <w:vAlign w:val="center"/>
            <w:hideMark/>
          </w:tcPr>
          <w:p w14:paraId="576886CD" w14:textId="77777777" w:rsidR="00615E2D" w:rsidRDefault="00C83E46">
            <w:pPr>
              <w:pStyle w:val="P68B1DB1-Normal16"/>
              <w:spacing w:before="0" w:after="0" w:line="240" w:lineRule="auto"/>
              <w:rPr>
                <w:rFonts w:eastAsia="Times New Roman"/>
                <w:noProof/>
              </w:rPr>
            </w:pPr>
            <w:r>
              <w:rPr>
                <w:noProof/>
              </w:rPr>
              <w:t>U ključnoj etapi uvodi se sustav CzechPOINT 2.0 kojim se javnosti pruža raspon pomoćnih usluga, izvadci iz informacijskih sustava javne uprave i mogućnost podnošenja ispunjenih obrazaca državnoj upravi ili komunikacije s njom. Ključna etapa uključuje i Informacijski sustav za središnju provjeru autentičnosti (CAAIS). Ključna etapa smatra se ispunjenom ako su oba dijela provedena i dostupna krajnjim korisnicima.</w:t>
            </w:r>
          </w:p>
        </w:tc>
      </w:tr>
      <w:tr w:rsidR="00615E2D" w14:paraId="1CE0025F" w14:textId="77777777">
        <w:trPr>
          <w:trHeight w:val="309"/>
          <w:jc w:val="center"/>
        </w:trPr>
        <w:tc>
          <w:tcPr>
            <w:tcW w:w="704" w:type="dxa"/>
            <w:shd w:val="clear" w:color="auto" w:fill="C6EFCE"/>
            <w:vAlign w:val="center"/>
            <w:hideMark/>
          </w:tcPr>
          <w:p w14:paraId="38B0522A" w14:textId="77777777" w:rsidR="00615E2D" w:rsidRDefault="00C83E46">
            <w:pPr>
              <w:pStyle w:val="P68B1DB1-Normal16"/>
              <w:spacing w:line="240" w:lineRule="auto"/>
              <w:jc w:val="center"/>
              <w:rPr>
                <w:noProof/>
              </w:rPr>
            </w:pPr>
            <w:r>
              <w:rPr>
                <w:noProof/>
              </w:rPr>
              <w:t>16</w:t>
            </w:r>
          </w:p>
        </w:tc>
        <w:tc>
          <w:tcPr>
            <w:tcW w:w="1448" w:type="dxa"/>
            <w:shd w:val="clear" w:color="auto" w:fill="C6EFCE"/>
            <w:vAlign w:val="center"/>
            <w:hideMark/>
          </w:tcPr>
          <w:p w14:paraId="5F4CDFF6" w14:textId="77777777" w:rsidR="00615E2D" w:rsidRDefault="00C83E46">
            <w:pPr>
              <w:pStyle w:val="P68B1DB1-Normal16"/>
              <w:spacing w:before="0" w:after="0" w:line="240" w:lineRule="auto"/>
              <w:rPr>
                <w:noProof/>
              </w:rPr>
            </w:pPr>
            <w:r>
              <w:rPr>
                <w:noProof/>
              </w:rPr>
              <w:t>Ulaganje 1:</w:t>
            </w:r>
          </w:p>
          <w:p w14:paraId="2338BDE1" w14:textId="77777777" w:rsidR="00615E2D" w:rsidRDefault="00C83E46">
            <w:pPr>
              <w:pStyle w:val="P68B1DB1-Normal16"/>
              <w:spacing w:before="0" w:after="0" w:line="240" w:lineRule="auto"/>
              <w:rPr>
                <w:rFonts w:eastAsia="Times New Roman"/>
                <w:noProof/>
              </w:rPr>
            </w:pPr>
            <w:r>
              <w:rPr>
                <w:noProof/>
              </w:rPr>
              <w:t>Razvoj informacijskih sustava</w:t>
            </w:r>
          </w:p>
        </w:tc>
        <w:tc>
          <w:tcPr>
            <w:tcW w:w="1134" w:type="dxa"/>
            <w:shd w:val="clear" w:color="auto" w:fill="C6EFCE"/>
            <w:vAlign w:val="center"/>
            <w:hideMark/>
          </w:tcPr>
          <w:p w14:paraId="52D92E97" w14:textId="77777777" w:rsidR="00615E2D" w:rsidRDefault="00C83E46">
            <w:pPr>
              <w:pStyle w:val="P68B1DB1-Normal16"/>
              <w:spacing w:line="240" w:lineRule="auto"/>
              <w:rPr>
                <w:noProof/>
              </w:rPr>
            </w:pPr>
            <w:r>
              <w:rPr>
                <w:noProof/>
              </w:rPr>
              <w:t>Prekretnica</w:t>
            </w:r>
          </w:p>
        </w:tc>
        <w:tc>
          <w:tcPr>
            <w:tcW w:w="1701" w:type="dxa"/>
            <w:shd w:val="clear" w:color="auto" w:fill="C6EFCE"/>
            <w:vAlign w:val="center"/>
            <w:hideMark/>
          </w:tcPr>
          <w:p w14:paraId="70DD2620" w14:textId="515E0D10" w:rsidR="00615E2D" w:rsidRDefault="00C83E46">
            <w:pPr>
              <w:pStyle w:val="P68B1DB1-Normal16"/>
              <w:spacing w:line="240" w:lineRule="auto"/>
              <w:rPr>
                <w:noProof/>
              </w:rPr>
            </w:pPr>
            <w:r>
              <w:rPr>
                <w:noProof/>
              </w:rPr>
              <w:t>Uspješna nadogradnja i rad sustava e-putovnice (ePasy) i viznog sustava EVC2</w:t>
            </w:r>
          </w:p>
        </w:tc>
        <w:tc>
          <w:tcPr>
            <w:tcW w:w="1843" w:type="dxa"/>
            <w:shd w:val="clear" w:color="auto" w:fill="C6EFCE"/>
            <w:vAlign w:val="center"/>
            <w:hideMark/>
          </w:tcPr>
          <w:p w14:paraId="6F0CA091" w14:textId="073C5BC1" w:rsidR="00615E2D" w:rsidRDefault="00C83E46">
            <w:pPr>
              <w:pStyle w:val="P68B1DB1-Normal15"/>
              <w:spacing w:line="240" w:lineRule="auto"/>
              <w:rPr>
                <w:noProof/>
              </w:rPr>
            </w:pPr>
            <w:r>
              <w:rPr>
                <w:noProof/>
              </w:rPr>
              <w:t xml:space="preserve">Izmjena sustava ePasy u skladu s izmijenjenim Zakonom o putnim ispravama i nadogradnja viznog sustava EVC2 </w:t>
            </w:r>
          </w:p>
        </w:tc>
        <w:tc>
          <w:tcPr>
            <w:tcW w:w="1077" w:type="dxa"/>
            <w:shd w:val="clear" w:color="auto" w:fill="C6EFCE"/>
            <w:vAlign w:val="center"/>
          </w:tcPr>
          <w:p w14:paraId="5278E01F" w14:textId="77777777" w:rsidR="00615E2D" w:rsidRDefault="00615E2D">
            <w:pPr>
              <w:spacing w:line="240" w:lineRule="auto"/>
              <w:rPr>
                <w:rFonts w:eastAsia="Times New Roman"/>
                <w:noProof/>
                <w:color w:val="004300"/>
                <w:sz w:val="18"/>
              </w:rPr>
            </w:pPr>
          </w:p>
        </w:tc>
        <w:tc>
          <w:tcPr>
            <w:tcW w:w="1022" w:type="dxa"/>
            <w:shd w:val="clear" w:color="auto" w:fill="C6EFCE"/>
            <w:vAlign w:val="center"/>
          </w:tcPr>
          <w:p w14:paraId="023AF270" w14:textId="77777777" w:rsidR="00615E2D" w:rsidRDefault="00615E2D">
            <w:pPr>
              <w:spacing w:line="240" w:lineRule="auto"/>
              <w:jc w:val="center"/>
              <w:rPr>
                <w:rFonts w:eastAsia="Times New Roman"/>
                <w:noProof/>
                <w:color w:val="004300"/>
                <w:sz w:val="18"/>
              </w:rPr>
            </w:pPr>
          </w:p>
        </w:tc>
        <w:tc>
          <w:tcPr>
            <w:tcW w:w="709" w:type="dxa"/>
            <w:shd w:val="clear" w:color="auto" w:fill="C6EFCE"/>
            <w:vAlign w:val="center"/>
          </w:tcPr>
          <w:p w14:paraId="2A7358C1" w14:textId="77777777" w:rsidR="00615E2D" w:rsidRDefault="00615E2D">
            <w:pPr>
              <w:spacing w:line="240" w:lineRule="auto"/>
              <w:jc w:val="center"/>
              <w:rPr>
                <w:rFonts w:eastAsia="Times New Roman"/>
                <w:noProof/>
                <w:color w:val="004300"/>
                <w:sz w:val="18"/>
              </w:rPr>
            </w:pPr>
          </w:p>
        </w:tc>
        <w:tc>
          <w:tcPr>
            <w:tcW w:w="992" w:type="dxa"/>
            <w:shd w:val="clear" w:color="auto" w:fill="C6EFCE"/>
            <w:vAlign w:val="center"/>
            <w:hideMark/>
          </w:tcPr>
          <w:p w14:paraId="2620A215" w14:textId="77777777" w:rsidR="00615E2D" w:rsidRDefault="00C83E46">
            <w:pPr>
              <w:pStyle w:val="P68B1DB1-Normal15"/>
              <w:spacing w:line="240" w:lineRule="auto"/>
              <w:jc w:val="center"/>
              <w:rPr>
                <w:noProof/>
              </w:rPr>
            </w:pPr>
            <w:r>
              <w:rPr>
                <w:noProof/>
              </w:rPr>
              <w:t>ČETVRTO TROMJESEČJE</w:t>
            </w:r>
          </w:p>
        </w:tc>
        <w:tc>
          <w:tcPr>
            <w:tcW w:w="709" w:type="dxa"/>
            <w:shd w:val="clear" w:color="auto" w:fill="C6EFCE"/>
            <w:vAlign w:val="center"/>
            <w:hideMark/>
          </w:tcPr>
          <w:p w14:paraId="4CF6D26D" w14:textId="77777777" w:rsidR="00615E2D" w:rsidRDefault="00C83E46">
            <w:pPr>
              <w:pStyle w:val="P68B1DB1-Normal15"/>
              <w:spacing w:line="240" w:lineRule="auto"/>
              <w:jc w:val="center"/>
              <w:rPr>
                <w:noProof/>
              </w:rPr>
            </w:pPr>
            <w:r>
              <w:rPr>
                <w:noProof/>
              </w:rPr>
              <w:t>2022</w:t>
            </w:r>
          </w:p>
        </w:tc>
        <w:tc>
          <w:tcPr>
            <w:tcW w:w="3681" w:type="dxa"/>
            <w:shd w:val="clear" w:color="auto" w:fill="C6EFCE"/>
            <w:vAlign w:val="center"/>
            <w:hideMark/>
          </w:tcPr>
          <w:p w14:paraId="33F36E6C" w14:textId="4E61E52B" w:rsidR="00615E2D" w:rsidRDefault="00C83E46">
            <w:pPr>
              <w:pStyle w:val="P68B1DB1-Normal15"/>
              <w:spacing w:line="240" w:lineRule="auto"/>
              <w:rPr>
                <w:noProof/>
              </w:rPr>
            </w:pPr>
            <w:r>
              <w:rPr>
                <w:noProof/>
              </w:rPr>
              <w:t xml:space="preserve">Informacijski sustav programa ePasy mijenja se u skladu s izmjenom Zakona o putnim ispravama br. 329/1999 zb. i dostupan je krajnjim korisnicima. Vizni sustav EVC2 nadogradit će se s kratkim i dugotrajnim viznim funkcijama u skladu sa sustavom ulaska/izlaska (EES) i dostupan je za testiranje u skladu s programom euINIS. </w:t>
            </w:r>
          </w:p>
        </w:tc>
      </w:tr>
      <w:tr w:rsidR="00615E2D" w14:paraId="6C6038F9" w14:textId="77777777">
        <w:trPr>
          <w:trHeight w:val="309"/>
          <w:jc w:val="center"/>
        </w:trPr>
        <w:tc>
          <w:tcPr>
            <w:tcW w:w="704" w:type="dxa"/>
            <w:shd w:val="clear" w:color="auto" w:fill="C6EFCE"/>
            <w:vAlign w:val="center"/>
            <w:hideMark/>
          </w:tcPr>
          <w:p w14:paraId="58C7C7E2" w14:textId="77777777" w:rsidR="00615E2D" w:rsidRDefault="00C83E46">
            <w:pPr>
              <w:pStyle w:val="P68B1DB1-Normal15"/>
              <w:spacing w:before="0" w:after="0" w:line="240" w:lineRule="auto"/>
              <w:jc w:val="center"/>
              <w:rPr>
                <w:noProof/>
              </w:rPr>
            </w:pPr>
            <w:r>
              <w:rPr>
                <w:noProof/>
              </w:rPr>
              <w:t>17</w:t>
            </w:r>
          </w:p>
        </w:tc>
        <w:tc>
          <w:tcPr>
            <w:tcW w:w="1448" w:type="dxa"/>
            <w:shd w:val="clear" w:color="auto" w:fill="C6EFCE"/>
            <w:vAlign w:val="center"/>
            <w:hideMark/>
          </w:tcPr>
          <w:p w14:paraId="034C0CFC" w14:textId="77777777" w:rsidR="00615E2D" w:rsidRDefault="00C83E46">
            <w:pPr>
              <w:pStyle w:val="P68B1DB1-Normal16"/>
              <w:spacing w:before="0" w:after="0" w:line="240" w:lineRule="auto"/>
              <w:rPr>
                <w:rFonts w:eastAsia="Times New Roman"/>
                <w:noProof/>
              </w:rPr>
            </w:pPr>
            <w:r>
              <w:rPr>
                <w:noProof/>
              </w:rPr>
              <w:t>Ulaganje 1: Razvoj informacijskih sustava</w:t>
            </w:r>
          </w:p>
        </w:tc>
        <w:tc>
          <w:tcPr>
            <w:tcW w:w="1134" w:type="dxa"/>
            <w:shd w:val="clear" w:color="auto" w:fill="C6EFCE"/>
            <w:vAlign w:val="center"/>
            <w:hideMark/>
          </w:tcPr>
          <w:p w14:paraId="179AD7E5" w14:textId="77777777" w:rsidR="00615E2D" w:rsidRDefault="00C83E46">
            <w:pPr>
              <w:pStyle w:val="P68B1DB1-Normal16"/>
              <w:spacing w:before="0" w:after="0" w:line="240" w:lineRule="auto"/>
              <w:rPr>
                <w:rFonts w:eastAsia="Times New Roman"/>
                <w:noProof/>
              </w:rPr>
            </w:pPr>
            <w:r>
              <w:rPr>
                <w:noProof/>
              </w:rPr>
              <w:t>Prekretnica</w:t>
            </w:r>
          </w:p>
        </w:tc>
        <w:tc>
          <w:tcPr>
            <w:tcW w:w="1701" w:type="dxa"/>
            <w:shd w:val="clear" w:color="auto" w:fill="C6EFCE"/>
            <w:vAlign w:val="center"/>
            <w:hideMark/>
          </w:tcPr>
          <w:p w14:paraId="2A593673" w14:textId="77777777" w:rsidR="00615E2D" w:rsidRDefault="00C83E46">
            <w:pPr>
              <w:pStyle w:val="P68B1DB1-Normal16"/>
              <w:spacing w:before="0" w:after="0" w:line="240" w:lineRule="auto"/>
              <w:rPr>
                <w:rFonts w:eastAsia="Times New Roman"/>
                <w:noProof/>
              </w:rPr>
            </w:pPr>
            <w:r>
              <w:rPr>
                <w:noProof/>
              </w:rPr>
              <w:t>Uspješno funkcioniranje integriranog sustava za strance kojim se smanjuje administrativno opterećenje stranaca i javnih službenika</w:t>
            </w:r>
          </w:p>
        </w:tc>
        <w:tc>
          <w:tcPr>
            <w:tcW w:w="1843" w:type="dxa"/>
            <w:shd w:val="clear" w:color="auto" w:fill="C6EFCE"/>
            <w:vAlign w:val="center"/>
            <w:hideMark/>
          </w:tcPr>
          <w:p w14:paraId="3B8AA47B" w14:textId="77777777" w:rsidR="00615E2D" w:rsidRDefault="00C83E46">
            <w:pPr>
              <w:pStyle w:val="P68B1DB1-Normal16"/>
              <w:spacing w:before="0" w:after="0" w:line="240" w:lineRule="auto"/>
              <w:rPr>
                <w:rFonts w:eastAsia="Times New Roman"/>
                <w:noProof/>
              </w:rPr>
            </w:pPr>
            <w:r>
              <w:rPr>
                <w:noProof/>
              </w:rPr>
              <w:t>Novi integrirani sustav za strance operativan je i pruža usluge krajnjim korisnicima</w:t>
            </w:r>
          </w:p>
        </w:tc>
        <w:tc>
          <w:tcPr>
            <w:tcW w:w="1077" w:type="dxa"/>
            <w:shd w:val="clear" w:color="auto" w:fill="C6EFCE"/>
            <w:vAlign w:val="center"/>
          </w:tcPr>
          <w:p w14:paraId="50D4E032" w14:textId="77777777" w:rsidR="00615E2D" w:rsidRDefault="00615E2D">
            <w:pPr>
              <w:spacing w:before="0" w:after="0" w:line="240" w:lineRule="auto"/>
              <w:rPr>
                <w:rFonts w:eastAsia="Times New Roman"/>
                <w:noProof/>
                <w:color w:val="004300"/>
                <w:sz w:val="18"/>
              </w:rPr>
            </w:pPr>
          </w:p>
        </w:tc>
        <w:tc>
          <w:tcPr>
            <w:tcW w:w="1022" w:type="dxa"/>
            <w:shd w:val="clear" w:color="auto" w:fill="C6EFCE"/>
            <w:vAlign w:val="center"/>
          </w:tcPr>
          <w:p w14:paraId="11A9AC05"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tcPr>
          <w:p w14:paraId="3538E4BA"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62AB9427" w14:textId="1CA17532" w:rsidR="00615E2D" w:rsidRDefault="00C83E46">
            <w:pPr>
              <w:pStyle w:val="P68B1DB1-Normal15"/>
              <w:spacing w:before="0" w:after="0" w:line="240" w:lineRule="auto"/>
              <w:jc w:val="center"/>
              <w:rPr>
                <w:noProof/>
              </w:rPr>
            </w:pPr>
            <w:r>
              <w:rPr>
                <w:noProof/>
              </w:rPr>
              <w:t>TROMJESEČJE</w:t>
            </w:r>
          </w:p>
        </w:tc>
        <w:tc>
          <w:tcPr>
            <w:tcW w:w="709" w:type="dxa"/>
            <w:shd w:val="clear" w:color="auto" w:fill="C6EFCE"/>
            <w:vAlign w:val="center"/>
            <w:hideMark/>
          </w:tcPr>
          <w:p w14:paraId="6B5F7B2D" w14:textId="7919B915" w:rsidR="00615E2D" w:rsidRDefault="00C83E46">
            <w:pPr>
              <w:pStyle w:val="P68B1DB1-Normal15"/>
              <w:spacing w:before="0" w:after="0" w:line="240" w:lineRule="auto"/>
              <w:jc w:val="center"/>
              <w:rPr>
                <w:noProof/>
              </w:rPr>
            </w:pPr>
            <w:r>
              <w:rPr>
                <w:noProof/>
              </w:rPr>
              <w:t>2026</w:t>
            </w:r>
          </w:p>
        </w:tc>
        <w:tc>
          <w:tcPr>
            <w:tcW w:w="3681" w:type="dxa"/>
            <w:shd w:val="clear" w:color="auto" w:fill="C6EFCE"/>
            <w:vAlign w:val="center"/>
            <w:hideMark/>
          </w:tcPr>
          <w:p w14:paraId="4905537A" w14:textId="500CCA51" w:rsidR="00615E2D" w:rsidRDefault="00C83E46">
            <w:pPr>
              <w:pStyle w:val="P68B1DB1-Normal16"/>
              <w:spacing w:before="0" w:after="0" w:line="240" w:lineRule="auto"/>
              <w:rPr>
                <w:rFonts w:eastAsia="Times New Roman"/>
                <w:noProof/>
              </w:rPr>
            </w:pPr>
            <w:r>
              <w:rPr>
                <w:noProof/>
              </w:rPr>
              <w:t xml:space="preserve">Tom ključnom etapom uspostavlja se novi integrirani sustav za strance (ICAS), kojim će se strancima registriranima u Češkoj omogućiti da svojim poslovima povezanima s boravištem upravljaju novim digitalnim uslugama za klijente javne uprave u određenom odjeljku. </w:t>
            </w:r>
          </w:p>
        </w:tc>
      </w:tr>
      <w:tr w:rsidR="00615E2D" w14:paraId="159CAB5B" w14:textId="77777777">
        <w:trPr>
          <w:trHeight w:val="982"/>
          <w:jc w:val="center"/>
        </w:trPr>
        <w:tc>
          <w:tcPr>
            <w:tcW w:w="704" w:type="dxa"/>
            <w:shd w:val="clear" w:color="auto" w:fill="C6EFCE"/>
            <w:vAlign w:val="center"/>
            <w:hideMark/>
          </w:tcPr>
          <w:p w14:paraId="42769780" w14:textId="77777777" w:rsidR="00615E2D" w:rsidRDefault="00C83E46">
            <w:pPr>
              <w:pStyle w:val="P68B1DB1-Normal15"/>
              <w:spacing w:before="0" w:after="0" w:line="240" w:lineRule="auto"/>
              <w:jc w:val="center"/>
              <w:rPr>
                <w:noProof/>
              </w:rPr>
            </w:pPr>
            <w:r>
              <w:rPr>
                <w:noProof/>
              </w:rPr>
              <w:t>18</w:t>
            </w:r>
          </w:p>
        </w:tc>
        <w:tc>
          <w:tcPr>
            <w:tcW w:w="1448" w:type="dxa"/>
            <w:shd w:val="clear" w:color="auto" w:fill="C6EFCE"/>
            <w:vAlign w:val="center"/>
            <w:hideMark/>
          </w:tcPr>
          <w:p w14:paraId="5A9EEAD5" w14:textId="77777777" w:rsidR="00615E2D" w:rsidRDefault="00C83E46">
            <w:pPr>
              <w:pStyle w:val="P68B1DB1-Normal16"/>
              <w:spacing w:before="0" w:after="0" w:line="240" w:lineRule="auto"/>
              <w:rPr>
                <w:noProof/>
              </w:rPr>
            </w:pPr>
            <w:r>
              <w:rPr>
                <w:noProof/>
              </w:rPr>
              <w:t>Ulaganje 1:</w:t>
            </w:r>
          </w:p>
          <w:p w14:paraId="1DA3C559" w14:textId="77777777" w:rsidR="00615E2D" w:rsidRDefault="00C83E46">
            <w:pPr>
              <w:pStyle w:val="P68B1DB1-Normal16"/>
              <w:spacing w:before="0" w:after="0" w:line="240" w:lineRule="auto"/>
              <w:rPr>
                <w:rFonts w:eastAsia="Times New Roman"/>
                <w:noProof/>
              </w:rPr>
            </w:pPr>
            <w:r>
              <w:rPr>
                <w:noProof/>
              </w:rPr>
              <w:t>Razvoj informacijskih sustava</w:t>
            </w:r>
          </w:p>
        </w:tc>
        <w:tc>
          <w:tcPr>
            <w:tcW w:w="1134" w:type="dxa"/>
            <w:shd w:val="clear" w:color="auto" w:fill="C6EFCE"/>
            <w:vAlign w:val="center"/>
            <w:hideMark/>
          </w:tcPr>
          <w:p w14:paraId="2ED6A440" w14:textId="77777777" w:rsidR="00615E2D" w:rsidRDefault="00C83E46">
            <w:pPr>
              <w:pStyle w:val="P68B1DB1-Normal16"/>
              <w:spacing w:before="0" w:after="0" w:line="240" w:lineRule="auto"/>
              <w:rPr>
                <w:rFonts w:eastAsia="Times New Roman"/>
                <w:noProof/>
              </w:rPr>
            </w:pPr>
            <w:r>
              <w:rPr>
                <w:noProof/>
              </w:rPr>
              <w:t>Ciljna</w:t>
            </w:r>
          </w:p>
        </w:tc>
        <w:tc>
          <w:tcPr>
            <w:tcW w:w="1701" w:type="dxa"/>
            <w:shd w:val="clear" w:color="auto" w:fill="C6EFCE"/>
            <w:vAlign w:val="center"/>
          </w:tcPr>
          <w:p w14:paraId="7B67F893" w14:textId="77777777" w:rsidR="00615E2D" w:rsidRDefault="00C83E46">
            <w:pPr>
              <w:pStyle w:val="P68B1DB1-Normal16"/>
              <w:spacing w:before="0" w:after="0" w:line="240" w:lineRule="auto"/>
              <w:rPr>
                <w:rFonts w:eastAsia="Times New Roman"/>
                <w:noProof/>
              </w:rPr>
            </w:pPr>
            <w:r>
              <w:rPr>
                <w:noProof/>
              </w:rPr>
              <w:t>Ugovaranje izvođenja navedenih projekata informacijskih sustava koji čine pozadinsku osnovu za razvoj informacijskih sustava za javnu upravu</w:t>
            </w:r>
          </w:p>
        </w:tc>
        <w:tc>
          <w:tcPr>
            <w:tcW w:w="1843" w:type="dxa"/>
            <w:shd w:val="clear" w:color="auto" w:fill="C6EFCE"/>
            <w:vAlign w:val="center"/>
          </w:tcPr>
          <w:p w14:paraId="5EB80AA0" w14:textId="77777777" w:rsidR="00615E2D" w:rsidRDefault="00615E2D">
            <w:pPr>
              <w:spacing w:before="0" w:after="0" w:line="240" w:lineRule="auto"/>
              <w:rPr>
                <w:rFonts w:eastAsia="Times New Roman"/>
                <w:noProof/>
                <w:color w:val="004300"/>
                <w:sz w:val="18"/>
              </w:rPr>
            </w:pPr>
          </w:p>
        </w:tc>
        <w:tc>
          <w:tcPr>
            <w:tcW w:w="1077" w:type="dxa"/>
            <w:shd w:val="clear" w:color="auto" w:fill="C6EFCE"/>
            <w:vAlign w:val="center"/>
            <w:hideMark/>
          </w:tcPr>
          <w:p w14:paraId="557C7344" w14:textId="77777777" w:rsidR="00615E2D" w:rsidRDefault="00C83E46">
            <w:pPr>
              <w:pStyle w:val="P68B1DB1-Normal16"/>
              <w:spacing w:before="0" w:after="0" w:line="240" w:lineRule="auto"/>
              <w:rPr>
                <w:rFonts w:eastAsia="Times New Roman"/>
                <w:noProof/>
              </w:rPr>
            </w:pPr>
            <w:r>
              <w:rPr>
                <w:noProof/>
              </w:rPr>
              <w:t>Broj</w:t>
            </w:r>
          </w:p>
        </w:tc>
        <w:tc>
          <w:tcPr>
            <w:tcW w:w="1022" w:type="dxa"/>
            <w:shd w:val="clear" w:color="auto" w:fill="C6EFCE"/>
            <w:vAlign w:val="center"/>
            <w:hideMark/>
          </w:tcPr>
          <w:p w14:paraId="225EDB0F" w14:textId="77777777" w:rsidR="00615E2D" w:rsidRDefault="00C83E46">
            <w:pPr>
              <w:pStyle w:val="P68B1DB1-Normal15"/>
              <w:spacing w:before="0" w:after="0" w:line="240" w:lineRule="auto"/>
              <w:jc w:val="center"/>
              <w:rPr>
                <w:noProof/>
              </w:rPr>
            </w:pPr>
            <w:r>
              <w:rPr>
                <w:noProof/>
              </w:rPr>
              <w:t>0</w:t>
            </w:r>
          </w:p>
        </w:tc>
        <w:tc>
          <w:tcPr>
            <w:tcW w:w="709" w:type="dxa"/>
            <w:shd w:val="clear" w:color="auto" w:fill="C6EFCE"/>
            <w:vAlign w:val="center"/>
            <w:hideMark/>
          </w:tcPr>
          <w:p w14:paraId="2C06A2BF" w14:textId="77777777" w:rsidR="00615E2D" w:rsidRDefault="00C83E46">
            <w:pPr>
              <w:pStyle w:val="P68B1DB1-Normal15"/>
              <w:spacing w:before="0" w:after="0" w:line="240" w:lineRule="auto"/>
              <w:jc w:val="center"/>
              <w:rPr>
                <w:noProof/>
              </w:rPr>
            </w:pPr>
            <w:r>
              <w:rPr>
                <w:noProof/>
              </w:rPr>
              <w:t>8</w:t>
            </w:r>
          </w:p>
        </w:tc>
        <w:tc>
          <w:tcPr>
            <w:tcW w:w="992" w:type="dxa"/>
            <w:shd w:val="clear" w:color="auto" w:fill="C6EFCE"/>
            <w:vAlign w:val="center"/>
            <w:hideMark/>
          </w:tcPr>
          <w:p w14:paraId="159E3A21" w14:textId="77777777" w:rsidR="00615E2D" w:rsidRDefault="00C83E46">
            <w:pPr>
              <w:pStyle w:val="P68B1DB1-Normal15"/>
              <w:spacing w:before="0" w:after="0" w:line="240" w:lineRule="auto"/>
              <w:jc w:val="center"/>
              <w:rPr>
                <w:noProof/>
              </w:rPr>
            </w:pPr>
            <w:r>
              <w:rPr>
                <w:noProof/>
              </w:rPr>
              <w:t xml:space="preserve">TROMJESEČJE </w:t>
            </w:r>
          </w:p>
        </w:tc>
        <w:tc>
          <w:tcPr>
            <w:tcW w:w="709" w:type="dxa"/>
            <w:shd w:val="clear" w:color="auto" w:fill="C6EFCE"/>
            <w:vAlign w:val="center"/>
            <w:hideMark/>
          </w:tcPr>
          <w:p w14:paraId="7228B510" w14:textId="77777777" w:rsidR="00615E2D" w:rsidRDefault="00C83E46">
            <w:pPr>
              <w:pStyle w:val="P68B1DB1-Normal15"/>
              <w:spacing w:before="0" w:after="0" w:line="240" w:lineRule="auto"/>
              <w:jc w:val="center"/>
              <w:rPr>
                <w:noProof/>
              </w:rPr>
            </w:pPr>
            <w:r>
              <w:rPr>
                <w:noProof/>
              </w:rPr>
              <w:t>2024</w:t>
            </w:r>
          </w:p>
        </w:tc>
        <w:tc>
          <w:tcPr>
            <w:tcW w:w="3681" w:type="dxa"/>
            <w:shd w:val="clear" w:color="auto" w:fill="C6EFCE"/>
            <w:vAlign w:val="center"/>
            <w:hideMark/>
          </w:tcPr>
          <w:p w14:paraId="1EB7260B" w14:textId="77777777" w:rsidR="00615E2D" w:rsidRDefault="00C83E46">
            <w:pPr>
              <w:pStyle w:val="P68B1DB1-Normal16"/>
              <w:spacing w:before="0" w:after="0" w:line="240" w:lineRule="auto"/>
              <w:rPr>
                <w:noProof/>
              </w:rPr>
            </w:pPr>
            <w:r>
              <w:rPr>
                <w:noProof/>
              </w:rPr>
              <w:t xml:space="preserve">Ciljna vrijednost postiže se sklapanjem ugovora o sljedećim projektima: </w:t>
            </w:r>
          </w:p>
          <w:p w14:paraId="733B37F4" w14:textId="77777777" w:rsidR="00615E2D" w:rsidRDefault="00C83E46">
            <w:pPr>
              <w:pStyle w:val="P68B1DB1-Normal16"/>
              <w:spacing w:before="0" w:after="0" w:line="240" w:lineRule="auto"/>
              <w:rPr>
                <w:noProof/>
              </w:rPr>
            </w:pPr>
            <w:r>
              <w:rPr>
                <w:noProof/>
              </w:rPr>
              <w:t>1. Centralizacija sustava za samozaposlene osobe</w:t>
            </w:r>
          </w:p>
          <w:p w14:paraId="41DE822D" w14:textId="77777777" w:rsidR="00615E2D" w:rsidRDefault="00C83E46">
            <w:pPr>
              <w:pStyle w:val="P68B1DB1-Normal16"/>
              <w:spacing w:before="0" w:after="0" w:line="240" w:lineRule="auto"/>
              <w:rPr>
                <w:noProof/>
              </w:rPr>
            </w:pPr>
            <w:r>
              <w:rPr>
                <w:noProof/>
              </w:rPr>
              <w:t>2. Elektronička razmjena informacija o socijalnoj sigurnosti</w:t>
            </w:r>
          </w:p>
          <w:p w14:paraId="1034DFFA" w14:textId="77777777" w:rsidR="00615E2D" w:rsidRDefault="00C83E46">
            <w:pPr>
              <w:pStyle w:val="P68B1DB1-Normal16"/>
              <w:spacing w:before="0" w:after="0" w:line="240" w:lineRule="auto"/>
              <w:rPr>
                <w:noProof/>
              </w:rPr>
            </w:pPr>
            <w:r>
              <w:rPr>
                <w:noProof/>
              </w:rPr>
              <w:t>3. Informacijski sustav za bespovratna sredstva</w:t>
            </w:r>
          </w:p>
          <w:p w14:paraId="57813550" w14:textId="77777777" w:rsidR="00615E2D" w:rsidRDefault="00C83E46">
            <w:pPr>
              <w:pStyle w:val="P68B1DB1-Normal16"/>
              <w:spacing w:before="0" w:after="0" w:line="240" w:lineRule="auto"/>
              <w:rPr>
                <w:noProof/>
              </w:rPr>
            </w:pPr>
            <w:r>
              <w:rPr>
                <w:noProof/>
              </w:rPr>
              <w:t>4. Služba za liječničku procjenu</w:t>
            </w:r>
          </w:p>
          <w:p w14:paraId="12E72072" w14:textId="77777777" w:rsidR="00615E2D" w:rsidRDefault="00C83E46">
            <w:pPr>
              <w:pStyle w:val="P68B1DB1-Normal16"/>
              <w:spacing w:before="0" w:after="0" w:line="240" w:lineRule="auto"/>
              <w:rPr>
                <w:noProof/>
              </w:rPr>
            </w:pPr>
            <w:r>
              <w:rPr>
                <w:noProof/>
              </w:rPr>
              <w:t>5. Optimizacija repozitorija podataka za upravu socijalne sigurnosti</w:t>
            </w:r>
          </w:p>
          <w:p w14:paraId="47D47BD9" w14:textId="77777777" w:rsidR="00615E2D" w:rsidRDefault="00C83E46">
            <w:pPr>
              <w:pStyle w:val="P68B1DB1-Normal16"/>
              <w:spacing w:before="0" w:after="0" w:line="240" w:lineRule="auto"/>
              <w:rPr>
                <w:noProof/>
              </w:rPr>
            </w:pPr>
            <w:r>
              <w:rPr>
                <w:noProof/>
              </w:rPr>
              <w:t>6. Sustav podružnica usluga e-prijave</w:t>
            </w:r>
          </w:p>
          <w:p w14:paraId="3DA003C8" w14:textId="77777777" w:rsidR="00615E2D" w:rsidRDefault="00C83E46">
            <w:pPr>
              <w:pStyle w:val="P68B1DB1-Normal16"/>
              <w:spacing w:before="0" w:after="0" w:line="240" w:lineRule="auto"/>
              <w:rPr>
                <w:noProof/>
              </w:rPr>
            </w:pPr>
            <w:r>
              <w:rPr>
                <w:noProof/>
              </w:rPr>
              <w:t xml:space="preserve">7. Središnja točka za provjeru autentičnosti za češki ured za statistiku i integracija statističkih registara u povezani skup podataka </w:t>
            </w:r>
          </w:p>
          <w:p w14:paraId="3EBDE23A" w14:textId="77777777" w:rsidR="00615E2D" w:rsidRDefault="00C83E46">
            <w:pPr>
              <w:pStyle w:val="P68B1DB1-Normal16"/>
              <w:spacing w:before="0" w:after="0" w:line="240" w:lineRule="auto"/>
              <w:rPr>
                <w:noProof/>
              </w:rPr>
            </w:pPr>
            <w:r>
              <w:rPr>
                <w:noProof/>
              </w:rPr>
              <w:t>8. Informacijski sustav muzejskih zbirki</w:t>
            </w:r>
          </w:p>
        </w:tc>
      </w:tr>
      <w:tr w:rsidR="00615E2D" w14:paraId="5C29798A" w14:textId="77777777">
        <w:trPr>
          <w:trHeight w:val="309"/>
          <w:jc w:val="center"/>
        </w:trPr>
        <w:tc>
          <w:tcPr>
            <w:tcW w:w="704" w:type="dxa"/>
            <w:shd w:val="clear" w:color="auto" w:fill="C6EFCE"/>
            <w:vAlign w:val="center"/>
            <w:hideMark/>
          </w:tcPr>
          <w:p w14:paraId="36668532" w14:textId="77777777" w:rsidR="00615E2D" w:rsidRDefault="00C83E46">
            <w:pPr>
              <w:pStyle w:val="P68B1DB1-Normal15"/>
              <w:spacing w:before="0" w:after="0" w:line="240" w:lineRule="auto"/>
              <w:jc w:val="center"/>
              <w:rPr>
                <w:noProof/>
              </w:rPr>
            </w:pPr>
            <w:r>
              <w:rPr>
                <w:noProof/>
              </w:rPr>
              <w:t>19</w:t>
            </w:r>
          </w:p>
        </w:tc>
        <w:tc>
          <w:tcPr>
            <w:tcW w:w="1448" w:type="dxa"/>
            <w:shd w:val="clear" w:color="auto" w:fill="C6EFCE"/>
            <w:vAlign w:val="center"/>
            <w:hideMark/>
          </w:tcPr>
          <w:p w14:paraId="16109F6A" w14:textId="77777777" w:rsidR="00615E2D" w:rsidRDefault="00C83E46">
            <w:pPr>
              <w:pStyle w:val="P68B1DB1-Normal15"/>
              <w:spacing w:before="0" w:after="0" w:line="240" w:lineRule="auto"/>
              <w:rPr>
                <w:noProof/>
              </w:rPr>
            </w:pPr>
            <w:r>
              <w:rPr>
                <w:noProof/>
              </w:rPr>
              <w:t>Ulaganje 1:</w:t>
            </w:r>
          </w:p>
          <w:p w14:paraId="16C06D97" w14:textId="77777777" w:rsidR="00615E2D" w:rsidRDefault="00C83E46">
            <w:pPr>
              <w:pStyle w:val="P68B1DB1-Normal15"/>
              <w:spacing w:before="0" w:after="0" w:line="240" w:lineRule="auto"/>
              <w:rPr>
                <w:noProof/>
              </w:rPr>
            </w:pPr>
            <w:r>
              <w:rPr>
                <w:noProof/>
              </w:rPr>
              <w:t>Razvoj informacijskih sustava</w:t>
            </w:r>
          </w:p>
        </w:tc>
        <w:tc>
          <w:tcPr>
            <w:tcW w:w="1134" w:type="dxa"/>
            <w:shd w:val="clear" w:color="auto" w:fill="C6EFCE"/>
            <w:vAlign w:val="center"/>
            <w:hideMark/>
          </w:tcPr>
          <w:p w14:paraId="6F3909A7" w14:textId="77777777" w:rsidR="00615E2D" w:rsidRDefault="00C83E46">
            <w:pPr>
              <w:pStyle w:val="P68B1DB1-Normal15"/>
              <w:spacing w:before="0" w:after="0" w:line="240" w:lineRule="auto"/>
              <w:rPr>
                <w:noProof/>
              </w:rPr>
            </w:pPr>
            <w:r>
              <w:rPr>
                <w:noProof/>
              </w:rPr>
              <w:t> Ciljna</w:t>
            </w:r>
          </w:p>
        </w:tc>
        <w:tc>
          <w:tcPr>
            <w:tcW w:w="1701" w:type="dxa"/>
            <w:shd w:val="clear" w:color="auto" w:fill="C6EFCE"/>
            <w:vAlign w:val="center"/>
            <w:hideMark/>
          </w:tcPr>
          <w:p w14:paraId="7A3436AA" w14:textId="15BA5C45" w:rsidR="00615E2D" w:rsidRDefault="00C83E46">
            <w:pPr>
              <w:pStyle w:val="P68B1DB1-Normal16"/>
              <w:spacing w:before="0" w:after="0" w:line="240" w:lineRule="auto"/>
              <w:rPr>
                <w:rFonts w:eastAsia="Times New Roman"/>
                <w:noProof/>
              </w:rPr>
            </w:pPr>
            <w:r>
              <w:rPr>
                <w:noProof/>
              </w:rPr>
              <w:t xml:space="preserve">Uspješno funkcioniranje novih ili poboljšanih informacijskih sustava javne uprave (završetak projekata ugovorenih u okviru </w:t>
            </w:r>
            <w:r>
              <w:rPr>
                <w:noProof/>
                <w:u w:val="single"/>
              </w:rPr>
              <w:t>cilja 18)</w:t>
            </w:r>
          </w:p>
        </w:tc>
        <w:tc>
          <w:tcPr>
            <w:tcW w:w="1843" w:type="dxa"/>
            <w:shd w:val="clear" w:color="auto" w:fill="C6EFCE"/>
            <w:vAlign w:val="center"/>
          </w:tcPr>
          <w:p w14:paraId="40220048" w14:textId="77777777" w:rsidR="00615E2D" w:rsidRDefault="00615E2D">
            <w:pPr>
              <w:spacing w:before="0" w:after="0" w:line="240" w:lineRule="auto"/>
              <w:rPr>
                <w:rFonts w:eastAsia="Times New Roman"/>
                <w:noProof/>
                <w:color w:val="004300"/>
                <w:sz w:val="18"/>
              </w:rPr>
            </w:pPr>
          </w:p>
        </w:tc>
        <w:tc>
          <w:tcPr>
            <w:tcW w:w="1077" w:type="dxa"/>
            <w:shd w:val="clear" w:color="auto" w:fill="C6EFCE"/>
            <w:vAlign w:val="center"/>
            <w:hideMark/>
          </w:tcPr>
          <w:p w14:paraId="7371B2FA" w14:textId="29728A8D" w:rsidR="00615E2D" w:rsidRDefault="00C83E46">
            <w:pPr>
              <w:pStyle w:val="P68B1DB1-Normal15"/>
              <w:spacing w:before="0" w:after="0" w:line="240" w:lineRule="auto"/>
              <w:rPr>
                <w:noProof/>
              </w:rPr>
            </w:pPr>
            <w:r>
              <w:rPr>
                <w:noProof/>
              </w:rPr>
              <w:t>Broj</w:t>
            </w:r>
          </w:p>
        </w:tc>
        <w:tc>
          <w:tcPr>
            <w:tcW w:w="1022" w:type="dxa"/>
            <w:shd w:val="clear" w:color="auto" w:fill="C6EFCE"/>
            <w:vAlign w:val="center"/>
            <w:hideMark/>
          </w:tcPr>
          <w:p w14:paraId="6BEC2571" w14:textId="77777777" w:rsidR="00615E2D" w:rsidRDefault="00C83E46">
            <w:pPr>
              <w:pStyle w:val="P68B1DB1-Normal15"/>
              <w:spacing w:before="0" w:after="0" w:line="240" w:lineRule="auto"/>
              <w:jc w:val="center"/>
              <w:rPr>
                <w:noProof/>
              </w:rPr>
            </w:pPr>
            <w:r>
              <w:rPr>
                <w:noProof/>
              </w:rPr>
              <w:t>0</w:t>
            </w:r>
          </w:p>
        </w:tc>
        <w:tc>
          <w:tcPr>
            <w:tcW w:w="709" w:type="dxa"/>
            <w:shd w:val="clear" w:color="auto" w:fill="C6EFCE"/>
            <w:vAlign w:val="center"/>
            <w:hideMark/>
          </w:tcPr>
          <w:p w14:paraId="5D654D5F" w14:textId="77777777" w:rsidR="00615E2D" w:rsidRDefault="00C83E46">
            <w:pPr>
              <w:pStyle w:val="P68B1DB1-Normal15"/>
              <w:spacing w:before="0" w:after="0" w:line="240" w:lineRule="auto"/>
              <w:jc w:val="center"/>
              <w:rPr>
                <w:noProof/>
              </w:rPr>
            </w:pPr>
            <w:r>
              <w:rPr>
                <w:noProof/>
              </w:rPr>
              <w:t>8</w:t>
            </w:r>
          </w:p>
        </w:tc>
        <w:tc>
          <w:tcPr>
            <w:tcW w:w="992" w:type="dxa"/>
            <w:shd w:val="clear" w:color="auto" w:fill="C6EFCE"/>
            <w:vAlign w:val="center"/>
            <w:hideMark/>
          </w:tcPr>
          <w:p w14:paraId="12560FF4"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0AAEC056" w14:textId="77777777" w:rsidR="00615E2D" w:rsidRDefault="00C83E46">
            <w:pPr>
              <w:pStyle w:val="P68B1DB1-Normal15"/>
              <w:spacing w:before="0" w:after="0" w:line="240" w:lineRule="auto"/>
              <w:jc w:val="center"/>
              <w:rPr>
                <w:noProof/>
              </w:rPr>
            </w:pPr>
            <w:r>
              <w:rPr>
                <w:noProof/>
              </w:rPr>
              <w:t>2025</w:t>
            </w:r>
          </w:p>
        </w:tc>
        <w:tc>
          <w:tcPr>
            <w:tcW w:w="3681" w:type="dxa"/>
            <w:shd w:val="clear" w:color="auto" w:fill="C6EFCE"/>
            <w:vAlign w:val="center"/>
            <w:hideMark/>
          </w:tcPr>
          <w:p w14:paraId="6D155BA9" w14:textId="13781962" w:rsidR="00615E2D" w:rsidRDefault="00C83E46">
            <w:pPr>
              <w:pStyle w:val="P68B1DB1-Normal16"/>
              <w:spacing w:before="0" w:after="0" w:line="240" w:lineRule="auto"/>
              <w:rPr>
                <w:noProof/>
              </w:rPr>
            </w:pPr>
            <w:r>
              <w:rPr>
                <w:noProof/>
              </w:rPr>
              <w:t>Novi ili nadograđeni informacijski sustavi dovršavaju se upućivanjem na sljedeće projekte:</w:t>
            </w:r>
          </w:p>
          <w:p w14:paraId="676A59FA" w14:textId="77777777" w:rsidR="00615E2D" w:rsidRDefault="00C83E46">
            <w:pPr>
              <w:pStyle w:val="P68B1DB1-Normal16"/>
              <w:spacing w:before="0" w:after="0" w:line="240" w:lineRule="auto"/>
              <w:rPr>
                <w:noProof/>
              </w:rPr>
            </w:pPr>
            <w:r>
              <w:rPr>
                <w:noProof/>
              </w:rPr>
              <w:t>1. Centralizacija sustava za samozaposlene osobe</w:t>
            </w:r>
          </w:p>
          <w:p w14:paraId="760AC820" w14:textId="77777777" w:rsidR="00615E2D" w:rsidRDefault="00C83E46">
            <w:pPr>
              <w:pStyle w:val="P68B1DB1-Normal16"/>
              <w:spacing w:before="0" w:after="0" w:line="240" w:lineRule="auto"/>
              <w:rPr>
                <w:noProof/>
              </w:rPr>
            </w:pPr>
            <w:r>
              <w:rPr>
                <w:noProof/>
              </w:rPr>
              <w:t>2. Elektronička razmjena informacija o socijalnoj sigurnosti</w:t>
            </w:r>
          </w:p>
          <w:p w14:paraId="16AC5A94" w14:textId="77777777" w:rsidR="00615E2D" w:rsidRDefault="00C83E46">
            <w:pPr>
              <w:pStyle w:val="P68B1DB1-Normal16"/>
              <w:spacing w:before="0" w:after="0" w:line="240" w:lineRule="auto"/>
              <w:rPr>
                <w:noProof/>
              </w:rPr>
            </w:pPr>
            <w:r>
              <w:rPr>
                <w:noProof/>
              </w:rPr>
              <w:t>3. Informacijski sustav za bespovratna sredstva</w:t>
            </w:r>
          </w:p>
          <w:p w14:paraId="6D1BA96B" w14:textId="77777777" w:rsidR="00615E2D" w:rsidRDefault="00C83E46">
            <w:pPr>
              <w:pStyle w:val="P68B1DB1-Normal16"/>
              <w:spacing w:before="0" w:after="0" w:line="240" w:lineRule="auto"/>
              <w:rPr>
                <w:noProof/>
              </w:rPr>
            </w:pPr>
            <w:r>
              <w:rPr>
                <w:noProof/>
              </w:rPr>
              <w:t>4. Služba za liječničku procjenu</w:t>
            </w:r>
          </w:p>
          <w:p w14:paraId="593F5CEA" w14:textId="77777777" w:rsidR="00615E2D" w:rsidRDefault="00C83E46">
            <w:pPr>
              <w:pStyle w:val="P68B1DB1-Normal16"/>
              <w:spacing w:before="0" w:after="0" w:line="240" w:lineRule="auto"/>
              <w:rPr>
                <w:noProof/>
              </w:rPr>
            </w:pPr>
            <w:r>
              <w:rPr>
                <w:noProof/>
              </w:rPr>
              <w:t>5. Optimizacija repozitorija podataka za upravu socijalne sigurnosti</w:t>
            </w:r>
          </w:p>
          <w:p w14:paraId="6EDC5E56" w14:textId="77777777" w:rsidR="00615E2D" w:rsidRDefault="00C83E46">
            <w:pPr>
              <w:pStyle w:val="P68B1DB1-Normal16"/>
              <w:spacing w:before="0" w:after="0" w:line="240" w:lineRule="auto"/>
              <w:rPr>
                <w:noProof/>
              </w:rPr>
            </w:pPr>
            <w:r>
              <w:rPr>
                <w:noProof/>
              </w:rPr>
              <w:t>6. Sustav podružnica usluga e-prijave</w:t>
            </w:r>
          </w:p>
          <w:p w14:paraId="171C0793" w14:textId="77777777" w:rsidR="00615E2D" w:rsidRDefault="00C83E46">
            <w:pPr>
              <w:pStyle w:val="P68B1DB1-Normal16"/>
              <w:spacing w:before="0" w:after="0" w:line="240" w:lineRule="auto"/>
              <w:rPr>
                <w:noProof/>
              </w:rPr>
            </w:pPr>
            <w:r>
              <w:rPr>
                <w:noProof/>
              </w:rPr>
              <w:t xml:space="preserve">7. Središnja točka za provjeru autentičnosti za češki ured za statistiku i integracija statističkih registara u povezani skup podataka </w:t>
            </w:r>
          </w:p>
          <w:p w14:paraId="295B4F78" w14:textId="7650D3FC" w:rsidR="00615E2D" w:rsidRDefault="00C83E46">
            <w:pPr>
              <w:pStyle w:val="P68B1DB1-Normal16"/>
              <w:spacing w:before="0" w:after="0" w:line="240" w:lineRule="auto"/>
              <w:rPr>
                <w:noProof/>
              </w:rPr>
            </w:pPr>
            <w:r>
              <w:rPr>
                <w:noProof/>
              </w:rPr>
              <w:t>8. Informacijski sustav muzejskih zbirki</w:t>
            </w:r>
          </w:p>
          <w:p w14:paraId="2F0489DC" w14:textId="77777777" w:rsidR="00615E2D" w:rsidRDefault="00615E2D">
            <w:pPr>
              <w:spacing w:before="0" w:after="0" w:line="240" w:lineRule="auto"/>
              <w:rPr>
                <w:noProof/>
                <w:color w:val="004300"/>
                <w:sz w:val="18"/>
              </w:rPr>
            </w:pPr>
          </w:p>
        </w:tc>
      </w:tr>
      <w:tr w:rsidR="00615E2D" w14:paraId="4480DD1E" w14:textId="77777777">
        <w:trPr>
          <w:trHeight w:val="309"/>
          <w:jc w:val="center"/>
        </w:trPr>
        <w:tc>
          <w:tcPr>
            <w:tcW w:w="704" w:type="dxa"/>
            <w:shd w:val="clear" w:color="auto" w:fill="C6EFCE"/>
            <w:vAlign w:val="center"/>
            <w:hideMark/>
          </w:tcPr>
          <w:p w14:paraId="3E287AF3" w14:textId="77777777" w:rsidR="00615E2D" w:rsidRDefault="00C83E46">
            <w:pPr>
              <w:pStyle w:val="P68B1DB1-Normal15"/>
              <w:spacing w:before="0" w:after="0" w:line="240" w:lineRule="auto"/>
              <w:jc w:val="center"/>
              <w:rPr>
                <w:noProof/>
              </w:rPr>
            </w:pPr>
            <w:r>
              <w:rPr>
                <w:noProof/>
              </w:rPr>
              <w:t>20</w:t>
            </w:r>
          </w:p>
        </w:tc>
        <w:tc>
          <w:tcPr>
            <w:tcW w:w="1448" w:type="dxa"/>
            <w:shd w:val="clear" w:color="auto" w:fill="C6EFCE"/>
            <w:vAlign w:val="center"/>
            <w:hideMark/>
          </w:tcPr>
          <w:p w14:paraId="3201919F" w14:textId="77777777" w:rsidR="00615E2D" w:rsidRDefault="00C83E46">
            <w:pPr>
              <w:pStyle w:val="P68B1DB1-Normal15"/>
              <w:spacing w:before="0" w:after="0" w:line="240" w:lineRule="auto"/>
              <w:rPr>
                <w:noProof/>
              </w:rPr>
            </w:pPr>
            <w:r>
              <w:rPr>
                <w:noProof/>
              </w:rPr>
              <w:t>Ulaganje 2:</w:t>
            </w:r>
          </w:p>
          <w:p w14:paraId="013C5656" w14:textId="77777777" w:rsidR="00615E2D" w:rsidRDefault="00C83E46">
            <w:pPr>
              <w:pStyle w:val="P68B1DB1-Normal15"/>
              <w:spacing w:before="0" w:after="0" w:line="240" w:lineRule="auto"/>
              <w:rPr>
                <w:noProof/>
              </w:rPr>
            </w:pPr>
            <w:r>
              <w:rPr>
                <w:noProof/>
              </w:rPr>
              <w:t>Razvoj temeljnih registara i objekata za e-upravu</w:t>
            </w:r>
          </w:p>
        </w:tc>
        <w:tc>
          <w:tcPr>
            <w:tcW w:w="1134" w:type="dxa"/>
            <w:shd w:val="clear" w:color="auto" w:fill="C6EFCE"/>
            <w:vAlign w:val="center"/>
            <w:hideMark/>
          </w:tcPr>
          <w:p w14:paraId="02C8BEFE" w14:textId="77777777" w:rsidR="00615E2D" w:rsidRDefault="00C83E46">
            <w:pPr>
              <w:pStyle w:val="P68B1DB1-Normal15"/>
              <w:spacing w:before="0" w:after="0" w:line="240" w:lineRule="auto"/>
              <w:rPr>
                <w:noProof/>
              </w:rPr>
            </w:pPr>
            <w:r>
              <w:rPr>
                <w:noProof/>
              </w:rPr>
              <w:t> Prekretnica</w:t>
            </w:r>
          </w:p>
        </w:tc>
        <w:tc>
          <w:tcPr>
            <w:tcW w:w="1701" w:type="dxa"/>
            <w:shd w:val="clear" w:color="auto" w:fill="C6EFCE"/>
            <w:vAlign w:val="center"/>
            <w:hideMark/>
          </w:tcPr>
          <w:p w14:paraId="6A53CE05" w14:textId="0172765C" w:rsidR="00615E2D" w:rsidRDefault="00C83E46">
            <w:pPr>
              <w:pStyle w:val="P68B1DB1-Normal15"/>
              <w:spacing w:before="0" w:after="0" w:line="240" w:lineRule="auto"/>
              <w:rPr>
                <w:noProof/>
              </w:rPr>
            </w:pPr>
            <w:r>
              <w:rPr>
                <w:noProof/>
              </w:rPr>
              <w:t>Dovršetak potpuno operativnog softverskog podatkovnog centra, uključujući podatkovne spremnike</w:t>
            </w:r>
          </w:p>
        </w:tc>
        <w:tc>
          <w:tcPr>
            <w:tcW w:w="1843" w:type="dxa"/>
            <w:shd w:val="clear" w:color="auto" w:fill="C6EFCE"/>
            <w:vAlign w:val="center"/>
            <w:hideMark/>
          </w:tcPr>
          <w:p w14:paraId="2C13808D" w14:textId="77777777" w:rsidR="00615E2D" w:rsidRDefault="00C83E46">
            <w:pPr>
              <w:pStyle w:val="P68B1DB1-Normal16"/>
              <w:spacing w:before="0" w:after="0" w:line="240" w:lineRule="auto"/>
              <w:rPr>
                <w:noProof/>
              </w:rPr>
            </w:pPr>
            <w:r>
              <w:rPr>
                <w:noProof/>
              </w:rPr>
              <w:t>Uspješno testiranje i usvajanje novog podatkovnog centra od strane Ministarstva rada i socijalnih pitanja</w:t>
            </w:r>
          </w:p>
        </w:tc>
        <w:tc>
          <w:tcPr>
            <w:tcW w:w="1077" w:type="dxa"/>
            <w:shd w:val="clear" w:color="auto" w:fill="C6EFCE"/>
            <w:vAlign w:val="center"/>
            <w:hideMark/>
          </w:tcPr>
          <w:p w14:paraId="03376D94" w14:textId="77777777" w:rsidR="00615E2D" w:rsidRDefault="00C83E46">
            <w:pPr>
              <w:pStyle w:val="P68B1DB1-Normal15"/>
              <w:spacing w:before="0" w:after="0" w:line="240" w:lineRule="auto"/>
              <w:rPr>
                <w:noProof/>
              </w:rPr>
            </w:pPr>
            <w:r>
              <w:rPr>
                <w:noProof/>
              </w:rPr>
              <w:t> </w:t>
            </w:r>
          </w:p>
        </w:tc>
        <w:tc>
          <w:tcPr>
            <w:tcW w:w="1022" w:type="dxa"/>
            <w:shd w:val="clear" w:color="auto" w:fill="C6EFCE"/>
            <w:vAlign w:val="center"/>
            <w:hideMark/>
          </w:tcPr>
          <w:p w14:paraId="00737DC4"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hideMark/>
          </w:tcPr>
          <w:p w14:paraId="69AC881E"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1AEED56A"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577E072B" w14:textId="77777777" w:rsidR="00615E2D" w:rsidRDefault="00C83E46">
            <w:pPr>
              <w:pStyle w:val="P68B1DB1-Normal15"/>
              <w:spacing w:before="0" w:after="0" w:line="240" w:lineRule="auto"/>
              <w:jc w:val="center"/>
              <w:rPr>
                <w:noProof/>
              </w:rPr>
            </w:pPr>
            <w:r>
              <w:rPr>
                <w:noProof/>
              </w:rPr>
              <w:t>2022</w:t>
            </w:r>
          </w:p>
        </w:tc>
        <w:tc>
          <w:tcPr>
            <w:tcW w:w="3681" w:type="dxa"/>
            <w:shd w:val="clear" w:color="auto" w:fill="C6EFCE"/>
            <w:vAlign w:val="center"/>
            <w:hideMark/>
          </w:tcPr>
          <w:p w14:paraId="18E5D749" w14:textId="1F334BEA" w:rsidR="00615E2D" w:rsidRDefault="00C83E46">
            <w:pPr>
              <w:pStyle w:val="P68B1DB1-Normal16"/>
              <w:spacing w:before="0" w:after="0" w:line="240" w:lineRule="auto"/>
              <w:rPr>
                <w:rFonts w:eastAsia="Times New Roman"/>
                <w:noProof/>
              </w:rPr>
            </w:pPr>
            <w:r>
              <w:rPr>
                <w:noProof/>
              </w:rPr>
              <w:t>Ključna etapa smatra se ostvarenom nakon što novi podatkovni centar postane potpuno operativan i stavljen na raspolaganje krajnjim korisnicima.</w:t>
            </w:r>
          </w:p>
        </w:tc>
      </w:tr>
      <w:tr w:rsidR="00615E2D" w14:paraId="5A8C1FFF" w14:textId="77777777">
        <w:trPr>
          <w:trHeight w:val="309"/>
          <w:jc w:val="center"/>
        </w:trPr>
        <w:tc>
          <w:tcPr>
            <w:tcW w:w="704" w:type="dxa"/>
            <w:shd w:val="clear" w:color="auto" w:fill="C6EFCE"/>
            <w:vAlign w:val="center"/>
            <w:hideMark/>
          </w:tcPr>
          <w:p w14:paraId="1EAF9A52" w14:textId="77777777" w:rsidR="00615E2D" w:rsidRDefault="00C83E46">
            <w:pPr>
              <w:pStyle w:val="P68B1DB1-Normal15"/>
              <w:spacing w:before="0" w:after="0" w:line="240" w:lineRule="auto"/>
              <w:jc w:val="center"/>
              <w:rPr>
                <w:noProof/>
              </w:rPr>
            </w:pPr>
            <w:r>
              <w:rPr>
                <w:noProof/>
              </w:rPr>
              <w:t>21</w:t>
            </w:r>
          </w:p>
        </w:tc>
        <w:tc>
          <w:tcPr>
            <w:tcW w:w="1448" w:type="dxa"/>
            <w:shd w:val="clear" w:color="auto" w:fill="C6EFCE"/>
            <w:vAlign w:val="center"/>
            <w:hideMark/>
          </w:tcPr>
          <w:p w14:paraId="51C00E22" w14:textId="77777777" w:rsidR="00615E2D" w:rsidRDefault="00C83E46">
            <w:pPr>
              <w:pStyle w:val="P68B1DB1-Normal15"/>
              <w:spacing w:before="0" w:after="0" w:line="240" w:lineRule="auto"/>
              <w:rPr>
                <w:noProof/>
              </w:rPr>
            </w:pPr>
            <w:r>
              <w:rPr>
                <w:noProof/>
              </w:rPr>
              <w:t>Ulaganje 2:</w:t>
            </w:r>
          </w:p>
          <w:p w14:paraId="4FEB2018" w14:textId="77777777" w:rsidR="00615E2D" w:rsidRDefault="00C83E46">
            <w:pPr>
              <w:pStyle w:val="P68B1DB1-Normal15"/>
              <w:spacing w:before="0" w:after="0" w:line="240" w:lineRule="auto"/>
              <w:rPr>
                <w:noProof/>
              </w:rPr>
            </w:pPr>
            <w:r>
              <w:rPr>
                <w:noProof/>
              </w:rPr>
              <w:t>Razvoj temeljnih registara i objekata za e-upravu</w:t>
            </w:r>
          </w:p>
        </w:tc>
        <w:tc>
          <w:tcPr>
            <w:tcW w:w="1134" w:type="dxa"/>
            <w:shd w:val="clear" w:color="auto" w:fill="C6EFCE"/>
            <w:vAlign w:val="center"/>
            <w:hideMark/>
          </w:tcPr>
          <w:p w14:paraId="0A3B0839" w14:textId="77777777" w:rsidR="00615E2D" w:rsidRDefault="00C83E46">
            <w:pPr>
              <w:pStyle w:val="P68B1DB1-Normal15"/>
              <w:spacing w:before="0" w:after="0" w:line="240" w:lineRule="auto"/>
              <w:rPr>
                <w:noProof/>
              </w:rPr>
            </w:pPr>
            <w:r>
              <w:rPr>
                <w:noProof/>
              </w:rPr>
              <w:t>Prekretnica</w:t>
            </w:r>
          </w:p>
        </w:tc>
        <w:tc>
          <w:tcPr>
            <w:tcW w:w="1701" w:type="dxa"/>
            <w:shd w:val="clear" w:color="auto" w:fill="C6EFCE"/>
            <w:vAlign w:val="center"/>
            <w:hideMark/>
          </w:tcPr>
          <w:p w14:paraId="15B71B79" w14:textId="77777777" w:rsidR="00615E2D" w:rsidRDefault="00C83E46">
            <w:pPr>
              <w:pStyle w:val="P68B1DB1-Normal12"/>
              <w:spacing w:before="0" w:after="0" w:line="240" w:lineRule="auto"/>
              <w:rPr>
                <w:rFonts w:eastAsia="Times New Roman"/>
                <w:noProof/>
                <w:color w:val="004300"/>
              </w:rPr>
            </w:pPr>
            <w:r>
              <w:rPr>
                <w:noProof/>
                <w:color w:val="004300"/>
              </w:rPr>
              <w:t xml:space="preserve">Dovršetak navedenih projekata kojima se povećava kapacitet </w:t>
            </w:r>
            <w:r>
              <w:rPr>
                <w:rFonts w:eastAsia="Times New Roman"/>
                <w:noProof/>
                <w:color w:val="004300"/>
              </w:rPr>
              <w:t>prijenosa središnje točke usluga te</w:t>
            </w:r>
            <w:r>
              <w:rPr>
                <w:rFonts w:eastAsia="Times New Roman"/>
                <w:noProof/>
              </w:rPr>
              <w:t xml:space="preserve"> </w:t>
            </w:r>
            <w:r>
              <w:rPr>
                <w:rFonts w:eastAsia="Times New Roman"/>
                <w:noProof/>
                <w:color w:val="004300"/>
              </w:rPr>
              <w:t>moderniziraju i</w:t>
            </w:r>
            <w:r>
              <w:rPr>
                <w:noProof/>
                <w:color w:val="004300"/>
              </w:rPr>
              <w:t>optimiziraju komunikacijska i informacijska infrastruktura i informacijski sustavi.</w:t>
            </w:r>
          </w:p>
        </w:tc>
        <w:tc>
          <w:tcPr>
            <w:tcW w:w="1843" w:type="dxa"/>
            <w:shd w:val="clear" w:color="auto" w:fill="C6EFCE"/>
            <w:vAlign w:val="center"/>
            <w:hideMark/>
          </w:tcPr>
          <w:p w14:paraId="2CA59D3E" w14:textId="77777777" w:rsidR="00615E2D" w:rsidRDefault="00C83E46">
            <w:pPr>
              <w:pStyle w:val="P68B1DB1-Normal15"/>
              <w:spacing w:before="0" w:after="0" w:line="240" w:lineRule="auto"/>
              <w:rPr>
                <w:noProof/>
              </w:rPr>
            </w:pPr>
            <w:r>
              <w:rPr>
                <w:noProof/>
              </w:rPr>
              <w:t xml:space="preserve">Smatra se da je ključna etapa postignuta nakon nadogradnje središnje točke usluga, povećanja njezina kapaciteta i sigurnosti, a naručitelj/provedbeni subjekti zaključili su projekte za poboljšanje komunikacijskih i informacijskih sustava osnovnih registara. </w:t>
            </w:r>
          </w:p>
        </w:tc>
        <w:tc>
          <w:tcPr>
            <w:tcW w:w="1077" w:type="dxa"/>
            <w:shd w:val="clear" w:color="auto" w:fill="C6EFCE"/>
            <w:vAlign w:val="center"/>
          </w:tcPr>
          <w:p w14:paraId="49EF4E26" w14:textId="77777777" w:rsidR="00615E2D" w:rsidRDefault="00615E2D">
            <w:pPr>
              <w:spacing w:before="0" w:after="0" w:line="240" w:lineRule="auto"/>
              <w:rPr>
                <w:rFonts w:eastAsia="Times New Roman"/>
                <w:noProof/>
                <w:color w:val="004300"/>
                <w:sz w:val="18"/>
              </w:rPr>
            </w:pPr>
          </w:p>
          <w:p w14:paraId="1AAB4363" w14:textId="77777777" w:rsidR="00615E2D" w:rsidRDefault="00615E2D">
            <w:pPr>
              <w:rPr>
                <w:rFonts w:eastAsia="Times New Roman"/>
                <w:noProof/>
                <w:sz w:val="18"/>
              </w:rPr>
            </w:pPr>
          </w:p>
          <w:p w14:paraId="69B091B8" w14:textId="77777777" w:rsidR="00615E2D" w:rsidRDefault="00615E2D">
            <w:pPr>
              <w:rPr>
                <w:rFonts w:eastAsia="Times New Roman"/>
                <w:noProof/>
                <w:color w:val="004300"/>
                <w:sz w:val="18"/>
              </w:rPr>
            </w:pPr>
          </w:p>
          <w:p w14:paraId="688E1469" w14:textId="3744E922" w:rsidR="00615E2D" w:rsidRDefault="00615E2D">
            <w:pPr>
              <w:rPr>
                <w:rFonts w:eastAsia="Times New Roman"/>
                <w:noProof/>
                <w:sz w:val="18"/>
              </w:rPr>
            </w:pPr>
          </w:p>
        </w:tc>
        <w:tc>
          <w:tcPr>
            <w:tcW w:w="1022" w:type="dxa"/>
            <w:shd w:val="clear" w:color="auto" w:fill="C6EFCE"/>
            <w:vAlign w:val="center"/>
          </w:tcPr>
          <w:p w14:paraId="2DB1E586"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tcPr>
          <w:p w14:paraId="1CBF164E"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69C772E5" w14:textId="0DF41519" w:rsidR="00615E2D" w:rsidRDefault="00C83E46">
            <w:pPr>
              <w:pStyle w:val="P68B1DB1-Normal15"/>
              <w:spacing w:before="0" w:after="0" w:line="240" w:lineRule="auto"/>
              <w:jc w:val="center"/>
              <w:rPr>
                <w:noProof/>
              </w:rPr>
            </w:pPr>
            <w:r>
              <w:rPr>
                <w:noProof/>
              </w:rPr>
              <w:t>TROMJESEČJE</w:t>
            </w:r>
          </w:p>
        </w:tc>
        <w:tc>
          <w:tcPr>
            <w:tcW w:w="709" w:type="dxa"/>
            <w:shd w:val="clear" w:color="auto" w:fill="C6EFCE"/>
            <w:vAlign w:val="center"/>
            <w:hideMark/>
          </w:tcPr>
          <w:p w14:paraId="238F9CC0" w14:textId="67DA0AD4" w:rsidR="00615E2D" w:rsidRDefault="00C83E46">
            <w:pPr>
              <w:pStyle w:val="P68B1DB1-Normal15"/>
              <w:spacing w:before="0" w:after="0" w:line="240" w:lineRule="auto"/>
              <w:jc w:val="center"/>
              <w:rPr>
                <w:noProof/>
              </w:rPr>
            </w:pPr>
            <w:r>
              <w:rPr>
                <w:noProof/>
              </w:rPr>
              <w:t>2025</w:t>
            </w:r>
          </w:p>
        </w:tc>
        <w:tc>
          <w:tcPr>
            <w:tcW w:w="3681" w:type="dxa"/>
            <w:shd w:val="clear" w:color="auto" w:fill="C6EFCE"/>
            <w:vAlign w:val="center"/>
            <w:hideMark/>
          </w:tcPr>
          <w:p w14:paraId="577D3842" w14:textId="77777777" w:rsidR="00615E2D" w:rsidRDefault="00C83E46">
            <w:pPr>
              <w:pStyle w:val="P68B1DB1-Normal16"/>
              <w:spacing w:before="0" w:after="0" w:line="240" w:lineRule="auto"/>
              <w:rPr>
                <w:noProof/>
              </w:rPr>
            </w:pPr>
            <w:r>
              <w:rPr>
                <w:noProof/>
              </w:rPr>
              <w:t>Mjera predstavlja razvoj osnovnih registara i razvoj tehnološke infrastrukture javne uprave, uključujući povećanje njezina prijenosnog kapaciteta i provedbu novih usluga za korisnike i usluga s visokim stupnjem prijenosa. Ključna etapa smatra se ispunjenom nakon dovršetka sljedećih projekata:</w:t>
            </w:r>
          </w:p>
          <w:p w14:paraId="79E412E4" w14:textId="77777777" w:rsidR="00615E2D" w:rsidRDefault="00C83E46">
            <w:pPr>
              <w:pStyle w:val="P68B1DB1-Normal16"/>
              <w:spacing w:before="0" w:after="0" w:line="240" w:lineRule="auto"/>
              <w:rPr>
                <w:noProof/>
              </w:rPr>
            </w:pPr>
            <w:r>
              <w:rPr>
                <w:noProof/>
              </w:rPr>
              <w:t>1. Razvoj kapaciteta i sigurnosti središnje točke usluga</w:t>
            </w:r>
          </w:p>
          <w:p w14:paraId="3DB5A9A4" w14:textId="77777777" w:rsidR="00615E2D" w:rsidRDefault="00C83E46">
            <w:pPr>
              <w:pStyle w:val="P68B1DB1-Normal16"/>
              <w:spacing w:before="0" w:after="0" w:line="240" w:lineRule="auto"/>
              <w:rPr>
                <w:noProof/>
              </w:rPr>
            </w:pPr>
            <w:r>
              <w:rPr>
                <w:noProof/>
              </w:rPr>
              <w:t>2. Modernizacija i optimizacija komunikacijske i informacijske infrastrukture s multiprotokolnom oznakom (MPLS)</w:t>
            </w:r>
          </w:p>
          <w:p w14:paraId="7D39D94F" w14:textId="77777777" w:rsidR="00615E2D" w:rsidRDefault="00C83E46">
            <w:pPr>
              <w:pStyle w:val="P68B1DB1-Normal16"/>
              <w:spacing w:before="0" w:after="0" w:line="240" w:lineRule="auto"/>
              <w:rPr>
                <w:noProof/>
              </w:rPr>
            </w:pPr>
            <w:r>
              <w:rPr>
                <w:noProof/>
              </w:rPr>
              <w:t>3. Nacionalno certifikacijsko tijelo za izdavanje certifikata subjektima javne uprave</w:t>
            </w:r>
          </w:p>
          <w:p w14:paraId="2F5298A5" w14:textId="77777777" w:rsidR="00615E2D" w:rsidRDefault="00C83E46">
            <w:pPr>
              <w:pStyle w:val="P68B1DB1-Normal16"/>
              <w:spacing w:before="0" w:after="0" w:line="240" w:lineRule="auto"/>
              <w:rPr>
                <w:noProof/>
              </w:rPr>
            </w:pPr>
            <w:r>
              <w:rPr>
                <w:noProof/>
              </w:rPr>
              <w:t>4. Povećanje kapaciteta podatkovnih centara i proizvoda za pohranu podataka</w:t>
            </w:r>
          </w:p>
          <w:p w14:paraId="0EB6CFFB" w14:textId="77777777" w:rsidR="00615E2D" w:rsidRDefault="00C83E46">
            <w:pPr>
              <w:pStyle w:val="P68B1DB1-Normal16"/>
              <w:spacing w:before="0" w:after="0" w:line="240" w:lineRule="auto"/>
              <w:rPr>
                <w:noProof/>
              </w:rPr>
            </w:pPr>
            <w:r>
              <w:rPr>
                <w:noProof/>
              </w:rPr>
              <w:t>5. Zamjene hardvera i softvera za središnje registre</w:t>
            </w:r>
          </w:p>
          <w:p w14:paraId="16558217" w14:textId="02EFBB61" w:rsidR="00615E2D" w:rsidRDefault="00C83E46">
            <w:pPr>
              <w:pStyle w:val="P68B1DB1-Normal16"/>
              <w:spacing w:before="0" w:after="0" w:line="240" w:lineRule="auto"/>
              <w:rPr>
                <w:noProof/>
              </w:rPr>
            </w:pPr>
            <w:r>
              <w:rPr>
                <w:noProof/>
              </w:rPr>
              <w:t>6. Nadogradnja i poboljšanje osnovnih registara, uključujući: Registar pojedinaca, registar stanovništva, Registar prava i obveza, Registar teritorijalnih identifikacija, adresa i nekretnina, informacijski sustav ORG-a</w:t>
            </w:r>
          </w:p>
          <w:p w14:paraId="696C5EC8" w14:textId="77777777" w:rsidR="00615E2D" w:rsidRDefault="00C83E46">
            <w:pPr>
              <w:pStyle w:val="P68B1DB1-Normal16"/>
              <w:spacing w:before="0" w:after="0" w:line="240" w:lineRule="auto"/>
              <w:rPr>
                <w:rFonts w:eastAsia="Times New Roman"/>
                <w:noProof/>
              </w:rPr>
            </w:pPr>
            <w:r>
              <w:rPr>
                <w:noProof/>
              </w:rPr>
              <w:t>7. Povezani razvoj i poboljšanje integriranog sustava temeljnih registara i zajedničkog informacijskog sustava usluga</w:t>
            </w:r>
          </w:p>
          <w:p w14:paraId="7D7D01DC" w14:textId="77777777" w:rsidR="00615E2D" w:rsidRDefault="00C83E46">
            <w:pPr>
              <w:pStyle w:val="P68B1DB1-Normal15"/>
              <w:spacing w:before="0" w:after="0" w:line="240" w:lineRule="auto"/>
              <w:rPr>
                <w:rFonts w:ascii="Calibri" w:hAnsi="Calibri"/>
                <w:noProof/>
              </w:rPr>
            </w:pPr>
            <w:r>
              <w:rPr>
                <w:noProof/>
              </w:rPr>
              <w:t>8. Poboljšanje nacionalnog identiteta i autentifikacije</w:t>
            </w:r>
          </w:p>
          <w:p w14:paraId="3FBD41A5" w14:textId="77777777" w:rsidR="00615E2D" w:rsidRDefault="00C83E46">
            <w:pPr>
              <w:pStyle w:val="P68B1DB1-Normal15"/>
              <w:spacing w:before="0" w:after="0" w:line="240" w:lineRule="auto"/>
              <w:rPr>
                <w:noProof/>
                <w:color w:val="008080"/>
                <w:u w:val="single"/>
              </w:rPr>
            </w:pPr>
            <w:r>
              <w:rPr>
                <w:noProof/>
              </w:rPr>
              <w:t>9. Razvoj konsolidiranog sučelja za osnovne registre</w:t>
            </w:r>
          </w:p>
        </w:tc>
      </w:tr>
      <w:tr w:rsidR="00615E2D" w14:paraId="2419A11D" w14:textId="77777777">
        <w:trPr>
          <w:trHeight w:val="309"/>
          <w:jc w:val="center"/>
        </w:trPr>
        <w:tc>
          <w:tcPr>
            <w:tcW w:w="704" w:type="dxa"/>
            <w:shd w:val="clear" w:color="auto" w:fill="C6EFCE"/>
            <w:vAlign w:val="center"/>
            <w:hideMark/>
          </w:tcPr>
          <w:p w14:paraId="4CB4574C" w14:textId="77777777" w:rsidR="00615E2D" w:rsidRDefault="00C83E46">
            <w:pPr>
              <w:pStyle w:val="P68B1DB1-Normal15"/>
              <w:spacing w:before="0" w:after="0" w:line="240" w:lineRule="auto"/>
              <w:jc w:val="center"/>
              <w:rPr>
                <w:noProof/>
              </w:rPr>
            </w:pPr>
            <w:r>
              <w:rPr>
                <w:noProof/>
              </w:rPr>
              <w:t>22</w:t>
            </w:r>
          </w:p>
        </w:tc>
        <w:tc>
          <w:tcPr>
            <w:tcW w:w="1448" w:type="dxa"/>
            <w:shd w:val="clear" w:color="auto" w:fill="C6EFCE"/>
            <w:vAlign w:val="center"/>
            <w:hideMark/>
          </w:tcPr>
          <w:p w14:paraId="3D85DA66" w14:textId="77777777" w:rsidR="00615E2D" w:rsidRDefault="00C83E46">
            <w:pPr>
              <w:pStyle w:val="P68B1DB1-Normal16"/>
              <w:spacing w:before="0" w:after="0" w:line="240" w:lineRule="auto"/>
              <w:rPr>
                <w:noProof/>
              </w:rPr>
            </w:pPr>
            <w:r>
              <w:rPr>
                <w:noProof/>
              </w:rPr>
              <w:t>Ulaganje 2:</w:t>
            </w:r>
          </w:p>
          <w:p w14:paraId="53184216" w14:textId="77777777" w:rsidR="00615E2D" w:rsidRDefault="00C83E46">
            <w:pPr>
              <w:pStyle w:val="P68B1DB1-Normal16"/>
              <w:spacing w:before="0" w:after="0" w:line="240" w:lineRule="auto"/>
              <w:rPr>
                <w:rFonts w:eastAsia="Times New Roman"/>
                <w:noProof/>
              </w:rPr>
            </w:pPr>
            <w:r>
              <w:rPr>
                <w:noProof/>
              </w:rPr>
              <w:t>Razvoj temeljnih registara i objekata za e-upravu</w:t>
            </w:r>
          </w:p>
        </w:tc>
        <w:tc>
          <w:tcPr>
            <w:tcW w:w="1134" w:type="dxa"/>
            <w:shd w:val="clear" w:color="auto" w:fill="C6EFCE"/>
            <w:vAlign w:val="center"/>
            <w:hideMark/>
          </w:tcPr>
          <w:p w14:paraId="64AC2752" w14:textId="77777777" w:rsidR="00615E2D" w:rsidRDefault="00C83E46">
            <w:pPr>
              <w:pStyle w:val="P68B1DB1-Normal16"/>
              <w:spacing w:before="0" w:after="0" w:line="240" w:lineRule="auto"/>
              <w:rPr>
                <w:rFonts w:eastAsia="Times New Roman"/>
                <w:noProof/>
              </w:rPr>
            </w:pPr>
            <w:r>
              <w:rPr>
                <w:noProof/>
              </w:rPr>
              <w:t>Prekretnica</w:t>
            </w:r>
          </w:p>
        </w:tc>
        <w:tc>
          <w:tcPr>
            <w:tcW w:w="1701" w:type="dxa"/>
            <w:shd w:val="clear" w:color="auto" w:fill="C6EFCE"/>
            <w:vAlign w:val="center"/>
            <w:hideMark/>
          </w:tcPr>
          <w:p w14:paraId="3B6D731E" w14:textId="77777777" w:rsidR="00615E2D" w:rsidRDefault="00C83E46">
            <w:pPr>
              <w:pStyle w:val="P68B1DB1-Normal15"/>
              <w:spacing w:before="0" w:after="0" w:line="240" w:lineRule="auto"/>
              <w:rPr>
                <w:noProof/>
              </w:rPr>
            </w:pPr>
            <w:r>
              <w:rPr>
                <w:noProof/>
              </w:rPr>
              <w:t>Pružanje usluga računalstva u oblaku javnim tijelima</w:t>
            </w:r>
          </w:p>
        </w:tc>
        <w:tc>
          <w:tcPr>
            <w:tcW w:w="1843" w:type="dxa"/>
            <w:shd w:val="clear" w:color="auto" w:fill="C6EFCE"/>
            <w:vAlign w:val="center"/>
            <w:hideMark/>
          </w:tcPr>
          <w:p w14:paraId="70E6292D" w14:textId="77777777" w:rsidR="00615E2D" w:rsidRDefault="00C83E46">
            <w:pPr>
              <w:pStyle w:val="P68B1DB1-Normal16"/>
              <w:spacing w:before="0" w:after="0" w:line="240" w:lineRule="auto"/>
              <w:rPr>
                <w:rFonts w:eastAsia="Times New Roman"/>
                <w:noProof/>
              </w:rPr>
            </w:pPr>
            <w:r>
              <w:rPr>
                <w:noProof/>
              </w:rPr>
              <w:t xml:space="preserve">oblak e-uprave postaje dostupan krajnjim korisnicima i sposoban pružati usluge računalstva u oblaku javnoj upravi </w:t>
            </w:r>
          </w:p>
        </w:tc>
        <w:tc>
          <w:tcPr>
            <w:tcW w:w="1077" w:type="dxa"/>
            <w:shd w:val="clear" w:color="auto" w:fill="C6EFCE"/>
            <w:vAlign w:val="center"/>
          </w:tcPr>
          <w:p w14:paraId="48C69709" w14:textId="77777777" w:rsidR="00615E2D" w:rsidRDefault="00615E2D">
            <w:pPr>
              <w:spacing w:before="0" w:after="0" w:line="240" w:lineRule="auto"/>
              <w:rPr>
                <w:rFonts w:eastAsia="Times New Roman"/>
                <w:noProof/>
                <w:color w:val="004300"/>
                <w:sz w:val="18"/>
              </w:rPr>
            </w:pPr>
          </w:p>
        </w:tc>
        <w:tc>
          <w:tcPr>
            <w:tcW w:w="1022" w:type="dxa"/>
            <w:shd w:val="clear" w:color="auto" w:fill="C6EFCE"/>
            <w:vAlign w:val="center"/>
          </w:tcPr>
          <w:p w14:paraId="059D1F7F"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tcPr>
          <w:p w14:paraId="77CDFBD6"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3443437E" w14:textId="77777777" w:rsidR="00615E2D" w:rsidRDefault="00C83E46">
            <w:pPr>
              <w:pStyle w:val="P68B1DB1-Normal15"/>
              <w:spacing w:before="0" w:after="0" w:line="240" w:lineRule="auto"/>
              <w:jc w:val="center"/>
              <w:rPr>
                <w:noProof/>
              </w:rPr>
            </w:pPr>
            <w:r>
              <w:rPr>
                <w:noProof/>
              </w:rPr>
              <w:t>TROMJESEČJE</w:t>
            </w:r>
          </w:p>
        </w:tc>
        <w:tc>
          <w:tcPr>
            <w:tcW w:w="709" w:type="dxa"/>
            <w:shd w:val="clear" w:color="auto" w:fill="C6EFCE"/>
            <w:vAlign w:val="center"/>
            <w:hideMark/>
          </w:tcPr>
          <w:p w14:paraId="13811144" w14:textId="77777777" w:rsidR="00615E2D" w:rsidRDefault="00C83E46">
            <w:pPr>
              <w:pStyle w:val="P68B1DB1-Normal15"/>
              <w:spacing w:before="0" w:after="0" w:line="240" w:lineRule="auto"/>
              <w:jc w:val="center"/>
              <w:rPr>
                <w:noProof/>
              </w:rPr>
            </w:pPr>
            <w:r>
              <w:rPr>
                <w:noProof/>
              </w:rPr>
              <w:t>2026</w:t>
            </w:r>
          </w:p>
        </w:tc>
        <w:tc>
          <w:tcPr>
            <w:tcW w:w="3681" w:type="dxa"/>
            <w:shd w:val="clear" w:color="auto" w:fill="C6EFCE"/>
            <w:vAlign w:val="center"/>
            <w:hideMark/>
          </w:tcPr>
          <w:p w14:paraId="59802509" w14:textId="77777777" w:rsidR="00615E2D" w:rsidRDefault="00C83E46">
            <w:pPr>
              <w:pStyle w:val="P68B1DB1-Normal16"/>
              <w:spacing w:before="0" w:after="0" w:line="240" w:lineRule="auto"/>
              <w:rPr>
                <w:rFonts w:eastAsia="Times New Roman"/>
                <w:noProof/>
              </w:rPr>
            </w:pPr>
            <w:r>
              <w:rPr>
                <w:noProof/>
              </w:rPr>
              <w:t>U okviru projekta uspostavljaju se komunikacijska infrastruktura i IKT te softverske aplikacije za prošireni podatkovni centar Zeleneč u Češkoj i informacijske sustave računalstva u oblaku u oblaku i Portala za računalstvo u oblaku e-uprave radi pružanja podatkovnih usluga u oblaku e-uprave kako bi se omogućile usluge računalstva u oblaku (IaaS, SaaS) tijelima javne uprave. Smatra se da je ključna etapa ostvarena kada se usluge računalstva u oblaku mogu obavljati.</w:t>
            </w:r>
          </w:p>
        </w:tc>
      </w:tr>
      <w:tr w:rsidR="00615E2D" w14:paraId="5CE34BAA" w14:textId="77777777">
        <w:trPr>
          <w:trHeight w:val="309"/>
          <w:jc w:val="center"/>
        </w:trPr>
        <w:tc>
          <w:tcPr>
            <w:tcW w:w="704" w:type="dxa"/>
            <w:shd w:val="clear" w:color="auto" w:fill="C6EFCE"/>
            <w:vAlign w:val="center"/>
            <w:hideMark/>
          </w:tcPr>
          <w:p w14:paraId="06469D05" w14:textId="77777777" w:rsidR="00615E2D" w:rsidRDefault="00C83E46">
            <w:pPr>
              <w:pStyle w:val="P68B1DB1-Normal15"/>
              <w:spacing w:before="0" w:after="0" w:line="240" w:lineRule="auto"/>
              <w:jc w:val="center"/>
              <w:rPr>
                <w:noProof/>
              </w:rPr>
            </w:pPr>
            <w:r>
              <w:rPr>
                <w:noProof/>
              </w:rPr>
              <w:t>23</w:t>
            </w:r>
          </w:p>
        </w:tc>
        <w:tc>
          <w:tcPr>
            <w:tcW w:w="1448" w:type="dxa"/>
            <w:shd w:val="clear" w:color="auto" w:fill="C6EFCE"/>
            <w:vAlign w:val="center"/>
            <w:hideMark/>
          </w:tcPr>
          <w:p w14:paraId="5E02873B" w14:textId="77777777" w:rsidR="00615E2D" w:rsidRDefault="00C83E46">
            <w:pPr>
              <w:pStyle w:val="P68B1DB1-Normal16"/>
              <w:spacing w:before="0" w:after="0" w:line="240" w:lineRule="auto"/>
              <w:rPr>
                <w:noProof/>
              </w:rPr>
            </w:pPr>
            <w:r>
              <w:rPr>
                <w:noProof/>
              </w:rPr>
              <w:t>Ulaganje 3:</w:t>
            </w:r>
          </w:p>
          <w:p w14:paraId="220AC80A" w14:textId="77777777" w:rsidR="00615E2D" w:rsidRDefault="00C83E46">
            <w:pPr>
              <w:pStyle w:val="P68B1DB1-Normal16"/>
              <w:spacing w:before="0" w:after="0" w:line="240" w:lineRule="auto"/>
              <w:rPr>
                <w:rFonts w:eastAsia="Times New Roman"/>
                <w:noProof/>
              </w:rPr>
            </w:pPr>
            <w:r>
              <w:rPr>
                <w:noProof/>
              </w:rPr>
              <w:t>Kibersigurnost</w:t>
            </w:r>
          </w:p>
        </w:tc>
        <w:tc>
          <w:tcPr>
            <w:tcW w:w="1134" w:type="dxa"/>
            <w:shd w:val="clear" w:color="auto" w:fill="C6EFCE"/>
            <w:vAlign w:val="center"/>
            <w:hideMark/>
          </w:tcPr>
          <w:p w14:paraId="12A8E6CD" w14:textId="77777777" w:rsidR="00615E2D" w:rsidRDefault="00C83E46">
            <w:pPr>
              <w:pStyle w:val="P68B1DB1-Normal16"/>
              <w:spacing w:before="0" w:after="0" w:line="240" w:lineRule="auto"/>
              <w:rPr>
                <w:rFonts w:eastAsia="Times New Roman"/>
                <w:noProof/>
              </w:rPr>
            </w:pPr>
            <w:r>
              <w:rPr>
                <w:noProof/>
              </w:rPr>
              <w:t>Prekretnica</w:t>
            </w:r>
          </w:p>
        </w:tc>
        <w:tc>
          <w:tcPr>
            <w:tcW w:w="1701" w:type="dxa"/>
            <w:shd w:val="clear" w:color="auto" w:fill="C6EFCE"/>
            <w:vAlign w:val="center"/>
          </w:tcPr>
          <w:p w14:paraId="74AAFEAA" w14:textId="0D479804" w:rsidR="00615E2D" w:rsidRDefault="00C83E46">
            <w:pPr>
              <w:pStyle w:val="P68B1DB1-Normal16"/>
              <w:spacing w:before="0" w:after="0" w:line="240" w:lineRule="auto"/>
              <w:rPr>
                <w:rFonts w:eastAsia="Times New Roman"/>
                <w:noProof/>
              </w:rPr>
            </w:pPr>
            <w:r>
              <w:rPr>
                <w:noProof/>
              </w:rPr>
              <w:t>Modernizacija sustava za upravljanje sigurnosnim informacijama i događajima češke policije i proširenje njegove upotrebe za zaštitu kibersigurnosti za pet dodatnih informacijskih sustava</w:t>
            </w:r>
          </w:p>
        </w:tc>
        <w:tc>
          <w:tcPr>
            <w:tcW w:w="1843" w:type="dxa"/>
            <w:shd w:val="clear" w:color="auto" w:fill="C6EFCE"/>
            <w:vAlign w:val="center"/>
            <w:hideMark/>
          </w:tcPr>
          <w:p w14:paraId="5EF8C8CD" w14:textId="170C4389" w:rsidR="00615E2D" w:rsidRDefault="00C83E46">
            <w:pPr>
              <w:pStyle w:val="P68B1DB1-Normal16"/>
              <w:spacing w:before="0" w:after="0" w:line="240" w:lineRule="auto"/>
              <w:rPr>
                <w:noProof/>
              </w:rPr>
            </w:pPr>
            <w:r>
              <w:rPr>
                <w:noProof/>
              </w:rPr>
              <w:t>Početak rada potpuno funkcionalnog i unaprijeđenog sustava za upravljanje sigurnosnim informacijama i događajima te pet dodatnih informacijskih sustava odabranih na temelju studije rizika i izvedivosti.</w:t>
            </w:r>
          </w:p>
        </w:tc>
        <w:tc>
          <w:tcPr>
            <w:tcW w:w="1077" w:type="dxa"/>
            <w:shd w:val="clear" w:color="auto" w:fill="C6EFCE"/>
            <w:vAlign w:val="center"/>
          </w:tcPr>
          <w:p w14:paraId="093C42DB" w14:textId="77777777" w:rsidR="00615E2D" w:rsidRDefault="00615E2D">
            <w:pPr>
              <w:spacing w:before="0" w:after="0" w:line="240" w:lineRule="auto"/>
              <w:rPr>
                <w:rFonts w:eastAsia="Times New Roman"/>
                <w:noProof/>
                <w:color w:val="004300"/>
                <w:sz w:val="18"/>
              </w:rPr>
            </w:pPr>
          </w:p>
        </w:tc>
        <w:tc>
          <w:tcPr>
            <w:tcW w:w="1022" w:type="dxa"/>
            <w:shd w:val="clear" w:color="auto" w:fill="C6EFCE"/>
            <w:vAlign w:val="center"/>
          </w:tcPr>
          <w:p w14:paraId="67DD91FD"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tcPr>
          <w:p w14:paraId="3A368D39"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59D49647"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4B960213" w14:textId="77777777" w:rsidR="00615E2D" w:rsidRDefault="00C83E46">
            <w:pPr>
              <w:pStyle w:val="P68B1DB1-Normal15"/>
              <w:spacing w:before="0" w:after="0" w:line="240" w:lineRule="auto"/>
              <w:jc w:val="center"/>
              <w:rPr>
                <w:noProof/>
              </w:rPr>
            </w:pPr>
            <w:r>
              <w:rPr>
                <w:noProof/>
              </w:rPr>
              <w:t>2022</w:t>
            </w:r>
          </w:p>
        </w:tc>
        <w:tc>
          <w:tcPr>
            <w:tcW w:w="3681" w:type="dxa"/>
            <w:shd w:val="clear" w:color="auto" w:fill="C6EFCE"/>
            <w:vAlign w:val="center"/>
            <w:hideMark/>
          </w:tcPr>
          <w:p w14:paraId="54DA7C67" w14:textId="0F72C4DB" w:rsidR="00615E2D" w:rsidRDefault="00C83E46">
            <w:pPr>
              <w:pStyle w:val="P68B1DB1-Normal16"/>
              <w:spacing w:before="0" w:after="0" w:line="240" w:lineRule="auto"/>
              <w:rPr>
                <w:rFonts w:eastAsia="Times New Roman"/>
                <w:noProof/>
              </w:rPr>
            </w:pPr>
            <w:r>
              <w:rPr>
                <w:noProof/>
              </w:rPr>
              <w:t xml:space="preserve">Ulaganjem se </w:t>
            </w:r>
            <w:r>
              <w:rPr>
                <w:rFonts w:eastAsia="Times New Roman"/>
                <w:noProof/>
              </w:rPr>
              <w:t xml:space="preserve">povećava dostupnost infrastrukture za praćenje sigurnosti informacija i upravljanja događajima kojom se mogu evidentirati i evaluirati sigurnosni incidenti </w:t>
            </w:r>
            <w:r>
              <w:rPr>
                <w:noProof/>
              </w:rPr>
              <w:t>te se proširuju kapaciteti i sposobnosti policije i Ministarstva unutarnjih poslova u Češkoj za utvrđivanje sigurnosnih incidenata i incidenata u području IKT-a i odgovor na njih čak i na daljinu kada je pristup uredskoj infrastrukturi ograničen.</w:t>
            </w:r>
          </w:p>
        </w:tc>
      </w:tr>
      <w:tr w:rsidR="00615E2D" w14:paraId="4D05C13E" w14:textId="77777777">
        <w:trPr>
          <w:trHeight w:val="309"/>
          <w:jc w:val="center"/>
        </w:trPr>
        <w:tc>
          <w:tcPr>
            <w:tcW w:w="704" w:type="dxa"/>
            <w:shd w:val="clear" w:color="auto" w:fill="C6EFCE"/>
            <w:vAlign w:val="center"/>
            <w:hideMark/>
          </w:tcPr>
          <w:p w14:paraId="16DAA734" w14:textId="77777777" w:rsidR="00615E2D" w:rsidRDefault="00C83E46">
            <w:pPr>
              <w:pStyle w:val="P68B1DB1-Normal15"/>
              <w:spacing w:before="0" w:after="0" w:line="240" w:lineRule="auto"/>
              <w:jc w:val="center"/>
              <w:rPr>
                <w:noProof/>
              </w:rPr>
            </w:pPr>
            <w:r>
              <w:rPr>
                <w:noProof/>
              </w:rPr>
              <w:t>24</w:t>
            </w:r>
          </w:p>
        </w:tc>
        <w:tc>
          <w:tcPr>
            <w:tcW w:w="1448" w:type="dxa"/>
            <w:shd w:val="clear" w:color="auto" w:fill="C6EFCE"/>
            <w:vAlign w:val="center"/>
            <w:hideMark/>
          </w:tcPr>
          <w:p w14:paraId="5D4D45B0" w14:textId="77777777" w:rsidR="00615E2D" w:rsidRDefault="00C83E46">
            <w:pPr>
              <w:pStyle w:val="P68B1DB1-Normal16"/>
              <w:spacing w:before="0" w:after="0" w:line="240" w:lineRule="auto"/>
              <w:rPr>
                <w:noProof/>
              </w:rPr>
            </w:pPr>
            <w:r>
              <w:rPr>
                <w:noProof/>
              </w:rPr>
              <w:t>Ulaganje 3:</w:t>
            </w:r>
          </w:p>
          <w:p w14:paraId="78775BEF" w14:textId="77777777" w:rsidR="00615E2D" w:rsidRDefault="00C83E46">
            <w:pPr>
              <w:pStyle w:val="P68B1DB1-Normal16"/>
              <w:spacing w:before="0" w:after="0" w:line="240" w:lineRule="auto"/>
              <w:rPr>
                <w:rFonts w:eastAsia="Times New Roman"/>
                <w:noProof/>
              </w:rPr>
            </w:pPr>
            <w:r>
              <w:rPr>
                <w:noProof/>
              </w:rPr>
              <w:t>Kibersigurnost</w:t>
            </w:r>
          </w:p>
        </w:tc>
        <w:tc>
          <w:tcPr>
            <w:tcW w:w="1134" w:type="dxa"/>
            <w:shd w:val="clear" w:color="auto" w:fill="C6EFCE"/>
            <w:vAlign w:val="center"/>
            <w:hideMark/>
          </w:tcPr>
          <w:p w14:paraId="160EC85A" w14:textId="77777777" w:rsidR="00615E2D" w:rsidRDefault="00C83E46">
            <w:pPr>
              <w:pStyle w:val="P68B1DB1-Normal16"/>
              <w:spacing w:before="0" w:after="0" w:line="240" w:lineRule="auto"/>
              <w:rPr>
                <w:rFonts w:eastAsia="Times New Roman"/>
                <w:noProof/>
              </w:rPr>
            </w:pPr>
            <w:r>
              <w:rPr>
                <w:noProof/>
              </w:rPr>
              <w:t>Ciljna</w:t>
            </w:r>
          </w:p>
        </w:tc>
        <w:tc>
          <w:tcPr>
            <w:tcW w:w="1701" w:type="dxa"/>
            <w:shd w:val="clear" w:color="auto" w:fill="C6EFCE"/>
            <w:vAlign w:val="center"/>
            <w:hideMark/>
          </w:tcPr>
          <w:p w14:paraId="5028E728" w14:textId="0897C5D6" w:rsidR="00615E2D" w:rsidRDefault="00C83E46">
            <w:pPr>
              <w:pStyle w:val="P68B1DB1-Normal15"/>
              <w:spacing w:before="0" w:after="0" w:line="240" w:lineRule="auto"/>
              <w:rPr>
                <w:noProof/>
              </w:rPr>
            </w:pPr>
            <w:r>
              <w:rPr>
                <w:noProof/>
              </w:rPr>
              <w:t>Broj informacijskih sustava čija je kibersigurnost ojačana u skladu sa Zakonom br. 181/2014 zb. o kibersigurnosti</w:t>
            </w:r>
          </w:p>
        </w:tc>
        <w:tc>
          <w:tcPr>
            <w:tcW w:w="1843" w:type="dxa"/>
            <w:shd w:val="clear" w:color="auto" w:fill="C6EFCE"/>
            <w:vAlign w:val="center"/>
          </w:tcPr>
          <w:p w14:paraId="4C38C7CA" w14:textId="77777777" w:rsidR="00615E2D" w:rsidRDefault="00615E2D">
            <w:pPr>
              <w:spacing w:before="0" w:after="0" w:line="240" w:lineRule="auto"/>
              <w:rPr>
                <w:rFonts w:eastAsia="Times New Roman"/>
                <w:noProof/>
                <w:color w:val="004300"/>
                <w:sz w:val="18"/>
              </w:rPr>
            </w:pPr>
          </w:p>
        </w:tc>
        <w:tc>
          <w:tcPr>
            <w:tcW w:w="1077" w:type="dxa"/>
            <w:shd w:val="clear" w:color="auto" w:fill="C6EFCE"/>
            <w:vAlign w:val="center"/>
            <w:hideMark/>
          </w:tcPr>
          <w:p w14:paraId="39557D8E" w14:textId="1D2342B4" w:rsidR="00615E2D" w:rsidRDefault="00C83E46">
            <w:pPr>
              <w:pStyle w:val="P68B1DB1-Normal16"/>
              <w:spacing w:before="0" w:after="0" w:line="240" w:lineRule="auto"/>
              <w:rPr>
                <w:noProof/>
              </w:rPr>
            </w:pPr>
            <w:r>
              <w:rPr>
                <w:noProof/>
              </w:rPr>
              <w:t>Broj</w:t>
            </w:r>
          </w:p>
        </w:tc>
        <w:tc>
          <w:tcPr>
            <w:tcW w:w="1022" w:type="dxa"/>
            <w:shd w:val="clear" w:color="auto" w:fill="C6EFCE"/>
            <w:vAlign w:val="center"/>
            <w:hideMark/>
          </w:tcPr>
          <w:p w14:paraId="1FBE7D04" w14:textId="77777777" w:rsidR="00615E2D" w:rsidRDefault="00C83E46">
            <w:pPr>
              <w:pStyle w:val="P68B1DB1-Normal15"/>
              <w:spacing w:before="0" w:after="0" w:line="240" w:lineRule="auto"/>
              <w:jc w:val="center"/>
              <w:rPr>
                <w:noProof/>
              </w:rPr>
            </w:pPr>
            <w:r>
              <w:rPr>
                <w:noProof/>
              </w:rPr>
              <w:t>0</w:t>
            </w:r>
          </w:p>
        </w:tc>
        <w:tc>
          <w:tcPr>
            <w:tcW w:w="709" w:type="dxa"/>
            <w:shd w:val="clear" w:color="auto" w:fill="C6EFCE"/>
            <w:vAlign w:val="center"/>
            <w:hideMark/>
          </w:tcPr>
          <w:p w14:paraId="69CEC06B" w14:textId="418D65A7" w:rsidR="00615E2D" w:rsidRDefault="00C83E46">
            <w:pPr>
              <w:pStyle w:val="P68B1DB1-Normal15"/>
              <w:spacing w:before="0" w:after="0" w:line="240" w:lineRule="auto"/>
              <w:jc w:val="center"/>
              <w:rPr>
                <w:noProof/>
              </w:rPr>
            </w:pPr>
            <w:r>
              <w:rPr>
                <w:noProof/>
              </w:rPr>
              <w:t>87</w:t>
            </w:r>
          </w:p>
        </w:tc>
        <w:tc>
          <w:tcPr>
            <w:tcW w:w="992" w:type="dxa"/>
            <w:shd w:val="clear" w:color="auto" w:fill="C6EFCE"/>
            <w:vAlign w:val="center"/>
            <w:hideMark/>
          </w:tcPr>
          <w:p w14:paraId="3BB8AB07"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3686036F" w14:textId="77777777" w:rsidR="00615E2D" w:rsidRDefault="00C83E46">
            <w:pPr>
              <w:pStyle w:val="P68B1DB1-Normal15"/>
              <w:spacing w:before="0" w:after="0" w:line="240" w:lineRule="auto"/>
              <w:jc w:val="center"/>
              <w:rPr>
                <w:noProof/>
              </w:rPr>
            </w:pPr>
            <w:r>
              <w:rPr>
                <w:noProof/>
              </w:rPr>
              <w:t>2025</w:t>
            </w:r>
          </w:p>
        </w:tc>
        <w:tc>
          <w:tcPr>
            <w:tcW w:w="3681" w:type="dxa"/>
            <w:shd w:val="clear" w:color="auto" w:fill="C6EFCE"/>
            <w:vAlign w:val="center"/>
          </w:tcPr>
          <w:p w14:paraId="4E3E95A3" w14:textId="77777777" w:rsidR="00615E2D" w:rsidRDefault="00C83E46">
            <w:pPr>
              <w:pStyle w:val="P68B1DB1-Normal16"/>
              <w:spacing w:before="0" w:after="0" w:line="240" w:lineRule="auto"/>
              <w:rPr>
                <w:noProof/>
              </w:rPr>
            </w:pPr>
            <w:r>
              <w:rPr>
                <w:noProof/>
              </w:rPr>
              <w:t>Mjerom se povećava kibersigurnost odabranih informacijskih sustava u skladu sa zahtjevima Akta br. 181/2014 zb. o kibersigurnosti.</w:t>
            </w:r>
          </w:p>
          <w:p w14:paraId="51FF5FA9" w14:textId="5E789388" w:rsidR="00615E2D" w:rsidRDefault="00C83E46">
            <w:pPr>
              <w:pStyle w:val="P68B1DB1-Normal16"/>
              <w:spacing w:before="0" w:after="0" w:line="240" w:lineRule="auto"/>
              <w:rPr>
                <w:rFonts w:eastAsia="Times New Roman"/>
                <w:noProof/>
              </w:rPr>
            </w:pPr>
            <w:r>
              <w:rPr>
                <w:noProof/>
              </w:rPr>
              <w:t xml:space="preserve">Smatra se da je ključna etapa ostvarena nakon uspješnog i dokumentiranog testiranja i provjere usklađenosti s kibersigurnosnim zahtjevima najmanje 87 informacijskih sustava, a tijela vlasnika odgovarajućih sustava odobrila su isporuku sustava. </w:t>
            </w:r>
          </w:p>
        </w:tc>
      </w:tr>
      <w:tr w:rsidR="00615E2D" w14:paraId="3A9B4824" w14:textId="77777777">
        <w:trPr>
          <w:trHeight w:val="309"/>
          <w:jc w:val="center"/>
        </w:trPr>
        <w:tc>
          <w:tcPr>
            <w:tcW w:w="704" w:type="dxa"/>
            <w:shd w:val="clear" w:color="auto" w:fill="C6EFCE"/>
            <w:vAlign w:val="center"/>
            <w:hideMark/>
          </w:tcPr>
          <w:p w14:paraId="70D3421C" w14:textId="77777777" w:rsidR="00615E2D" w:rsidRDefault="00C83E46">
            <w:pPr>
              <w:pStyle w:val="P68B1DB1-Normal15"/>
              <w:spacing w:before="0" w:after="0" w:line="240" w:lineRule="auto"/>
              <w:jc w:val="center"/>
              <w:rPr>
                <w:noProof/>
              </w:rPr>
            </w:pPr>
            <w:r>
              <w:rPr>
                <w:noProof/>
              </w:rPr>
              <w:t>25</w:t>
            </w:r>
          </w:p>
        </w:tc>
        <w:tc>
          <w:tcPr>
            <w:tcW w:w="1448" w:type="dxa"/>
            <w:shd w:val="clear" w:color="auto" w:fill="C6EFCE"/>
            <w:vAlign w:val="center"/>
            <w:hideMark/>
          </w:tcPr>
          <w:p w14:paraId="739C1D29" w14:textId="77777777" w:rsidR="00615E2D" w:rsidRDefault="00C83E46">
            <w:pPr>
              <w:pStyle w:val="P68B1DB1-Normal16"/>
              <w:spacing w:before="0" w:after="0" w:line="240" w:lineRule="auto"/>
              <w:rPr>
                <w:noProof/>
              </w:rPr>
            </w:pPr>
            <w:r>
              <w:rPr>
                <w:noProof/>
              </w:rPr>
              <w:t>Reforme 1.:</w:t>
            </w:r>
          </w:p>
          <w:p w14:paraId="4717AACD" w14:textId="782246E7" w:rsidR="00615E2D" w:rsidRDefault="00C83E46">
            <w:pPr>
              <w:pStyle w:val="P68B1DB1-Normal16"/>
              <w:spacing w:before="0" w:after="0" w:line="240" w:lineRule="auto"/>
              <w:rPr>
                <w:rFonts w:eastAsia="Times New Roman"/>
                <w:noProof/>
              </w:rPr>
            </w:pPr>
            <w:r>
              <w:rPr>
                <w:noProof/>
              </w:rPr>
              <w:t>Centri za potporu e-upravi, kibersigurnosti i e-zdravstvu</w:t>
            </w:r>
          </w:p>
        </w:tc>
        <w:tc>
          <w:tcPr>
            <w:tcW w:w="1134" w:type="dxa"/>
            <w:shd w:val="clear" w:color="auto" w:fill="C6EFCE"/>
            <w:vAlign w:val="center"/>
            <w:hideMark/>
          </w:tcPr>
          <w:p w14:paraId="72004C84" w14:textId="77777777" w:rsidR="00615E2D" w:rsidRDefault="00C83E46">
            <w:pPr>
              <w:pStyle w:val="P68B1DB1-Normal16"/>
              <w:spacing w:before="0" w:after="0" w:line="240" w:lineRule="auto"/>
              <w:rPr>
                <w:rFonts w:eastAsia="Times New Roman"/>
                <w:noProof/>
              </w:rPr>
            </w:pPr>
            <w:r>
              <w:rPr>
                <w:noProof/>
              </w:rPr>
              <w:t>Prekretnica</w:t>
            </w:r>
          </w:p>
        </w:tc>
        <w:tc>
          <w:tcPr>
            <w:tcW w:w="1701" w:type="dxa"/>
            <w:shd w:val="clear" w:color="auto" w:fill="C6EFCE"/>
            <w:vAlign w:val="center"/>
            <w:hideMark/>
          </w:tcPr>
          <w:p w14:paraId="10846030" w14:textId="3050BF46" w:rsidR="00615E2D" w:rsidRDefault="00C83E46">
            <w:pPr>
              <w:pStyle w:val="P68B1DB1-Normal16"/>
              <w:spacing w:before="0" w:after="0" w:line="240" w:lineRule="auto"/>
              <w:rPr>
                <w:noProof/>
              </w:rPr>
            </w:pPr>
            <w:r>
              <w:rPr>
                <w:noProof/>
              </w:rPr>
              <w:t>Potpuno funkcioniranje triju centara kompetentnosti koji pružaju usluge savjetovanja tijelima koja provode promjene u informacijskim sustavima i ekosustavu e-uprave predviđene sastavnicama 1.1. i 1.2.</w:t>
            </w:r>
          </w:p>
        </w:tc>
        <w:tc>
          <w:tcPr>
            <w:tcW w:w="1843" w:type="dxa"/>
            <w:shd w:val="clear" w:color="auto" w:fill="C6EFCE"/>
            <w:vAlign w:val="center"/>
            <w:hideMark/>
          </w:tcPr>
          <w:p w14:paraId="416ACB35" w14:textId="77777777" w:rsidR="00615E2D" w:rsidRDefault="00C83E46">
            <w:pPr>
              <w:pStyle w:val="P68B1DB1-Normal16"/>
              <w:spacing w:before="0" w:after="0" w:line="240" w:lineRule="auto"/>
              <w:rPr>
                <w:rFonts w:eastAsia="Times New Roman"/>
                <w:noProof/>
              </w:rPr>
            </w:pPr>
            <w:r>
              <w:rPr>
                <w:noProof/>
              </w:rPr>
              <w:t>Centri kompetentnosti smatraju se potpuno operativnima čim javna tijela podnesu zahtjev, a centri kompetentnosti odobre službene zahtjeve za savjetodavne usluge.</w:t>
            </w:r>
          </w:p>
        </w:tc>
        <w:tc>
          <w:tcPr>
            <w:tcW w:w="1077" w:type="dxa"/>
            <w:shd w:val="clear" w:color="auto" w:fill="C6EFCE"/>
            <w:vAlign w:val="center"/>
          </w:tcPr>
          <w:p w14:paraId="39028BD1" w14:textId="77777777" w:rsidR="00615E2D" w:rsidRDefault="00615E2D">
            <w:pPr>
              <w:spacing w:before="0" w:after="0" w:line="240" w:lineRule="auto"/>
              <w:rPr>
                <w:rFonts w:eastAsia="Times New Roman"/>
                <w:noProof/>
                <w:color w:val="004300"/>
                <w:sz w:val="18"/>
              </w:rPr>
            </w:pPr>
          </w:p>
        </w:tc>
        <w:tc>
          <w:tcPr>
            <w:tcW w:w="1022" w:type="dxa"/>
            <w:shd w:val="clear" w:color="auto" w:fill="C6EFCE"/>
            <w:vAlign w:val="center"/>
          </w:tcPr>
          <w:p w14:paraId="31BAA96B"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tcPr>
          <w:p w14:paraId="61023533"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2CBFE2BC"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586A0DC7" w14:textId="77777777" w:rsidR="00615E2D" w:rsidRDefault="00C83E46">
            <w:pPr>
              <w:pStyle w:val="P68B1DB1-Normal15"/>
              <w:spacing w:before="0" w:after="0" w:line="240" w:lineRule="auto"/>
              <w:jc w:val="center"/>
              <w:rPr>
                <w:noProof/>
              </w:rPr>
            </w:pPr>
            <w:r>
              <w:rPr>
                <w:noProof/>
              </w:rPr>
              <w:t>2022</w:t>
            </w:r>
          </w:p>
        </w:tc>
        <w:tc>
          <w:tcPr>
            <w:tcW w:w="3681" w:type="dxa"/>
            <w:shd w:val="clear" w:color="auto" w:fill="C6EFCE"/>
            <w:vAlign w:val="center"/>
            <w:hideMark/>
          </w:tcPr>
          <w:p w14:paraId="779F7012" w14:textId="3029291D" w:rsidR="00615E2D" w:rsidRDefault="00C83E46">
            <w:pPr>
              <w:pStyle w:val="P68B1DB1-Normal16"/>
              <w:spacing w:before="0" w:after="0" w:line="240" w:lineRule="auto"/>
              <w:rPr>
                <w:noProof/>
              </w:rPr>
            </w:pPr>
            <w:r>
              <w:rPr>
                <w:rFonts w:eastAsia="Times New Roman"/>
                <w:noProof/>
              </w:rPr>
              <w:t>Tri centra stručnosti u području e-uprave, kibersigurnosti i e-zdravstva tijelima pružaju usluge savjetovanja i savjetovanja u provedbi projekata u okviru sastavnica 1.1. i 1.2.</w:t>
            </w:r>
            <w:r>
              <w:rPr>
                <w:noProof/>
              </w:rPr>
              <w:t xml:space="preserve"> </w:t>
            </w:r>
          </w:p>
        </w:tc>
      </w:tr>
      <w:tr w:rsidR="00615E2D" w14:paraId="6D09F246" w14:textId="77777777">
        <w:trPr>
          <w:trHeight w:val="309"/>
          <w:jc w:val="center"/>
        </w:trPr>
        <w:tc>
          <w:tcPr>
            <w:tcW w:w="704" w:type="dxa"/>
            <w:shd w:val="clear" w:color="auto" w:fill="C6EFCE"/>
            <w:vAlign w:val="center"/>
            <w:hideMark/>
          </w:tcPr>
          <w:p w14:paraId="722B729A" w14:textId="77777777" w:rsidR="00615E2D" w:rsidRDefault="00C83E46">
            <w:pPr>
              <w:pStyle w:val="P68B1DB1-Normal15"/>
              <w:spacing w:before="0" w:after="0" w:line="240" w:lineRule="auto"/>
              <w:jc w:val="center"/>
              <w:rPr>
                <w:noProof/>
              </w:rPr>
            </w:pPr>
            <w:r>
              <w:rPr>
                <w:noProof/>
              </w:rPr>
              <w:t>26</w:t>
            </w:r>
          </w:p>
        </w:tc>
        <w:tc>
          <w:tcPr>
            <w:tcW w:w="1448" w:type="dxa"/>
            <w:shd w:val="clear" w:color="auto" w:fill="C6EFCE"/>
            <w:vAlign w:val="center"/>
            <w:hideMark/>
          </w:tcPr>
          <w:p w14:paraId="07D882DF" w14:textId="77777777" w:rsidR="00615E2D" w:rsidRDefault="00C83E46">
            <w:pPr>
              <w:pStyle w:val="P68B1DB1-Normal16"/>
              <w:spacing w:before="0" w:after="0" w:line="240" w:lineRule="auto"/>
              <w:rPr>
                <w:noProof/>
              </w:rPr>
            </w:pPr>
            <w:r>
              <w:rPr>
                <w:noProof/>
              </w:rPr>
              <w:t>Reforma 1.:</w:t>
            </w:r>
          </w:p>
          <w:p w14:paraId="1821617B" w14:textId="38D564DE" w:rsidR="00615E2D" w:rsidRDefault="00C83E46">
            <w:pPr>
              <w:pStyle w:val="P68B1DB1-Normal16"/>
              <w:spacing w:before="0" w:after="0" w:line="240" w:lineRule="auto"/>
              <w:rPr>
                <w:rFonts w:eastAsia="Times New Roman"/>
                <w:noProof/>
              </w:rPr>
            </w:pPr>
            <w:r>
              <w:rPr>
                <w:noProof/>
              </w:rPr>
              <w:t>Centri za potporu e-upravi, kibersigurnosti i e-zdravstvu</w:t>
            </w:r>
          </w:p>
        </w:tc>
        <w:tc>
          <w:tcPr>
            <w:tcW w:w="1134" w:type="dxa"/>
            <w:shd w:val="clear" w:color="auto" w:fill="C6EFCE"/>
            <w:vAlign w:val="center"/>
            <w:hideMark/>
          </w:tcPr>
          <w:p w14:paraId="53A57590" w14:textId="77777777" w:rsidR="00615E2D" w:rsidRDefault="00C83E46">
            <w:pPr>
              <w:pStyle w:val="P68B1DB1-Normal16"/>
              <w:spacing w:before="0" w:after="0" w:line="240" w:lineRule="auto"/>
              <w:rPr>
                <w:rFonts w:eastAsia="Times New Roman"/>
                <w:noProof/>
              </w:rPr>
            </w:pPr>
            <w:r>
              <w:rPr>
                <w:noProof/>
              </w:rPr>
              <w:t>Ciljna</w:t>
            </w:r>
          </w:p>
        </w:tc>
        <w:tc>
          <w:tcPr>
            <w:tcW w:w="1701" w:type="dxa"/>
            <w:shd w:val="clear" w:color="auto" w:fill="C6EFCE"/>
            <w:vAlign w:val="center"/>
            <w:hideMark/>
          </w:tcPr>
          <w:p w14:paraId="0D9BF2E7" w14:textId="361B0159" w:rsidR="00615E2D" w:rsidRDefault="00C83E46">
            <w:pPr>
              <w:pStyle w:val="P68B1DB1-Normal16"/>
              <w:spacing w:before="0" w:after="0" w:line="240" w:lineRule="auto"/>
              <w:rPr>
                <w:rFonts w:eastAsia="Times New Roman"/>
                <w:noProof/>
              </w:rPr>
            </w:pPr>
            <w:r>
              <w:rPr>
                <w:noProof/>
              </w:rPr>
              <w:t>Savjetovanja i pomoć pružena u vezi s temama povezanima s mjerama u okviru sastavnica 1.1. i 1.2. u opsegu od najmanje pet radnih dana, koji se pružaju određenim tijelima javne uprave</w:t>
            </w:r>
          </w:p>
        </w:tc>
        <w:tc>
          <w:tcPr>
            <w:tcW w:w="1843" w:type="dxa"/>
            <w:shd w:val="clear" w:color="auto" w:fill="C6EFCE"/>
            <w:vAlign w:val="center"/>
          </w:tcPr>
          <w:p w14:paraId="32C23660" w14:textId="77777777" w:rsidR="00615E2D" w:rsidRDefault="00615E2D">
            <w:pPr>
              <w:spacing w:before="0" w:after="0" w:line="240" w:lineRule="auto"/>
              <w:rPr>
                <w:rFonts w:eastAsia="Times New Roman"/>
                <w:noProof/>
                <w:color w:val="004300"/>
                <w:sz w:val="18"/>
              </w:rPr>
            </w:pPr>
          </w:p>
        </w:tc>
        <w:tc>
          <w:tcPr>
            <w:tcW w:w="1077" w:type="dxa"/>
            <w:shd w:val="clear" w:color="auto" w:fill="C6EFCE"/>
            <w:vAlign w:val="center"/>
            <w:hideMark/>
          </w:tcPr>
          <w:p w14:paraId="5FACCC07" w14:textId="1173E65A" w:rsidR="00615E2D" w:rsidRDefault="00C83E46">
            <w:pPr>
              <w:pStyle w:val="P68B1DB1-Normal16"/>
              <w:spacing w:before="0" w:after="0" w:line="240" w:lineRule="auto"/>
              <w:rPr>
                <w:rFonts w:eastAsia="Times New Roman"/>
                <w:noProof/>
              </w:rPr>
            </w:pPr>
            <w:r>
              <w:rPr>
                <w:noProof/>
              </w:rPr>
              <w:t>Broj savjetovanja pruženih u okviru najmanje pet radnih dana</w:t>
            </w:r>
          </w:p>
        </w:tc>
        <w:tc>
          <w:tcPr>
            <w:tcW w:w="1022" w:type="dxa"/>
            <w:shd w:val="clear" w:color="auto" w:fill="C6EFCE"/>
            <w:vAlign w:val="center"/>
            <w:hideMark/>
          </w:tcPr>
          <w:p w14:paraId="031C0981" w14:textId="77777777" w:rsidR="00615E2D" w:rsidRDefault="00C83E46">
            <w:pPr>
              <w:pStyle w:val="P68B1DB1-Normal15"/>
              <w:spacing w:before="0" w:after="0" w:line="240" w:lineRule="auto"/>
              <w:jc w:val="center"/>
              <w:rPr>
                <w:noProof/>
              </w:rPr>
            </w:pPr>
            <w:r>
              <w:rPr>
                <w:noProof/>
              </w:rPr>
              <w:t>0</w:t>
            </w:r>
          </w:p>
        </w:tc>
        <w:tc>
          <w:tcPr>
            <w:tcW w:w="709" w:type="dxa"/>
            <w:shd w:val="clear" w:color="auto" w:fill="C6EFCE"/>
            <w:vAlign w:val="center"/>
            <w:hideMark/>
          </w:tcPr>
          <w:p w14:paraId="65A54EFC" w14:textId="77777777" w:rsidR="00615E2D" w:rsidRDefault="00C83E46">
            <w:pPr>
              <w:pStyle w:val="P68B1DB1-Normal15"/>
              <w:spacing w:before="0" w:after="0" w:line="240" w:lineRule="auto"/>
              <w:jc w:val="center"/>
              <w:rPr>
                <w:noProof/>
              </w:rPr>
            </w:pPr>
            <w:r>
              <w:rPr>
                <w:noProof/>
              </w:rPr>
              <w:t>50</w:t>
            </w:r>
          </w:p>
        </w:tc>
        <w:tc>
          <w:tcPr>
            <w:tcW w:w="992" w:type="dxa"/>
            <w:shd w:val="clear" w:color="auto" w:fill="C6EFCE"/>
            <w:vAlign w:val="center"/>
            <w:hideMark/>
          </w:tcPr>
          <w:p w14:paraId="11D41170"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0FADB1C9" w14:textId="77777777" w:rsidR="00615E2D" w:rsidRDefault="00C83E46">
            <w:pPr>
              <w:pStyle w:val="P68B1DB1-Normal15"/>
              <w:spacing w:before="0" w:after="0" w:line="240" w:lineRule="auto"/>
              <w:jc w:val="center"/>
              <w:rPr>
                <w:noProof/>
              </w:rPr>
            </w:pPr>
            <w:r>
              <w:rPr>
                <w:noProof/>
              </w:rPr>
              <w:t>2025</w:t>
            </w:r>
          </w:p>
        </w:tc>
        <w:tc>
          <w:tcPr>
            <w:tcW w:w="3681" w:type="dxa"/>
            <w:shd w:val="clear" w:color="auto" w:fill="C6EFCE"/>
            <w:vAlign w:val="center"/>
            <w:hideMark/>
          </w:tcPr>
          <w:p w14:paraId="158A130F" w14:textId="450F7592" w:rsidR="00615E2D" w:rsidRDefault="00C83E46">
            <w:pPr>
              <w:pStyle w:val="P68B1DB1-Normal16"/>
              <w:spacing w:before="0" w:after="0" w:line="240" w:lineRule="auto"/>
              <w:rPr>
                <w:rFonts w:eastAsia="Times New Roman"/>
                <w:noProof/>
              </w:rPr>
            </w:pPr>
            <w:r>
              <w:rPr>
                <w:noProof/>
              </w:rPr>
              <w:t>Mjerom se tijelima javne uprave osigurava stručno znanje za provedbu ulaganja i reformi u okviru sastavnica 1.1. i 1.2. Samo savjetovanja za koja je potrebno najmanje pet radnih dana uračunavaju se u ciljnu vrijednost.</w:t>
            </w:r>
          </w:p>
        </w:tc>
      </w:tr>
      <w:tr w:rsidR="00615E2D" w14:paraId="47D46F91" w14:textId="77777777">
        <w:trPr>
          <w:trHeight w:val="309"/>
          <w:jc w:val="center"/>
        </w:trPr>
        <w:tc>
          <w:tcPr>
            <w:tcW w:w="704" w:type="dxa"/>
            <w:shd w:val="clear" w:color="auto" w:fill="C6EFCE"/>
            <w:vAlign w:val="center"/>
            <w:hideMark/>
          </w:tcPr>
          <w:p w14:paraId="31A060BD" w14:textId="77777777" w:rsidR="00615E2D" w:rsidRDefault="00C83E46">
            <w:pPr>
              <w:pStyle w:val="P68B1DB1-Normal15"/>
              <w:spacing w:before="0" w:after="0" w:line="240" w:lineRule="auto"/>
              <w:jc w:val="center"/>
              <w:rPr>
                <w:noProof/>
              </w:rPr>
            </w:pPr>
            <w:r>
              <w:rPr>
                <w:noProof/>
              </w:rPr>
              <w:t>27</w:t>
            </w:r>
          </w:p>
        </w:tc>
        <w:tc>
          <w:tcPr>
            <w:tcW w:w="1448" w:type="dxa"/>
            <w:shd w:val="clear" w:color="auto" w:fill="C6EFCE"/>
            <w:vAlign w:val="center"/>
            <w:hideMark/>
          </w:tcPr>
          <w:p w14:paraId="70AC0F7E" w14:textId="25BB2683" w:rsidR="00615E2D" w:rsidRDefault="00C83E46">
            <w:pPr>
              <w:pStyle w:val="P68B1DB1-Normal16"/>
              <w:spacing w:before="0" w:after="0" w:line="240" w:lineRule="auto"/>
              <w:rPr>
                <w:noProof/>
              </w:rPr>
            </w:pPr>
            <w:r>
              <w:rPr>
                <w:noProof/>
              </w:rPr>
              <w:t>Reforma br. 2:</w:t>
            </w:r>
          </w:p>
          <w:p w14:paraId="13DB5700" w14:textId="77777777" w:rsidR="00615E2D" w:rsidRDefault="00C83E46">
            <w:pPr>
              <w:pStyle w:val="P68B1DB1-Normal16"/>
              <w:spacing w:before="0" w:after="0" w:line="240" w:lineRule="auto"/>
              <w:rPr>
                <w:rFonts w:eastAsia="Times New Roman"/>
                <w:noProof/>
              </w:rPr>
            </w:pPr>
            <w:r>
              <w:rPr>
                <w:noProof/>
              </w:rPr>
              <w:t>Razvoj sustava kojima se podupire e-zdravstvo</w:t>
            </w:r>
          </w:p>
        </w:tc>
        <w:tc>
          <w:tcPr>
            <w:tcW w:w="1134" w:type="dxa"/>
            <w:shd w:val="clear" w:color="auto" w:fill="C6EFCE"/>
            <w:vAlign w:val="center"/>
            <w:hideMark/>
          </w:tcPr>
          <w:p w14:paraId="60A56926" w14:textId="77777777" w:rsidR="00615E2D" w:rsidRDefault="00C83E46">
            <w:pPr>
              <w:pStyle w:val="P68B1DB1-Normal16"/>
              <w:spacing w:before="0" w:after="0" w:line="240" w:lineRule="auto"/>
              <w:rPr>
                <w:rFonts w:eastAsia="Times New Roman"/>
                <w:noProof/>
              </w:rPr>
            </w:pPr>
            <w:r>
              <w:rPr>
                <w:noProof/>
              </w:rPr>
              <w:t>Prekretnica</w:t>
            </w:r>
          </w:p>
        </w:tc>
        <w:tc>
          <w:tcPr>
            <w:tcW w:w="1701" w:type="dxa"/>
            <w:shd w:val="clear" w:color="auto" w:fill="C6EFCE"/>
            <w:vAlign w:val="center"/>
            <w:hideMark/>
          </w:tcPr>
          <w:p w14:paraId="44BFC1F4" w14:textId="7D1E2B64" w:rsidR="00615E2D" w:rsidRDefault="00C83E46">
            <w:pPr>
              <w:pStyle w:val="P68B1DB1-Normal16"/>
              <w:spacing w:before="0" w:after="0" w:line="240" w:lineRule="auto"/>
              <w:rPr>
                <w:rFonts w:eastAsia="Times New Roman"/>
                <w:noProof/>
              </w:rPr>
            </w:pPr>
            <w:r>
              <w:rPr>
                <w:noProof/>
              </w:rPr>
              <w:t>Proširenje zajedničke evidencije o drogama (e-recept) na narkotike i psihotropne tvari te na elektroničke vaučere za medicinske proizvode</w:t>
            </w:r>
          </w:p>
        </w:tc>
        <w:tc>
          <w:tcPr>
            <w:tcW w:w="1843" w:type="dxa"/>
            <w:shd w:val="clear" w:color="auto" w:fill="C6EFCE"/>
            <w:vAlign w:val="center"/>
            <w:hideMark/>
          </w:tcPr>
          <w:p w14:paraId="0B807DBE" w14:textId="77777777" w:rsidR="00615E2D" w:rsidRDefault="00C83E46">
            <w:pPr>
              <w:pStyle w:val="P68B1DB1-Normal16"/>
              <w:spacing w:before="0" w:after="0" w:line="240" w:lineRule="auto"/>
              <w:rPr>
                <w:rFonts w:eastAsia="Times New Roman"/>
                <w:noProof/>
              </w:rPr>
            </w:pPr>
            <w:r>
              <w:rPr>
                <w:noProof/>
              </w:rPr>
              <w:t>Funkcije e-recepta proširene su receptima za narkotike i psihotropne tvari te uz propisivanje bonova za medicinske proizvode</w:t>
            </w:r>
          </w:p>
        </w:tc>
        <w:tc>
          <w:tcPr>
            <w:tcW w:w="1077" w:type="dxa"/>
            <w:shd w:val="clear" w:color="auto" w:fill="C6EFCE"/>
            <w:vAlign w:val="center"/>
          </w:tcPr>
          <w:p w14:paraId="5B649C2B" w14:textId="77777777" w:rsidR="00615E2D" w:rsidRDefault="00615E2D">
            <w:pPr>
              <w:spacing w:before="0" w:after="0" w:line="240" w:lineRule="auto"/>
              <w:rPr>
                <w:rFonts w:eastAsia="Times New Roman"/>
                <w:noProof/>
                <w:color w:val="004300"/>
                <w:sz w:val="18"/>
              </w:rPr>
            </w:pPr>
          </w:p>
        </w:tc>
        <w:tc>
          <w:tcPr>
            <w:tcW w:w="1022" w:type="dxa"/>
            <w:shd w:val="clear" w:color="auto" w:fill="C6EFCE"/>
            <w:vAlign w:val="center"/>
          </w:tcPr>
          <w:p w14:paraId="3DC7F5AA"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tcPr>
          <w:p w14:paraId="3B283EA5"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11F80926"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7383BC09" w14:textId="77777777" w:rsidR="00615E2D" w:rsidRDefault="00C83E46">
            <w:pPr>
              <w:pStyle w:val="P68B1DB1-Normal15"/>
              <w:spacing w:before="0" w:after="0" w:line="240" w:lineRule="auto"/>
              <w:jc w:val="center"/>
              <w:rPr>
                <w:noProof/>
              </w:rPr>
            </w:pPr>
            <w:r>
              <w:rPr>
                <w:noProof/>
              </w:rPr>
              <w:t>2023</w:t>
            </w:r>
          </w:p>
        </w:tc>
        <w:tc>
          <w:tcPr>
            <w:tcW w:w="3681" w:type="dxa"/>
            <w:shd w:val="clear" w:color="auto" w:fill="C6EFCE"/>
            <w:vAlign w:val="center"/>
            <w:hideMark/>
          </w:tcPr>
          <w:p w14:paraId="1FD19F2E" w14:textId="77777777" w:rsidR="00615E2D" w:rsidRDefault="00C83E46">
            <w:pPr>
              <w:pStyle w:val="P68B1DB1-Normal15"/>
              <w:spacing w:before="0" w:after="0" w:line="240" w:lineRule="auto"/>
              <w:rPr>
                <w:noProof/>
              </w:rPr>
            </w:pPr>
            <w:r>
              <w:rPr>
                <w:noProof/>
              </w:rPr>
              <w:t>Postojeće funkcionalnosti e-recepta proširuju se ovom mjerom kojom se omogućuje propisivanje narkotika i psihotropnih tvari i bonova za kupnju medicinskih proizvoda.</w:t>
            </w:r>
          </w:p>
        </w:tc>
      </w:tr>
      <w:tr w:rsidR="00615E2D" w14:paraId="6AD81F9E" w14:textId="77777777">
        <w:trPr>
          <w:trHeight w:val="309"/>
          <w:jc w:val="center"/>
        </w:trPr>
        <w:tc>
          <w:tcPr>
            <w:tcW w:w="704" w:type="dxa"/>
            <w:shd w:val="clear" w:color="auto" w:fill="C6EFCE"/>
            <w:vAlign w:val="center"/>
            <w:hideMark/>
          </w:tcPr>
          <w:p w14:paraId="3BC8EEEF" w14:textId="77777777" w:rsidR="00615E2D" w:rsidRDefault="00C83E46">
            <w:pPr>
              <w:pStyle w:val="P68B1DB1-Normal15"/>
              <w:spacing w:before="0" w:after="0" w:line="240" w:lineRule="auto"/>
              <w:jc w:val="center"/>
              <w:rPr>
                <w:noProof/>
              </w:rPr>
            </w:pPr>
            <w:r>
              <w:rPr>
                <w:noProof/>
              </w:rPr>
              <w:t>28</w:t>
            </w:r>
          </w:p>
        </w:tc>
        <w:tc>
          <w:tcPr>
            <w:tcW w:w="1448" w:type="dxa"/>
            <w:shd w:val="clear" w:color="auto" w:fill="C6EFCE"/>
            <w:vAlign w:val="center"/>
            <w:hideMark/>
          </w:tcPr>
          <w:p w14:paraId="268317D3" w14:textId="5CF11B27" w:rsidR="00615E2D" w:rsidRDefault="00C83E46">
            <w:pPr>
              <w:pStyle w:val="P68B1DB1-Normal16"/>
              <w:spacing w:before="0" w:after="0" w:line="240" w:lineRule="auto"/>
              <w:rPr>
                <w:noProof/>
              </w:rPr>
            </w:pPr>
            <w:r>
              <w:rPr>
                <w:noProof/>
              </w:rPr>
              <w:t>Reforma br. 2:</w:t>
            </w:r>
          </w:p>
          <w:p w14:paraId="0E35BAB2" w14:textId="77777777" w:rsidR="00615E2D" w:rsidRDefault="00C83E46">
            <w:pPr>
              <w:pStyle w:val="P68B1DB1-Normal16"/>
              <w:spacing w:before="0" w:after="0" w:line="240" w:lineRule="auto"/>
              <w:rPr>
                <w:rFonts w:eastAsia="Times New Roman"/>
                <w:noProof/>
              </w:rPr>
            </w:pPr>
            <w:r>
              <w:rPr>
                <w:noProof/>
              </w:rPr>
              <w:t>Razvoj sustava kojima se podupire e-zdravstvo</w:t>
            </w:r>
          </w:p>
        </w:tc>
        <w:tc>
          <w:tcPr>
            <w:tcW w:w="1134" w:type="dxa"/>
            <w:shd w:val="clear" w:color="auto" w:fill="C6EFCE"/>
            <w:vAlign w:val="center"/>
            <w:hideMark/>
          </w:tcPr>
          <w:p w14:paraId="3E47E541" w14:textId="77777777" w:rsidR="00615E2D" w:rsidRDefault="00C83E46">
            <w:pPr>
              <w:pStyle w:val="P68B1DB1-Normal16"/>
              <w:spacing w:before="0" w:after="0" w:line="240" w:lineRule="auto"/>
              <w:rPr>
                <w:rFonts w:eastAsia="Times New Roman"/>
                <w:noProof/>
              </w:rPr>
            </w:pPr>
            <w:r>
              <w:rPr>
                <w:noProof/>
              </w:rPr>
              <w:t>Prekretnica</w:t>
            </w:r>
          </w:p>
        </w:tc>
        <w:tc>
          <w:tcPr>
            <w:tcW w:w="1701" w:type="dxa"/>
            <w:shd w:val="clear" w:color="auto" w:fill="C6EFCE"/>
            <w:vAlign w:val="center"/>
          </w:tcPr>
          <w:p w14:paraId="6732B6FE" w14:textId="77777777" w:rsidR="00615E2D" w:rsidRDefault="00C83E46">
            <w:pPr>
              <w:pStyle w:val="P68B1DB1-Normal16"/>
              <w:spacing w:before="0" w:after="0" w:line="240" w:lineRule="auto"/>
              <w:rPr>
                <w:noProof/>
              </w:rPr>
            </w:pPr>
            <w:r>
              <w:rPr>
                <w:noProof/>
              </w:rPr>
              <w:t>Završetak projekata za konsolidaciju i razvoj infrastrukture za elektroničku zdravstvenu skrb kako bi se stvorile međusobno povezane baze podataka i poboljšale digitalne zdravstvene usluge</w:t>
            </w:r>
          </w:p>
          <w:p w14:paraId="1FA319F3" w14:textId="77777777" w:rsidR="00615E2D" w:rsidRDefault="00615E2D">
            <w:pPr>
              <w:spacing w:before="0" w:after="0" w:line="240" w:lineRule="auto"/>
              <w:rPr>
                <w:rFonts w:eastAsia="Times New Roman"/>
                <w:noProof/>
                <w:color w:val="004300"/>
                <w:sz w:val="18"/>
              </w:rPr>
            </w:pPr>
          </w:p>
        </w:tc>
        <w:tc>
          <w:tcPr>
            <w:tcW w:w="1843" w:type="dxa"/>
            <w:shd w:val="clear" w:color="auto" w:fill="C6EFCE"/>
            <w:vAlign w:val="center"/>
            <w:hideMark/>
          </w:tcPr>
          <w:p w14:paraId="4F27336D" w14:textId="77777777" w:rsidR="00615E2D" w:rsidRDefault="00C83E46">
            <w:pPr>
              <w:pStyle w:val="P68B1DB1-Normal16"/>
              <w:spacing w:before="0" w:after="0" w:line="240" w:lineRule="auto"/>
              <w:rPr>
                <w:rFonts w:eastAsia="Times New Roman"/>
                <w:noProof/>
              </w:rPr>
            </w:pPr>
            <w:r>
              <w:rPr>
                <w:noProof/>
              </w:rPr>
              <w:t>Konsolidirane nove usluge ostvarene projektima upotrebljavaju krajnji korisnici, a registri su povezani</w:t>
            </w:r>
          </w:p>
        </w:tc>
        <w:tc>
          <w:tcPr>
            <w:tcW w:w="1077" w:type="dxa"/>
            <w:shd w:val="clear" w:color="auto" w:fill="C6EFCE"/>
            <w:vAlign w:val="center"/>
          </w:tcPr>
          <w:p w14:paraId="2DECC69F" w14:textId="77777777" w:rsidR="00615E2D" w:rsidRDefault="00615E2D">
            <w:pPr>
              <w:spacing w:before="0" w:after="0" w:line="240" w:lineRule="auto"/>
              <w:rPr>
                <w:rFonts w:eastAsia="Times New Roman"/>
                <w:noProof/>
                <w:color w:val="004300"/>
                <w:sz w:val="18"/>
              </w:rPr>
            </w:pPr>
          </w:p>
        </w:tc>
        <w:tc>
          <w:tcPr>
            <w:tcW w:w="1022" w:type="dxa"/>
            <w:shd w:val="clear" w:color="auto" w:fill="C6EFCE"/>
            <w:vAlign w:val="center"/>
          </w:tcPr>
          <w:p w14:paraId="6F8C9C6C"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tcPr>
          <w:p w14:paraId="0059D333"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1107F7AA"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79B4E7B5" w14:textId="77777777" w:rsidR="00615E2D" w:rsidRDefault="00C83E46">
            <w:pPr>
              <w:pStyle w:val="P68B1DB1-Normal15"/>
              <w:spacing w:before="0" w:after="0" w:line="240" w:lineRule="auto"/>
              <w:jc w:val="center"/>
              <w:rPr>
                <w:noProof/>
              </w:rPr>
            </w:pPr>
            <w:r>
              <w:rPr>
                <w:noProof/>
              </w:rPr>
              <w:t>2025</w:t>
            </w:r>
          </w:p>
        </w:tc>
        <w:tc>
          <w:tcPr>
            <w:tcW w:w="3681" w:type="dxa"/>
            <w:shd w:val="clear" w:color="auto" w:fill="C6EFCE"/>
            <w:vAlign w:val="center"/>
            <w:hideMark/>
          </w:tcPr>
          <w:p w14:paraId="2C2A06BE" w14:textId="77777777" w:rsidR="00615E2D" w:rsidRDefault="00C83E46">
            <w:pPr>
              <w:pStyle w:val="P68B1DB1-Normal16"/>
              <w:spacing w:before="0" w:after="0" w:line="240" w:lineRule="auto"/>
              <w:rPr>
                <w:noProof/>
              </w:rPr>
            </w:pPr>
            <w:r>
              <w:rPr>
                <w:noProof/>
              </w:rPr>
              <w:t>Projektima uključenima u ovu mjeru konsolidira se sustav odjela zdravstvenih registara, uključujući informacijske sustave regionalnih higijenskih postaja, higijenske registre, nacionalni zdravstveni informacijski sustav i integriranu obrazovnu platformu. Relevantni registri zdravstvene zaštite povezani su s uslugama e-uprave. Ostvarenje ključne etape provjerava se uspješnim testiranjem koje provodi i dokumentira nositelj projekta te odobravanjem provedbe projekta od strane javnog naručitelja nakon uspješne pilot-faze. Projekti uključuju:</w:t>
            </w:r>
          </w:p>
          <w:p w14:paraId="635179F8" w14:textId="77777777" w:rsidR="00615E2D" w:rsidRDefault="00C83E46">
            <w:pPr>
              <w:pStyle w:val="P68B1DB1-Normal16"/>
              <w:spacing w:before="0" w:after="0" w:line="240" w:lineRule="auto"/>
              <w:rPr>
                <w:noProof/>
              </w:rPr>
            </w:pPr>
            <w:r>
              <w:rPr>
                <w:noProof/>
              </w:rPr>
              <w:t>1. Optimizacija zdravstvenog sustava za pacijente s rijetkim bolestima</w:t>
            </w:r>
          </w:p>
          <w:p w14:paraId="47C0FBDB" w14:textId="77777777" w:rsidR="00615E2D" w:rsidRDefault="00C83E46">
            <w:pPr>
              <w:pStyle w:val="P68B1DB1-Normal16"/>
              <w:spacing w:before="0" w:after="0" w:line="240" w:lineRule="auto"/>
              <w:rPr>
                <w:noProof/>
              </w:rPr>
            </w:pPr>
            <w:r>
              <w:rPr>
                <w:noProof/>
              </w:rPr>
              <w:t>2. Razvoj registara higijene poboljšanjem postojećih registara sanitarnih usluga i informacijskih sustava povezanih s upravljanjem pandemijskim situacijama</w:t>
            </w:r>
          </w:p>
          <w:p w14:paraId="518AD574" w14:textId="23C21DD9" w:rsidR="00615E2D" w:rsidRDefault="00C83E46">
            <w:pPr>
              <w:pStyle w:val="P68B1DB1-Normal16"/>
              <w:spacing w:before="0" w:after="0" w:line="240" w:lineRule="auto"/>
              <w:rPr>
                <w:noProof/>
              </w:rPr>
            </w:pPr>
            <w:r>
              <w:rPr>
                <w:noProof/>
              </w:rPr>
              <w:t>3. Razvoj informacijskog sustava za potporu sanitarnim uslugama u Češkoj</w:t>
            </w:r>
          </w:p>
          <w:p w14:paraId="562B9543" w14:textId="77777777" w:rsidR="00615E2D" w:rsidRDefault="00C83E46">
            <w:pPr>
              <w:pStyle w:val="P68B1DB1-Normal16"/>
              <w:spacing w:before="0" w:after="0" w:line="240" w:lineRule="auto"/>
              <w:rPr>
                <w:noProof/>
              </w:rPr>
            </w:pPr>
            <w:r>
              <w:rPr>
                <w:noProof/>
              </w:rPr>
              <w:t>4. Razvoj infrastrukture referentnih registara sektora e-zdravstva pružatelja zdravstvenih usluga, zdravstvenih djelatnika i pacijenata te sustava potpore</w:t>
            </w:r>
          </w:p>
          <w:p w14:paraId="610A082D" w14:textId="77777777" w:rsidR="00615E2D" w:rsidRDefault="00C83E46">
            <w:pPr>
              <w:pStyle w:val="P68B1DB1-Normal16"/>
              <w:spacing w:before="0" w:after="0" w:line="240" w:lineRule="auto"/>
              <w:rPr>
                <w:noProof/>
              </w:rPr>
            </w:pPr>
            <w:r>
              <w:rPr>
                <w:noProof/>
              </w:rPr>
              <w:t>5. Modernizacija i poboljšanje kapaciteta nacionalnog zdravstvenog informacijskog sustava</w:t>
            </w:r>
          </w:p>
          <w:p w14:paraId="58E88235" w14:textId="22AB91DE" w:rsidR="00615E2D" w:rsidRDefault="00C83E46">
            <w:pPr>
              <w:pStyle w:val="P68B1DB1-Normal16"/>
              <w:spacing w:before="0" w:after="0" w:line="240" w:lineRule="auto"/>
              <w:rPr>
                <w:noProof/>
              </w:rPr>
            </w:pPr>
            <w:r>
              <w:rPr>
                <w:noProof/>
              </w:rPr>
              <w:t>6. Program osposobljavanja zdravstvenih djelatnika za upotrebu sustava e-zdravstva</w:t>
            </w:r>
          </w:p>
        </w:tc>
      </w:tr>
      <w:tr w:rsidR="00615E2D" w14:paraId="5E700675" w14:textId="77777777">
        <w:trPr>
          <w:trHeight w:val="309"/>
          <w:jc w:val="center"/>
        </w:trPr>
        <w:tc>
          <w:tcPr>
            <w:tcW w:w="704" w:type="dxa"/>
            <w:shd w:val="clear" w:color="auto" w:fill="C6EFCE"/>
            <w:vAlign w:val="center"/>
            <w:hideMark/>
          </w:tcPr>
          <w:p w14:paraId="0041CD9D" w14:textId="77777777" w:rsidR="00615E2D" w:rsidRDefault="00C83E46">
            <w:pPr>
              <w:pStyle w:val="P68B1DB1-Normal15"/>
              <w:spacing w:before="0" w:after="0" w:line="240" w:lineRule="auto"/>
              <w:jc w:val="center"/>
              <w:rPr>
                <w:noProof/>
              </w:rPr>
            </w:pPr>
            <w:r>
              <w:rPr>
                <w:noProof/>
              </w:rPr>
              <w:t>29</w:t>
            </w:r>
          </w:p>
        </w:tc>
        <w:tc>
          <w:tcPr>
            <w:tcW w:w="1448" w:type="dxa"/>
            <w:shd w:val="clear" w:color="auto" w:fill="C6EFCE"/>
            <w:vAlign w:val="center"/>
            <w:hideMark/>
          </w:tcPr>
          <w:p w14:paraId="7779B202" w14:textId="0BDF279F" w:rsidR="00615E2D" w:rsidRDefault="00C83E46">
            <w:pPr>
              <w:pStyle w:val="P68B1DB1-Normal16"/>
              <w:spacing w:before="0" w:after="0" w:line="240" w:lineRule="auto"/>
              <w:rPr>
                <w:noProof/>
              </w:rPr>
            </w:pPr>
            <w:r>
              <w:rPr>
                <w:noProof/>
              </w:rPr>
              <w:t>Ulaganje 4:</w:t>
            </w:r>
          </w:p>
          <w:p w14:paraId="12AEFCDA" w14:textId="77777777" w:rsidR="00615E2D" w:rsidRDefault="00C83E46">
            <w:pPr>
              <w:pStyle w:val="P68B1DB1-Normal16"/>
              <w:spacing w:before="0" w:after="0" w:line="240" w:lineRule="auto"/>
              <w:rPr>
                <w:rFonts w:eastAsia="Times New Roman"/>
                <w:noProof/>
              </w:rPr>
            </w:pPr>
            <w:r>
              <w:rPr>
                <w:noProof/>
              </w:rPr>
              <w:t>Stvaranje uvjeta za digitalno pravosuđe</w:t>
            </w:r>
          </w:p>
        </w:tc>
        <w:tc>
          <w:tcPr>
            <w:tcW w:w="1134" w:type="dxa"/>
            <w:shd w:val="clear" w:color="auto" w:fill="C6EFCE"/>
            <w:vAlign w:val="center"/>
            <w:hideMark/>
          </w:tcPr>
          <w:p w14:paraId="5E26FE4D" w14:textId="77777777" w:rsidR="00615E2D" w:rsidRDefault="00C83E46">
            <w:pPr>
              <w:pStyle w:val="P68B1DB1-Normal16"/>
              <w:spacing w:before="0" w:after="0" w:line="240" w:lineRule="auto"/>
              <w:rPr>
                <w:rFonts w:eastAsia="Times New Roman"/>
                <w:noProof/>
              </w:rPr>
            </w:pPr>
            <w:r>
              <w:rPr>
                <w:noProof/>
              </w:rPr>
              <w:t>Prekretnica</w:t>
            </w:r>
          </w:p>
        </w:tc>
        <w:tc>
          <w:tcPr>
            <w:tcW w:w="1701" w:type="dxa"/>
            <w:shd w:val="clear" w:color="auto" w:fill="C6EFCE"/>
            <w:vAlign w:val="center"/>
            <w:hideMark/>
          </w:tcPr>
          <w:p w14:paraId="18F6B847" w14:textId="77777777" w:rsidR="00615E2D" w:rsidRDefault="00C83E46">
            <w:pPr>
              <w:pStyle w:val="P68B1DB1-Normal16"/>
              <w:spacing w:before="0" w:after="0" w:line="240" w:lineRule="auto"/>
              <w:rPr>
                <w:rFonts w:eastAsia="Times New Roman"/>
                <w:noProof/>
              </w:rPr>
            </w:pPr>
            <w:r>
              <w:rPr>
                <w:noProof/>
              </w:rPr>
              <w:t>Analiza upravljanja podacima i upotrebe podataka u pravosudnom sektoru i uvođenje skladišta podataka</w:t>
            </w:r>
          </w:p>
        </w:tc>
        <w:tc>
          <w:tcPr>
            <w:tcW w:w="1843" w:type="dxa"/>
            <w:shd w:val="clear" w:color="auto" w:fill="C6EFCE"/>
            <w:vAlign w:val="center"/>
            <w:hideMark/>
          </w:tcPr>
          <w:p w14:paraId="4C082946" w14:textId="77777777" w:rsidR="00615E2D" w:rsidRDefault="00C83E46">
            <w:pPr>
              <w:pStyle w:val="P68B1DB1-Normal16"/>
              <w:spacing w:before="0" w:after="0" w:line="240" w:lineRule="auto"/>
              <w:rPr>
                <w:rFonts w:eastAsia="Times New Roman"/>
                <w:noProof/>
              </w:rPr>
            </w:pPr>
            <w:r>
              <w:rPr>
                <w:noProof/>
              </w:rPr>
              <w:t>Analizu odobrava Ministarstvo pravosuđa i uvodi se skladište podataka.</w:t>
            </w:r>
          </w:p>
        </w:tc>
        <w:tc>
          <w:tcPr>
            <w:tcW w:w="1077" w:type="dxa"/>
            <w:shd w:val="clear" w:color="auto" w:fill="C6EFCE"/>
            <w:vAlign w:val="center"/>
          </w:tcPr>
          <w:p w14:paraId="70244615" w14:textId="77777777" w:rsidR="00615E2D" w:rsidRDefault="00615E2D">
            <w:pPr>
              <w:spacing w:before="0" w:after="0" w:line="240" w:lineRule="auto"/>
              <w:rPr>
                <w:rFonts w:eastAsia="Times New Roman"/>
                <w:noProof/>
                <w:color w:val="004300"/>
                <w:sz w:val="18"/>
              </w:rPr>
            </w:pPr>
          </w:p>
        </w:tc>
        <w:tc>
          <w:tcPr>
            <w:tcW w:w="1022" w:type="dxa"/>
            <w:shd w:val="clear" w:color="auto" w:fill="C6EFCE"/>
            <w:vAlign w:val="center"/>
          </w:tcPr>
          <w:p w14:paraId="3AA183CC" w14:textId="77777777" w:rsidR="00615E2D" w:rsidRDefault="00615E2D">
            <w:pPr>
              <w:spacing w:before="0" w:after="0" w:line="240" w:lineRule="auto"/>
              <w:jc w:val="center"/>
              <w:rPr>
                <w:rFonts w:eastAsia="Times New Roman"/>
                <w:noProof/>
                <w:color w:val="004300"/>
                <w:sz w:val="18"/>
              </w:rPr>
            </w:pPr>
          </w:p>
        </w:tc>
        <w:tc>
          <w:tcPr>
            <w:tcW w:w="709" w:type="dxa"/>
            <w:shd w:val="clear" w:color="auto" w:fill="C6EFCE"/>
            <w:vAlign w:val="center"/>
          </w:tcPr>
          <w:p w14:paraId="6149FFCD" w14:textId="77777777" w:rsidR="00615E2D" w:rsidRDefault="00615E2D">
            <w:pPr>
              <w:spacing w:before="0" w:after="0" w:line="240" w:lineRule="auto"/>
              <w:jc w:val="center"/>
              <w:rPr>
                <w:rFonts w:eastAsia="Times New Roman"/>
                <w:noProof/>
                <w:color w:val="004300"/>
                <w:sz w:val="18"/>
              </w:rPr>
            </w:pPr>
          </w:p>
        </w:tc>
        <w:tc>
          <w:tcPr>
            <w:tcW w:w="992" w:type="dxa"/>
            <w:shd w:val="clear" w:color="auto" w:fill="C6EFCE"/>
            <w:vAlign w:val="center"/>
            <w:hideMark/>
          </w:tcPr>
          <w:p w14:paraId="6EE73B61" w14:textId="77777777" w:rsidR="00615E2D" w:rsidRDefault="00C83E46">
            <w:pPr>
              <w:pStyle w:val="P68B1DB1-Normal15"/>
              <w:spacing w:before="0" w:after="0" w:line="240" w:lineRule="auto"/>
              <w:jc w:val="center"/>
              <w:rPr>
                <w:noProof/>
              </w:rPr>
            </w:pPr>
            <w:r>
              <w:rPr>
                <w:noProof/>
              </w:rPr>
              <w:t>TROMJESEČJE</w:t>
            </w:r>
          </w:p>
        </w:tc>
        <w:tc>
          <w:tcPr>
            <w:tcW w:w="709" w:type="dxa"/>
            <w:shd w:val="clear" w:color="auto" w:fill="C6EFCE"/>
            <w:vAlign w:val="center"/>
            <w:hideMark/>
          </w:tcPr>
          <w:p w14:paraId="37DDE543" w14:textId="77777777" w:rsidR="00615E2D" w:rsidRDefault="00C83E46">
            <w:pPr>
              <w:pStyle w:val="P68B1DB1-Normal15"/>
              <w:spacing w:before="0" w:after="0" w:line="240" w:lineRule="auto"/>
              <w:jc w:val="center"/>
              <w:rPr>
                <w:noProof/>
              </w:rPr>
            </w:pPr>
            <w:r>
              <w:rPr>
                <w:noProof/>
              </w:rPr>
              <w:t>2022</w:t>
            </w:r>
          </w:p>
        </w:tc>
        <w:tc>
          <w:tcPr>
            <w:tcW w:w="3681" w:type="dxa"/>
            <w:shd w:val="clear" w:color="auto" w:fill="C6EFCE"/>
            <w:vAlign w:val="center"/>
            <w:hideMark/>
          </w:tcPr>
          <w:p w14:paraId="56B0F9E7" w14:textId="77777777" w:rsidR="00615E2D" w:rsidRDefault="00C83E46">
            <w:pPr>
              <w:pStyle w:val="P68B1DB1-Normal16"/>
              <w:spacing w:before="0" w:after="0" w:line="240" w:lineRule="auto"/>
              <w:rPr>
                <w:rFonts w:eastAsia="Times New Roman"/>
                <w:noProof/>
              </w:rPr>
            </w:pPr>
            <w:r>
              <w:rPr>
                <w:noProof/>
              </w:rPr>
              <w:t>Ključna etapa uključuje analizu kojom se mapiraju potrebe sektora pravosuđa i Ministarstva pravosuđa u pogledu upotrebe podataka i upravljanja podacima, što služi kao osnova za pripremu budućih projekata usmjerenih na digitalizaciju sektora te uključuje i uvođenje skladišta podataka za Ministarstvo pravosuđa.</w:t>
            </w:r>
          </w:p>
        </w:tc>
      </w:tr>
      <w:tr w:rsidR="00615E2D" w14:paraId="599F54C0" w14:textId="77777777">
        <w:trPr>
          <w:trHeight w:val="309"/>
          <w:jc w:val="center"/>
        </w:trPr>
        <w:tc>
          <w:tcPr>
            <w:tcW w:w="704" w:type="dxa"/>
            <w:shd w:val="clear" w:color="auto" w:fill="C6EFCE"/>
            <w:vAlign w:val="center"/>
            <w:hideMark/>
          </w:tcPr>
          <w:p w14:paraId="0AB493CB" w14:textId="77777777" w:rsidR="00615E2D" w:rsidRDefault="00C83E46">
            <w:pPr>
              <w:pStyle w:val="P68B1DB1-Normal15"/>
              <w:spacing w:before="0" w:after="0" w:line="240" w:lineRule="auto"/>
              <w:jc w:val="center"/>
              <w:rPr>
                <w:noProof/>
              </w:rPr>
            </w:pPr>
            <w:r>
              <w:rPr>
                <w:noProof/>
              </w:rPr>
              <w:t>30</w:t>
            </w:r>
          </w:p>
        </w:tc>
        <w:tc>
          <w:tcPr>
            <w:tcW w:w="1448" w:type="dxa"/>
            <w:shd w:val="clear" w:color="auto" w:fill="C6EFCE"/>
            <w:vAlign w:val="center"/>
            <w:hideMark/>
          </w:tcPr>
          <w:p w14:paraId="4C968BB1" w14:textId="559FC140" w:rsidR="00615E2D" w:rsidRDefault="00C83E46">
            <w:pPr>
              <w:pStyle w:val="P68B1DB1-Normal15"/>
              <w:spacing w:before="0" w:after="0" w:line="240" w:lineRule="auto"/>
              <w:rPr>
                <w:noProof/>
              </w:rPr>
            </w:pPr>
            <w:r>
              <w:rPr>
                <w:noProof/>
              </w:rPr>
              <w:t>Ulaganje 4:</w:t>
            </w:r>
          </w:p>
          <w:p w14:paraId="4679E0F0" w14:textId="77777777" w:rsidR="00615E2D" w:rsidRDefault="00C83E46">
            <w:pPr>
              <w:pStyle w:val="P68B1DB1-Normal15"/>
              <w:spacing w:before="0" w:after="0" w:line="240" w:lineRule="auto"/>
              <w:rPr>
                <w:noProof/>
              </w:rPr>
            </w:pPr>
            <w:r>
              <w:rPr>
                <w:noProof/>
              </w:rPr>
              <w:t>Stvaranje uvjeta za digitalno pravosuđe</w:t>
            </w:r>
          </w:p>
        </w:tc>
        <w:tc>
          <w:tcPr>
            <w:tcW w:w="1134" w:type="dxa"/>
            <w:shd w:val="clear" w:color="auto" w:fill="C6EFCE"/>
            <w:vAlign w:val="center"/>
            <w:hideMark/>
          </w:tcPr>
          <w:p w14:paraId="4CB736A5" w14:textId="77777777" w:rsidR="00615E2D" w:rsidRDefault="00C83E46">
            <w:pPr>
              <w:pStyle w:val="P68B1DB1-Normal15"/>
              <w:spacing w:before="0" w:after="0" w:line="240" w:lineRule="auto"/>
              <w:rPr>
                <w:noProof/>
              </w:rPr>
            </w:pPr>
            <w:r>
              <w:rPr>
                <w:noProof/>
              </w:rPr>
              <w:t>Ciljna</w:t>
            </w:r>
          </w:p>
        </w:tc>
        <w:tc>
          <w:tcPr>
            <w:tcW w:w="1701" w:type="dxa"/>
            <w:shd w:val="clear" w:color="auto" w:fill="C6EFCE"/>
            <w:vAlign w:val="center"/>
            <w:hideMark/>
          </w:tcPr>
          <w:p w14:paraId="2BB84184" w14:textId="68FFDA7B" w:rsidR="00615E2D" w:rsidRDefault="00C83E46">
            <w:pPr>
              <w:pStyle w:val="P68B1DB1-Normal16"/>
              <w:spacing w:before="0" w:after="0" w:line="240" w:lineRule="auto"/>
              <w:rPr>
                <w:noProof/>
              </w:rPr>
            </w:pPr>
            <w:r>
              <w:rPr>
                <w:noProof/>
              </w:rPr>
              <w:t>Povećanje broja dvorana za konferencije u pravosudnom sustavu koje su novo opremljene i spojene kako bi se omogućile videokonferencije</w:t>
            </w:r>
          </w:p>
        </w:tc>
        <w:tc>
          <w:tcPr>
            <w:tcW w:w="1843" w:type="dxa"/>
            <w:shd w:val="clear" w:color="auto" w:fill="C6EFCE"/>
            <w:vAlign w:val="center"/>
          </w:tcPr>
          <w:p w14:paraId="56B63C2B" w14:textId="77777777" w:rsidR="00615E2D" w:rsidRDefault="00615E2D">
            <w:pPr>
              <w:spacing w:before="0" w:after="0" w:line="240" w:lineRule="auto"/>
              <w:rPr>
                <w:rFonts w:eastAsia="Times New Roman"/>
                <w:noProof/>
                <w:color w:val="004300"/>
                <w:sz w:val="18"/>
              </w:rPr>
            </w:pPr>
          </w:p>
        </w:tc>
        <w:tc>
          <w:tcPr>
            <w:tcW w:w="1077" w:type="dxa"/>
            <w:shd w:val="clear" w:color="auto" w:fill="C6EFCE"/>
            <w:vAlign w:val="center"/>
            <w:hideMark/>
          </w:tcPr>
          <w:p w14:paraId="282F27F2" w14:textId="1D4DE0D5" w:rsidR="00615E2D" w:rsidRDefault="00C83E46">
            <w:pPr>
              <w:pStyle w:val="P68B1DB1-Normal15"/>
              <w:spacing w:before="0" w:after="0" w:line="240" w:lineRule="auto"/>
              <w:rPr>
                <w:noProof/>
              </w:rPr>
            </w:pPr>
            <w:r>
              <w:rPr>
                <w:noProof/>
              </w:rPr>
              <w:t>Broj konferencijskih dvorana</w:t>
            </w:r>
          </w:p>
        </w:tc>
        <w:tc>
          <w:tcPr>
            <w:tcW w:w="1022" w:type="dxa"/>
            <w:shd w:val="clear" w:color="auto" w:fill="C6EFCE"/>
            <w:vAlign w:val="center"/>
            <w:hideMark/>
          </w:tcPr>
          <w:p w14:paraId="341C3F17" w14:textId="77777777" w:rsidR="00615E2D" w:rsidRDefault="00C83E46">
            <w:pPr>
              <w:pStyle w:val="P68B1DB1-Normal15"/>
              <w:spacing w:before="0" w:after="0" w:line="240" w:lineRule="auto"/>
              <w:jc w:val="center"/>
              <w:rPr>
                <w:noProof/>
              </w:rPr>
            </w:pPr>
            <w:r>
              <w:rPr>
                <w:noProof/>
              </w:rPr>
              <w:t>170</w:t>
            </w:r>
          </w:p>
        </w:tc>
        <w:tc>
          <w:tcPr>
            <w:tcW w:w="709" w:type="dxa"/>
            <w:shd w:val="clear" w:color="auto" w:fill="C6EFCE"/>
            <w:vAlign w:val="center"/>
            <w:hideMark/>
          </w:tcPr>
          <w:p w14:paraId="3AAD1678" w14:textId="77777777" w:rsidR="00615E2D" w:rsidRDefault="00C83E46">
            <w:pPr>
              <w:pStyle w:val="P68B1DB1-Normal15"/>
              <w:spacing w:before="0" w:after="0" w:line="240" w:lineRule="auto"/>
              <w:jc w:val="center"/>
              <w:rPr>
                <w:noProof/>
              </w:rPr>
            </w:pPr>
            <w:r>
              <w:rPr>
                <w:noProof/>
              </w:rPr>
              <w:t>470</w:t>
            </w:r>
          </w:p>
        </w:tc>
        <w:tc>
          <w:tcPr>
            <w:tcW w:w="992" w:type="dxa"/>
            <w:shd w:val="clear" w:color="auto" w:fill="C6EFCE"/>
            <w:vAlign w:val="center"/>
            <w:hideMark/>
          </w:tcPr>
          <w:p w14:paraId="1D43CD84"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4D300536" w14:textId="77777777" w:rsidR="00615E2D" w:rsidRDefault="00C83E46">
            <w:pPr>
              <w:pStyle w:val="P68B1DB1-Normal15"/>
              <w:spacing w:before="0" w:after="0" w:line="240" w:lineRule="auto"/>
              <w:jc w:val="center"/>
              <w:rPr>
                <w:noProof/>
              </w:rPr>
            </w:pPr>
            <w:r>
              <w:rPr>
                <w:noProof/>
              </w:rPr>
              <w:t>2022</w:t>
            </w:r>
          </w:p>
        </w:tc>
        <w:tc>
          <w:tcPr>
            <w:tcW w:w="3681" w:type="dxa"/>
            <w:shd w:val="clear" w:color="auto" w:fill="C6EFCE"/>
            <w:vAlign w:val="center"/>
            <w:hideMark/>
          </w:tcPr>
          <w:p w14:paraId="4644D4AA" w14:textId="7513BAFD" w:rsidR="00615E2D" w:rsidRDefault="00C83E46">
            <w:pPr>
              <w:pStyle w:val="P68B1DB1-Normal15"/>
              <w:spacing w:before="0" w:after="0" w:line="240" w:lineRule="auto"/>
              <w:rPr>
                <w:noProof/>
              </w:rPr>
            </w:pPr>
            <w:r>
              <w:rPr>
                <w:noProof/>
              </w:rPr>
              <w:t>Mjerom se povećava broj konferencijskih dvorana opremljenih videokonferencijskim alatima.</w:t>
            </w:r>
          </w:p>
        </w:tc>
      </w:tr>
      <w:tr w:rsidR="00615E2D" w14:paraId="7578D05C" w14:textId="77777777">
        <w:trPr>
          <w:trHeight w:val="309"/>
          <w:jc w:val="center"/>
        </w:trPr>
        <w:tc>
          <w:tcPr>
            <w:tcW w:w="704" w:type="dxa"/>
            <w:shd w:val="clear" w:color="auto" w:fill="C6EFCE"/>
            <w:vAlign w:val="center"/>
            <w:hideMark/>
          </w:tcPr>
          <w:p w14:paraId="50831F2B" w14:textId="77777777" w:rsidR="00615E2D" w:rsidRDefault="00C83E46">
            <w:pPr>
              <w:pStyle w:val="P68B1DB1-Normal15"/>
              <w:spacing w:before="0" w:after="0" w:line="240" w:lineRule="auto"/>
              <w:jc w:val="center"/>
              <w:rPr>
                <w:noProof/>
              </w:rPr>
            </w:pPr>
            <w:r>
              <w:rPr>
                <w:noProof/>
              </w:rPr>
              <w:t>31</w:t>
            </w:r>
          </w:p>
        </w:tc>
        <w:tc>
          <w:tcPr>
            <w:tcW w:w="1448" w:type="dxa"/>
            <w:shd w:val="clear" w:color="auto" w:fill="C6EFCE"/>
            <w:vAlign w:val="center"/>
            <w:hideMark/>
          </w:tcPr>
          <w:p w14:paraId="514F9128" w14:textId="73C9E61C" w:rsidR="00615E2D" w:rsidRDefault="00C83E46">
            <w:pPr>
              <w:pStyle w:val="P68B1DB1-Normal15"/>
              <w:spacing w:before="0" w:after="0" w:line="240" w:lineRule="auto"/>
              <w:rPr>
                <w:noProof/>
              </w:rPr>
            </w:pPr>
            <w:r>
              <w:rPr>
                <w:noProof/>
              </w:rPr>
              <w:t>Ulaganje 4:</w:t>
            </w:r>
          </w:p>
          <w:p w14:paraId="748091E1" w14:textId="77777777" w:rsidR="00615E2D" w:rsidRDefault="00C83E46">
            <w:pPr>
              <w:pStyle w:val="P68B1DB1-Normal15"/>
              <w:spacing w:before="0" w:after="0" w:line="240" w:lineRule="auto"/>
              <w:rPr>
                <w:noProof/>
              </w:rPr>
            </w:pPr>
            <w:r>
              <w:rPr>
                <w:noProof/>
              </w:rPr>
              <w:t>Stvaranje uvjeta za digitalno pravosuđe</w:t>
            </w:r>
          </w:p>
        </w:tc>
        <w:tc>
          <w:tcPr>
            <w:tcW w:w="1134" w:type="dxa"/>
            <w:shd w:val="clear" w:color="auto" w:fill="C6EFCE"/>
            <w:vAlign w:val="center"/>
            <w:hideMark/>
          </w:tcPr>
          <w:p w14:paraId="03696997" w14:textId="77777777" w:rsidR="00615E2D" w:rsidRDefault="00C83E46">
            <w:pPr>
              <w:pStyle w:val="P68B1DB1-Normal15"/>
              <w:spacing w:before="0" w:after="0" w:line="240" w:lineRule="auto"/>
              <w:rPr>
                <w:noProof/>
              </w:rPr>
            </w:pPr>
            <w:r>
              <w:rPr>
                <w:noProof/>
              </w:rPr>
              <w:t>Ciljna</w:t>
            </w:r>
          </w:p>
        </w:tc>
        <w:tc>
          <w:tcPr>
            <w:tcW w:w="1701" w:type="dxa"/>
            <w:shd w:val="clear" w:color="auto" w:fill="C6EFCE"/>
            <w:vAlign w:val="center"/>
            <w:hideMark/>
          </w:tcPr>
          <w:p w14:paraId="7E047B47" w14:textId="77777777" w:rsidR="00615E2D" w:rsidRDefault="00C83E46">
            <w:pPr>
              <w:pStyle w:val="P68B1DB1-Normal15"/>
              <w:spacing w:before="0" w:after="0" w:line="240" w:lineRule="auto"/>
              <w:rPr>
                <w:noProof/>
              </w:rPr>
            </w:pPr>
            <w:r>
              <w:rPr>
                <w:noProof/>
              </w:rPr>
              <w:t>Povećanje kapaciteta za pohranu podataka</w:t>
            </w:r>
          </w:p>
        </w:tc>
        <w:tc>
          <w:tcPr>
            <w:tcW w:w="1843" w:type="dxa"/>
            <w:shd w:val="clear" w:color="auto" w:fill="C6EFCE"/>
            <w:vAlign w:val="center"/>
          </w:tcPr>
          <w:p w14:paraId="0CFA4031" w14:textId="77777777" w:rsidR="00615E2D" w:rsidRDefault="00615E2D">
            <w:pPr>
              <w:spacing w:before="0" w:after="0" w:line="240" w:lineRule="auto"/>
              <w:rPr>
                <w:rFonts w:eastAsia="Times New Roman"/>
                <w:noProof/>
                <w:color w:val="004300"/>
                <w:sz w:val="18"/>
              </w:rPr>
            </w:pPr>
          </w:p>
        </w:tc>
        <w:tc>
          <w:tcPr>
            <w:tcW w:w="1077" w:type="dxa"/>
            <w:shd w:val="clear" w:color="auto" w:fill="C6EFCE"/>
            <w:vAlign w:val="center"/>
            <w:hideMark/>
          </w:tcPr>
          <w:p w14:paraId="777D52C4" w14:textId="44E3B259" w:rsidR="00615E2D" w:rsidRDefault="00C83E46">
            <w:pPr>
              <w:pStyle w:val="P68B1DB1-Normal15"/>
              <w:spacing w:before="0" w:after="0" w:line="240" w:lineRule="auto"/>
              <w:rPr>
                <w:noProof/>
              </w:rPr>
            </w:pPr>
            <w:r>
              <w:rPr>
                <w:noProof/>
              </w:rPr>
              <w:t>Petabajt</w:t>
            </w:r>
          </w:p>
        </w:tc>
        <w:tc>
          <w:tcPr>
            <w:tcW w:w="1022" w:type="dxa"/>
            <w:shd w:val="clear" w:color="auto" w:fill="C6EFCE"/>
            <w:vAlign w:val="center"/>
            <w:hideMark/>
          </w:tcPr>
          <w:p w14:paraId="1DDD2789" w14:textId="77777777" w:rsidR="00615E2D" w:rsidRDefault="00C83E46">
            <w:pPr>
              <w:pStyle w:val="P68B1DB1-Normal15"/>
              <w:spacing w:before="0" w:after="0" w:line="240" w:lineRule="auto"/>
              <w:jc w:val="center"/>
              <w:rPr>
                <w:noProof/>
              </w:rPr>
            </w:pPr>
            <w:r>
              <w:rPr>
                <w:noProof/>
              </w:rPr>
              <w:t>2</w:t>
            </w:r>
          </w:p>
        </w:tc>
        <w:tc>
          <w:tcPr>
            <w:tcW w:w="709" w:type="dxa"/>
            <w:shd w:val="clear" w:color="auto" w:fill="C6EFCE"/>
            <w:vAlign w:val="center"/>
            <w:hideMark/>
          </w:tcPr>
          <w:p w14:paraId="48426FD6" w14:textId="77777777" w:rsidR="00615E2D" w:rsidRDefault="00C83E46">
            <w:pPr>
              <w:pStyle w:val="P68B1DB1-Normal15"/>
              <w:spacing w:before="0" w:after="0" w:line="240" w:lineRule="auto"/>
              <w:jc w:val="center"/>
              <w:rPr>
                <w:noProof/>
              </w:rPr>
            </w:pPr>
            <w:r>
              <w:rPr>
                <w:noProof/>
              </w:rPr>
              <w:t>4</w:t>
            </w:r>
          </w:p>
        </w:tc>
        <w:tc>
          <w:tcPr>
            <w:tcW w:w="992" w:type="dxa"/>
            <w:shd w:val="clear" w:color="auto" w:fill="C6EFCE"/>
            <w:vAlign w:val="center"/>
            <w:hideMark/>
          </w:tcPr>
          <w:p w14:paraId="37C94001" w14:textId="77777777" w:rsidR="00615E2D" w:rsidRDefault="00C83E46">
            <w:pPr>
              <w:pStyle w:val="P68B1DB1-Normal15"/>
              <w:spacing w:before="0" w:after="0" w:line="240" w:lineRule="auto"/>
              <w:jc w:val="center"/>
              <w:rPr>
                <w:noProof/>
              </w:rPr>
            </w:pPr>
            <w:r>
              <w:rPr>
                <w:noProof/>
              </w:rPr>
              <w:t>ČETVRTO TROMJESEČJE</w:t>
            </w:r>
          </w:p>
        </w:tc>
        <w:tc>
          <w:tcPr>
            <w:tcW w:w="709" w:type="dxa"/>
            <w:shd w:val="clear" w:color="auto" w:fill="C6EFCE"/>
            <w:vAlign w:val="center"/>
            <w:hideMark/>
          </w:tcPr>
          <w:p w14:paraId="3EA94958" w14:textId="77777777" w:rsidR="00615E2D" w:rsidRDefault="00C83E46">
            <w:pPr>
              <w:pStyle w:val="P68B1DB1-Normal15"/>
              <w:spacing w:before="0" w:after="0" w:line="240" w:lineRule="auto"/>
              <w:jc w:val="center"/>
              <w:rPr>
                <w:noProof/>
              </w:rPr>
            </w:pPr>
            <w:r>
              <w:rPr>
                <w:noProof/>
              </w:rPr>
              <w:t>2024</w:t>
            </w:r>
          </w:p>
        </w:tc>
        <w:tc>
          <w:tcPr>
            <w:tcW w:w="3681" w:type="dxa"/>
            <w:shd w:val="clear" w:color="auto" w:fill="C6EFCE"/>
            <w:vAlign w:val="center"/>
            <w:hideMark/>
          </w:tcPr>
          <w:p w14:paraId="7F6F8CC8" w14:textId="3336AEBB" w:rsidR="00615E2D" w:rsidRDefault="00C83E46">
            <w:pPr>
              <w:pStyle w:val="P68B1DB1-Normal15"/>
              <w:spacing w:before="0" w:after="0" w:line="240" w:lineRule="auto"/>
              <w:rPr>
                <w:noProof/>
              </w:rPr>
            </w:pPr>
            <w:r>
              <w:rPr>
                <w:noProof/>
              </w:rPr>
              <w:t>Mjerom se povećava kapacitet Ministarstva pravosuđa za pohranu podataka jačanjem infrastrukture za digitalna radna mjesta i rad na daljinu.</w:t>
            </w:r>
          </w:p>
        </w:tc>
      </w:tr>
    </w:tbl>
    <w:p w14:paraId="36DE556E" w14:textId="77777777" w:rsidR="00615E2D" w:rsidRDefault="00615E2D">
      <w:pPr>
        <w:pBdr>
          <w:top w:val="nil"/>
          <w:left w:val="nil"/>
          <w:bottom w:val="nil"/>
          <w:right w:val="nil"/>
          <w:between w:val="nil"/>
        </w:pBdr>
        <w:spacing w:line="240" w:lineRule="auto"/>
        <w:rPr>
          <w:rFonts w:ascii="Calibri" w:hAnsi="Calibri"/>
          <w:b/>
          <w:noProof/>
          <w:color w:val="000000"/>
          <w:sz w:val="22"/>
          <w:u w:val="single"/>
        </w:rPr>
        <w:sectPr w:rsidR="00615E2D" w:rsidSect="001932DE">
          <w:headerReference w:type="even" r:id="rId48"/>
          <w:headerReference w:type="default" r:id="rId49"/>
          <w:footerReference w:type="even" r:id="rId50"/>
          <w:footerReference w:type="default" r:id="rId51"/>
          <w:headerReference w:type="first" r:id="rId52"/>
          <w:footerReference w:type="first" r:id="rId53"/>
          <w:pgSz w:w="16839" w:h="11907" w:orient="landscape"/>
          <w:pgMar w:top="1134" w:right="1134" w:bottom="1134" w:left="1134" w:header="567" w:footer="567" w:gutter="0"/>
          <w:cols w:space="720"/>
          <w:docGrid w:linePitch="326"/>
        </w:sectPr>
      </w:pPr>
    </w:p>
    <w:p w14:paraId="68DF84A2" w14:textId="47C0C084" w:rsidR="00615E2D" w:rsidRDefault="00C83E46">
      <w:pPr>
        <w:pStyle w:val="P68B1DB1-Normal5"/>
        <w:spacing w:line="240" w:lineRule="auto"/>
        <w:jc w:val="both"/>
        <w:rPr>
          <w:noProof/>
        </w:rPr>
      </w:pPr>
      <w:r>
        <w:rPr>
          <w:noProof/>
        </w:rPr>
        <w:t>B.3. Opis reformi i ulaganja za zajam</w:t>
      </w:r>
    </w:p>
    <w:p w14:paraId="5EA27F6B" w14:textId="21E54B66" w:rsidR="00615E2D" w:rsidRDefault="00C83E46">
      <w:pPr>
        <w:pStyle w:val="P68B1DB1-P68B1DB1-Normln3517"/>
        <w:widowControl w:val="0"/>
        <w:spacing w:after="0" w:line="240" w:lineRule="auto"/>
        <w:jc w:val="both"/>
        <w:rPr>
          <w:noProof/>
        </w:rPr>
      </w:pPr>
      <w:r>
        <w:rPr>
          <w:noProof/>
        </w:rPr>
        <w:t>Ulaganje 5: Dodatna sredstva za ulaganja u kibersigurnost</w:t>
      </w:r>
    </w:p>
    <w:p w14:paraId="1AFF0B08" w14:textId="3A6D99EB" w:rsidR="00615E2D" w:rsidRDefault="00C83E46">
      <w:pPr>
        <w:pStyle w:val="P68B1DB1-Normal13"/>
        <w:spacing w:line="240" w:lineRule="auto"/>
        <w:jc w:val="both"/>
        <w:rPr>
          <w:noProof/>
        </w:rPr>
      </w:pPr>
      <w:r>
        <w:rPr>
          <w:noProof/>
        </w:rPr>
        <w:t>Cilj je ulaganja dodatno ojačati ulaganja u kibersigurnost u okviru bespovratne financijske potpore povećanjem broja informacijskih sustava čija je kibersigurnost ojačana u skladu sa Zakonom o kibersigurnosti br. 181/2014 zb. na 244 javna informacijska sustava.</w:t>
      </w:r>
    </w:p>
    <w:p w14:paraId="4556FF9B" w14:textId="77777777" w:rsidR="00615E2D" w:rsidRDefault="00C83E46">
      <w:pPr>
        <w:pStyle w:val="P68B1DB1-Normal13"/>
        <w:spacing w:line="240" w:lineRule="auto"/>
        <w:jc w:val="both"/>
        <w:rPr>
          <w:noProof/>
        </w:rPr>
      </w:pPr>
      <w:r>
        <w:rPr>
          <w:noProof/>
        </w:rPr>
        <w:t>Ulaganje se provodi do 31. prosinca 2025.</w:t>
      </w:r>
    </w:p>
    <w:p w14:paraId="61F023AD" w14:textId="748A548E" w:rsidR="00615E2D" w:rsidRDefault="00C83E46">
      <w:pPr>
        <w:pStyle w:val="P68B1DB1-Normal18"/>
        <w:spacing w:line="240" w:lineRule="auto"/>
        <w:jc w:val="both"/>
        <w:rPr>
          <w:noProof/>
        </w:rPr>
      </w:pPr>
      <w:r>
        <w:rPr>
          <w:noProof/>
        </w:rPr>
        <w:t>Ulaganje 6: Razvoj informacijskih sustava u socijalnom području</w:t>
      </w:r>
    </w:p>
    <w:p w14:paraId="5495821B" w14:textId="36A5600D" w:rsidR="00615E2D" w:rsidRDefault="00C83E46">
      <w:pPr>
        <w:pStyle w:val="P68B1DB1-P68B1DB1-Normln3519"/>
        <w:widowControl w:val="0"/>
        <w:spacing w:after="0" w:line="240" w:lineRule="auto"/>
        <w:jc w:val="both"/>
        <w:rPr>
          <w:noProof/>
        </w:rPr>
      </w:pPr>
      <w:r>
        <w:rPr>
          <w:noProof/>
        </w:rPr>
        <w:t>Cilj je ulaganja modernizirati informacijske sustave javne uprave u području socijalne politike nadogradnjom najmanje šest informacijskih sustava, uključujući elektroničku razmjenu informacija o socijalnoj sigurnosti (EESSI), modernizaciju softverske infrastrukture u Ministarstvu rada i socijalnih pitanja, digitalizaciju mirovinskog programa (EDA) i potporu pri podnošenju zahtjeva za donošenje odluka.</w:t>
      </w:r>
    </w:p>
    <w:p w14:paraId="77628D34" w14:textId="01629B2F" w:rsidR="00615E2D" w:rsidRDefault="00C83E46">
      <w:pPr>
        <w:pStyle w:val="P68B1DB1-P68B1DB1-Normln3519"/>
        <w:widowControl w:val="0"/>
        <w:spacing w:after="0" w:line="240" w:lineRule="auto"/>
        <w:jc w:val="both"/>
        <w:rPr>
          <w:noProof/>
        </w:rPr>
        <w:sectPr w:rsidR="00615E2D" w:rsidSect="001932DE">
          <w:headerReference w:type="even" r:id="rId54"/>
          <w:headerReference w:type="default" r:id="rId55"/>
          <w:footerReference w:type="even" r:id="rId56"/>
          <w:footerReference w:type="default" r:id="rId57"/>
          <w:headerReference w:type="first" r:id="rId58"/>
          <w:footerReference w:type="first" r:id="rId59"/>
          <w:pgSz w:w="11907" w:h="16839"/>
          <w:pgMar w:top="1134" w:right="1134" w:bottom="1134" w:left="1134" w:header="567" w:footer="567" w:gutter="0"/>
          <w:cols w:space="720"/>
          <w:docGrid w:linePitch="360"/>
        </w:sectPr>
      </w:pPr>
      <w:r>
        <w:rPr>
          <w:noProof/>
        </w:rPr>
        <w:t>Ulaganje se provodi do 30. lipnja 2026.</w:t>
      </w:r>
    </w:p>
    <w:p w14:paraId="6584B89F" w14:textId="0A6B20C2" w:rsidR="00615E2D" w:rsidRDefault="00C83E46">
      <w:pPr>
        <w:pStyle w:val="P68B1DB1-Normal8"/>
        <w:pBdr>
          <w:top w:val="nil"/>
          <w:left w:val="nil"/>
          <w:bottom w:val="nil"/>
          <w:right w:val="nil"/>
          <w:between w:val="nil"/>
        </w:pBdr>
        <w:spacing w:line="240" w:lineRule="auto"/>
        <w:jc w:val="both"/>
        <w:rPr>
          <w:noProof/>
        </w:rPr>
      </w:pPr>
      <w:r>
        <w:rPr>
          <w:noProof/>
        </w:rPr>
        <w:t>B.4. Ključne etape, ciljne vrijednosti, pokazatelji i vremenski raspored za praćenje i provedbu zajma</w:t>
      </w: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1"/>
        <w:gridCol w:w="1330"/>
        <w:gridCol w:w="1046"/>
        <w:gridCol w:w="1557"/>
        <w:gridCol w:w="1174"/>
        <w:gridCol w:w="1455"/>
        <w:gridCol w:w="1046"/>
        <w:gridCol w:w="662"/>
        <w:gridCol w:w="918"/>
        <w:gridCol w:w="662"/>
        <w:gridCol w:w="4083"/>
      </w:tblGrid>
      <w:tr w:rsidR="00615E2D" w14:paraId="71AD521D" w14:textId="77777777">
        <w:trPr>
          <w:trHeight w:val="615"/>
          <w:tblHeader/>
          <w:jc w:val="center"/>
        </w:trPr>
        <w:tc>
          <w:tcPr>
            <w:tcW w:w="675" w:type="dxa"/>
            <w:vMerge w:val="restart"/>
            <w:shd w:val="clear" w:color="auto" w:fill="BDD7EE"/>
            <w:vAlign w:val="center"/>
          </w:tcPr>
          <w:p w14:paraId="0DA2533F" w14:textId="77777777" w:rsidR="00615E2D" w:rsidRDefault="00C83E46">
            <w:pPr>
              <w:pStyle w:val="P68B1DB1-Normal9"/>
              <w:spacing w:line="240" w:lineRule="auto"/>
              <w:jc w:val="center"/>
              <w:rPr>
                <w:noProof/>
              </w:rPr>
            </w:pPr>
            <w:r>
              <w:rPr>
                <w:noProof/>
              </w:rPr>
              <w:t xml:space="preserve">Sljedeće NUM. </w:t>
            </w:r>
          </w:p>
        </w:tc>
        <w:tc>
          <w:tcPr>
            <w:tcW w:w="1449" w:type="dxa"/>
            <w:vMerge w:val="restart"/>
            <w:shd w:val="clear" w:color="auto" w:fill="BDD7EE"/>
            <w:vAlign w:val="center"/>
          </w:tcPr>
          <w:p w14:paraId="276058ED" w14:textId="77777777" w:rsidR="00615E2D" w:rsidRDefault="00C83E46">
            <w:pPr>
              <w:pStyle w:val="P68B1DB1-Normal9"/>
              <w:spacing w:line="240" w:lineRule="auto"/>
              <w:jc w:val="center"/>
              <w:rPr>
                <w:noProof/>
              </w:rPr>
            </w:pPr>
            <w:r>
              <w:rPr>
                <w:noProof/>
              </w:rPr>
              <w:t xml:space="preserve">Povezana mjera (reforma ili ulaganje) </w:t>
            </w:r>
          </w:p>
        </w:tc>
        <w:tc>
          <w:tcPr>
            <w:tcW w:w="1134" w:type="dxa"/>
            <w:vMerge w:val="restart"/>
            <w:shd w:val="clear" w:color="auto" w:fill="BDD7EE"/>
            <w:vAlign w:val="center"/>
          </w:tcPr>
          <w:p w14:paraId="3640490D" w14:textId="77777777" w:rsidR="00615E2D" w:rsidRDefault="00C83E46">
            <w:pPr>
              <w:pStyle w:val="P68B1DB1-Normal9"/>
              <w:spacing w:line="240" w:lineRule="auto"/>
              <w:jc w:val="center"/>
              <w:rPr>
                <w:noProof/>
              </w:rPr>
            </w:pPr>
            <w:r>
              <w:rPr>
                <w:noProof/>
              </w:rPr>
              <w:t xml:space="preserve">Ključna etapa/ciljna vrijednost </w:t>
            </w:r>
          </w:p>
        </w:tc>
        <w:tc>
          <w:tcPr>
            <w:tcW w:w="1701" w:type="dxa"/>
            <w:vMerge w:val="restart"/>
            <w:shd w:val="clear" w:color="auto" w:fill="BDD7EE"/>
            <w:vAlign w:val="center"/>
          </w:tcPr>
          <w:p w14:paraId="5B3F401A" w14:textId="77777777" w:rsidR="00615E2D" w:rsidRDefault="00C83E46">
            <w:pPr>
              <w:pStyle w:val="P68B1DB1-Normal9"/>
              <w:spacing w:line="240" w:lineRule="auto"/>
              <w:jc w:val="center"/>
              <w:rPr>
                <w:noProof/>
              </w:rPr>
            </w:pPr>
            <w:r>
              <w:rPr>
                <w:noProof/>
              </w:rPr>
              <w:t>Ime</w:t>
            </w:r>
          </w:p>
        </w:tc>
        <w:tc>
          <w:tcPr>
            <w:tcW w:w="1276" w:type="dxa"/>
            <w:vMerge w:val="restart"/>
            <w:shd w:val="clear" w:color="auto" w:fill="BDD7EE"/>
            <w:vAlign w:val="center"/>
          </w:tcPr>
          <w:p w14:paraId="248B111F" w14:textId="77777777" w:rsidR="00615E2D" w:rsidRDefault="00C83E46">
            <w:pPr>
              <w:pStyle w:val="P68B1DB1-Normal12"/>
              <w:spacing w:line="240" w:lineRule="auto"/>
              <w:jc w:val="center"/>
              <w:rPr>
                <w:rFonts w:eastAsia="Times New Roman"/>
                <w:noProof/>
              </w:rPr>
            </w:pPr>
            <w:r>
              <w:rPr>
                <w:rFonts w:eastAsia="Times New Roman"/>
                <w:b/>
                <w:noProof/>
              </w:rPr>
              <w:t>Kvalitativni pokazatelji</w:t>
            </w:r>
            <w:r>
              <w:rPr>
                <w:noProof/>
              </w:rPr>
              <w:br/>
            </w:r>
            <w:r>
              <w:rPr>
                <w:rFonts w:eastAsia="Times New Roman"/>
                <w:b/>
                <w:noProof/>
              </w:rPr>
              <w:t xml:space="preserve"> (za ključne etape) </w:t>
            </w:r>
          </w:p>
        </w:tc>
        <w:tc>
          <w:tcPr>
            <w:tcW w:w="2268" w:type="dxa"/>
            <w:gridSpan w:val="3"/>
            <w:shd w:val="clear" w:color="auto" w:fill="BDD7EE"/>
            <w:vAlign w:val="center"/>
          </w:tcPr>
          <w:p w14:paraId="061C866A" w14:textId="77777777" w:rsidR="00615E2D" w:rsidRDefault="00C83E46">
            <w:pPr>
              <w:pStyle w:val="P68B1DB1-Normal12"/>
              <w:spacing w:line="240" w:lineRule="auto"/>
              <w:jc w:val="center"/>
              <w:rPr>
                <w:rFonts w:eastAsia="Times New Roman"/>
                <w:noProof/>
              </w:rPr>
            </w:pPr>
            <w:r>
              <w:rPr>
                <w:rFonts w:eastAsia="Times New Roman"/>
                <w:b/>
                <w:noProof/>
              </w:rPr>
              <w:t>Kvantitativni pokazatelji</w:t>
            </w:r>
            <w:r>
              <w:rPr>
                <w:noProof/>
              </w:rPr>
              <w:br/>
            </w:r>
            <w:r>
              <w:rPr>
                <w:rFonts w:eastAsia="Times New Roman"/>
                <w:b/>
                <w:noProof/>
              </w:rPr>
              <w:t xml:space="preserve"> (za ciljeve)</w:t>
            </w:r>
          </w:p>
        </w:tc>
        <w:tc>
          <w:tcPr>
            <w:tcW w:w="1701" w:type="dxa"/>
            <w:gridSpan w:val="2"/>
            <w:shd w:val="clear" w:color="auto" w:fill="BDD7EE"/>
            <w:vAlign w:val="center"/>
          </w:tcPr>
          <w:p w14:paraId="0F5D542C" w14:textId="77777777" w:rsidR="00615E2D" w:rsidRDefault="00C83E46">
            <w:pPr>
              <w:pStyle w:val="P68B1DB1-Normal9"/>
              <w:spacing w:line="240" w:lineRule="auto"/>
              <w:jc w:val="center"/>
              <w:rPr>
                <w:noProof/>
              </w:rPr>
            </w:pPr>
            <w:r>
              <w:rPr>
                <w:noProof/>
              </w:rPr>
              <w:t>Okvirni vremenski okvir za dovršetak</w:t>
            </w:r>
          </w:p>
        </w:tc>
        <w:tc>
          <w:tcPr>
            <w:tcW w:w="4502" w:type="dxa"/>
            <w:vMerge w:val="restart"/>
            <w:shd w:val="clear" w:color="auto" w:fill="BDD7EE"/>
            <w:vAlign w:val="center"/>
          </w:tcPr>
          <w:p w14:paraId="0A72D04A"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01688C00" w14:textId="77777777">
        <w:trPr>
          <w:trHeight w:val="159"/>
          <w:tblHeader/>
          <w:jc w:val="center"/>
        </w:trPr>
        <w:tc>
          <w:tcPr>
            <w:tcW w:w="675" w:type="dxa"/>
            <w:vMerge/>
            <w:vAlign w:val="center"/>
          </w:tcPr>
          <w:p w14:paraId="21341B52"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449" w:type="dxa"/>
            <w:vMerge/>
            <w:vAlign w:val="center"/>
          </w:tcPr>
          <w:p w14:paraId="6708EB22"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34" w:type="dxa"/>
            <w:vMerge/>
            <w:vAlign w:val="center"/>
          </w:tcPr>
          <w:p w14:paraId="5C316917"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701" w:type="dxa"/>
            <w:vMerge/>
            <w:vAlign w:val="center"/>
          </w:tcPr>
          <w:p w14:paraId="6E998D37"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276" w:type="dxa"/>
            <w:vMerge/>
            <w:vAlign w:val="center"/>
          </w:tcPr>
          <w:p w14:paraId="13CB6C79"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588" w:type="dxa"/>
            <w:shd w:val="clear" w:color="auto" w:fill="BDD7EE"/>
            <w:vAlign w:val="center"/>
          </w:tcPr>
          <w:p w14:paraId="7E0D0A3C" w14:textId="77777777" w:rsidR="00615E2D" w:rsidRDefault="00C83E46">
            <w:pPr>
              <w:pStyle w:val="P68B1DB1-Normal9"/>
              <w:spacing w:line="240" w:lineRule="auto"/>
              <w:jc w:val="center"/>
              <w:rPr>
                <w:noProof/>
              </w:rPr>
            </w:pPr>
            <w:r>
              <w:rPr>
                <w:noProof/>
              </w:rPr>
              <w:t>Jedinica mjere</w:t>
            </w:r>
          </w:p>
        </w:tc>
        <w:tc>
          <w:tcPr>
            <w:tcW w:w="1134" w:type="dxa"/>
            <w:shd w:val="clear" w:color="auto" w:fill="BDD7EE"/>
            <w:vAlign w:val="center"/>
          </w:tcPr>
          <w:p w14:paraId="554EAD69" w14:textId="77777777" w:rsidR="00615E2D" w:rsidRDefault="00C83E46">
            <w:pPr>
              <w:pStyle w:val="P68B1DB1-Normal9"/>
              <w:spacing w:line="240" w:lineRule="auto"/>
              <w:jc w:val="center"/>
              <w:rPr>
                <w:noProof/>
              </w:rPr>
            </w:pPr>
            <w:r>
              <w:rPr>
                <w:noProof/>
              </w:rPr>
              <w:t>Osnovna vrijednost</w:t>
            </w:r>
          </w:p>
        </w:tc>
        <w:tc>
          <w:tcPr>
            <w:tcW w:w="709" w:type="dxa"/>
            <w:shd w:val="clear" w:color="auto" w:fill="BDD7EE"/>
            <w:vAlign w:val="center"/>
          </w:tcPr>
          <w:p w14:paraId="465F7AAC" w14:textId="77777777" w:rsidR="00615E2D" w:rsidRDefault="00C83E46">
            <w:pPr>
              <w:pStyle w:val="P68B1DB1-Normal9"/>
              <w:spacing w:line="240" w:lineRule="auto"/>
              <w:jc w:val="center"/>
              <w:rPr>
                <w:noProof/>
              </w:rPr>
            </w:pPr>
            <w:r>
              <w:rPr>
                <w:noProof/>
              </w:rPr>
              <w:t>Cilj</w:t>
            </w:r>
          </w:p>
        </w:tc>
        <w:tc>
          <w:tcPr>
            <w:tcW w:w="992" w:type="dxa"/>
            <w:shd w:val="clear" w:color="auto" w:fill="BDD7EE"/>
            <w:vAlign w:val="center"/>
          </w:tcPr>
          <w:p w14:paraId="57F1F70B" w14:textId="77777777" w:rsidR="00615E2D" w:rsidRDefault="00C83E46">
            <w:pPr>
              <w:pStyle w:val="P68B1DB1-Normal9"/>
              <w:spacing w:line="240" w:lineRule="auto"/>
              <w:jc w:val="center"/>
              <w:rPr>
                <w:noProof/>
              </w:rPr>
            </w:pPr>
            <w:r>
              <w:rPr>
                <w:noProof/>
              </w:rPr>
              <w:t>Tromjesečje</w:t>
            </w:r>
          </w:p>
        </w:tc>
        <w:tc>
          <w:tcPr>
            <w:tcW w:w="709" w:type="dxa"/>
            <w:shd w:val="clear" w:color="auto" w:fill="BDD7EE"/>
            <w:vAlign w:val="center"/>
          </w:tcPr>
          <w:p w14:paraId="789F43AC" w14:textId="77777777" w:rsidR="00615E2D" w:rsidRDefault="00C83E46">
            <w:pPr>
              <w:pStyle w:val="P68B1DB1-Normal9"/>
              <w:spacing w:line="240" w:lineRule="auto"/>
              <w:jc w:val="center"/>
              <w:rPr>
                <w:noProof/>
              </w:rPr>
            </w:pPr>
            <w:r>
              <w:rPr>
                <w:noProof/>
              </w:rPr>
              <w:t>Godina</w:t>
            </w:r>
          </w:p>
        </w:tc>
        <w:tc>
          <w:tcPr>
            <w:tcW w:w="4502" w:type="dxa"/>
            <w:vMerge/>
            <w:vAlign w:val="center"/>
          </w:tcPr>
          <w:p w14:paraId="10F42628"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r>
      <w:tr w:rsidR="00615E2D" w14:paraId="5B6483FF" w14:textId="77777777">
        <w:trPr>
          <w:trHeight w:val="945"/>
          <w:jc w:val="center"/>
        </w:trPr>
        <w:tc>
          <w:tcPr>
            <w:tcW w:w="675" w:type="dxa"/>
            <w:shd w:val="clear" w:color="auto" w:fill="C6EFCE"/>
            <w:vAlign w:val="center"/>
          </w:tcPr>
          <w:p w14:paraId="22CF89B5" w14:textId="37248A01" w:rsidR="00615E2D" w:rsidRDefault="00C83E46">
            <w:pPr>
              <w:pStyle w:val="P68B1DB1-Normal15"/>
              <w:spacing w:line="240" w:lineRule="auto"/>
              <w:jc w:val="center"/>
              <w:rPr>
                <w:noProof/>
              </w:rPr>
            </w:pPr>
            <w:r>
              <w:rPr>
                <w:noProof/>
              </w:rPr>
              <w:t>247</w:t>
            </w:r>
          </w:p>
        </w:tc>
        <w:tc>
          <w:tcPr>
            <w:tcW w:w="1449" w:type="dxa"/>
            <w:shd w:val="clear" w:color="auto" w:fill="C6EFCE"/>
            <w:vAlign w:val="center"/>
          </w:tcPr>
          <w:p w14:paraId="0EE2B6F4" w14:textId="79DAB6E1" w:rsidR="00615E2D" w:rsidRDefault="00C83E46">
            <w:pPr>
              <w:pStyle w:val="P68B1DB1-Normal16"/>
              <w:spacing w:before="0" w:after="0" w:line="240" w:lineRule="auto"/>
              <w:rPr>
                <w:noProof/>
              </w:rPr>
            </w:pPr>
            <w:r>
              <w:rPr>
                <w:noProof/>
              </w:rPr>
              <w:t>Ulaganje 5: Dodatna sredstva za ulaganja u kibersigurnost</w:t>
            </w:r>
          </w:p>
        </w:tc>
        <w:tc>
          <w:tcPr>
            <w:tcW w:w="1134" w:type="dxa"/>
            <w:shd w:val="clear" w:color="auto" w:fill="C6EFCE"/>
            <w:vAlign w:val="center"/>
          </w:tcPr>
          <w:p w14:paraId="2A917796" w14:textId="16773C00" w:rsidR="00615E2D" w:rsidRDefault="00C83E46">
            <w:pPr>
              <w:pStyle w:val="P68B1DB1-Normal16"/>
              <w:spacing w:line="240" w:lineRule="auto"/>
              <w:rPr>
                <w:rFonts w:eastAsia="Times New Roman"/>
                <w:noProof/>
                <w:color w:val="006100"/>
              </w:rPr>
            </w:pPr>
            <w:r>
              <w:rPr>
                <w:noProof/>
              </w:rPr>
              <w:t>Prekretnica</w:t>
            </w:r>
          </w:p>
        </w:tc>
        <w:tc>
          <w:tcPr>
            <w:tcW w:w="1701" w:type="dxa"/>
            <w:shd w:val="clear" w:color="auto" w:fill="C6EFCE"/>
            <w:vAlign w:val="center"/>
          </w:tcPr>
          <w:p w14:paraId="29A57585" w14:textId="2F0A8273" w:rsidR="00615E2D" w:rsidRDefault="00C83E46">
            <w:pPr>
              <w:pStyle w:val="P68B1DB1-Normal16"/>
              <w:spacing w:line="240" w:lineRule="auto"/>
              <w:rPr>
                <w:rFonts w:eastAsia="Times New Roman"/>
                <w:noProof/>
                <w:color w:val="006100"/>
              </w:rPr>
            </w:pPr>
            <w:r>
              <w:rPr>
                <w:noProof/>
              </w:rPr>
              <w:t>Objava poziva povezanog s jačanjem informacijskih sustava u skladu s Aktom br. 181/2014 zb. o kibersigurnosti</w:t>
            </w:r>
          </w:p>
        </w:tc>
        <w:tc>
          <w:tcPr>
            <w:tcW w:w="1276" w:type="dxa"/>
            <w:shd w:val="clear" w:color="auto" w:fill="C6EFCE"/>
            <w:vAlign w:val="center"/>
          </w:tcPr>
          <w:p w14:paraId="4B9A3E1A" w14:textId="42B0A08A" w:rsidR="00615E2D" w:rsidRDefault="00C83E46">
            <w:pPr>
              <w:pStyle w:val="P68B1DB1-Normal15"/>
              <w:spacing w:line="240" w:lineRule="auto"/>
              <w:rPr>
                <w:noProof/>
                <w:color w:val="006100"/>
              </w:rPr>
            </w:pPr>
            <w:r>
              <w:rPr>
                <w:noProof/>
              </w:rPr>
              <w:t>Objava poziva na podnošenje projekata</w:t>
            </w:r>
          </w:p>
        </w:tc>
        <w:tc>
          <w:tcPr>
            <w:tcW w:w="1588" w:type="dxa"/>
            <w:shd w:val="clear" w:color="auto" w:fill="C6EFCE"/>
            <w:vAlign w:val="center"/>
          </w:tcPr>
          <w:p w14:paraId="774D5847" w14:textId="77777777" w:rsidR="00615E2D" w:rsidRDefault="00615E2D">
            <w:pPr>
              <w:spacing w:line="240" w:lineRule="auto"/>
              <w:rPr>
                <w:rFonts w:eastAsia="Times New Roman"/>
                <w:noProof/>
                <w:color w:val="006100"/>
                <w:sz w:val="18"/>
              </w:rPr>
            </w:pPr>
          </w:p>
        </w:tc>
        <w:tc>
          <w:tcPr>
            <w:tcW w:w="1134" w:type="dxa"/>
            <w:shd w:val="clear" w:color="auto" w:fill="C6EFCE"/>
            <w:vAlign w:val="center"/>
          </w:tcPr>
          <w:p w14:paraId="6D408271" w14:textId="77777777" w:rsidR="00615E2D" w:rsidRDefault="00615E2D">
            <w:pPr>
              <w:spacing w:line="240" w:lineRule="auto"/>
              <w:rPr>
                <w:rFonts w:eastAsia="Times New Roman"/>
                <w:noProof/>
                <w:color w:val="006100"/>
                <w:sz w:val="18"/>
              </w:rPr>
            </w:pPr>
          </w:p>
        </w:tc>
        <w:tc>
          <w:tcPr>
            <w:tcW w:w="709" w:type="dxa"/>
            <w:shd w:val="clear" w:color="auto" w:fill="C6EFCE"/>
            <w:vAlign w:val="center"/>
          </w:tcPr>
          <w:p w14:paraId="5ED9238F" w14:textId="77777777" w:rsidR="00615E2D" w:rsidRDefault="00615E2D">
            <w:pPr>
              <w:spacing w:line="240" w:lineRule="auto"/>
              <w:rPr>
                <w:rFonts w:eastAsia="Times New Roman"/>
                <w:noProof/>
                <w:color w:val="006100"/>
                <w:sz w:val="18"/>
              </w:rPr>
            </w:pPr>
          </w:p>
        </w:tc>
        <w:tc>
          <w:tcPr>
            <w:tcW w:w="992" w:type="dxa"/>
            <w:shd w:val="clear" w:color="auto" w:fill="C6EFCE"/>
            <w:vAlign w:val="center"/>
          </w:tcPr>
          <w:p w14:paraId="4B35FE30" w14:textId="0D0BB5C3" w:rsidR="00615E2D" w:rsidRDefault="00C83E46">
            <w:pPr>
              <w:pStyle w:val="P68B1DB1-Normal15"/>
              <w:spacing w:line="240" w:lineRule="auto"/>
              <w:jc w:val="center"/>
              <w:rPr>
                <w:noProof/>
                <w:color w:val="006100"/>
              </w:rPr>
            </w:pPr>
            <w:r>
              <w:rPr>
                <w:noProof/>
              </w:rPr>
              <w:t>TROMJESEČJE</w:t>
            </w:r>
          </w:p>
        </w:tc>
        <w:tc>
          <w:tcPr>
            <w:tcW w:w="709" w:type="dxa"/>
            <w:shd w:val="clear" w:color="auto" w:fill="C6EFCE"/>
            <w:vAlign w:val="center"/>
          </w:tcPr>
          <w:p w14:paraId="71655E16" w14:textId="1548B556" w:rsidR="00615E2D" w:rsidRDefault="00C83E46">
            <w:pPr>
              <w:pStyle w:val="P68B1DB1-Normal15"/>
              <w:spacing w:line="240" w:lineRule="auto"/>
              <w:jc w:val="center"/>
              <w:rPr>
                <w:noProof/>
                <w:color w:val="006100"/>
              </w:rPr>
            </w:pPr>
            <w:r>
              <w:rPr>
                <w:noProof/>
              </w:rPr>
              <w:t>2024</w:t>
            </w:r>
          </w:p>
        </w:tc>
        <w:tc>
          <w:tcPr>
            <w:tcW w:w="4502" w:type="dxa"/>
            <w:shd w:val="clear" w:color="auto" w:fill="C6EFCE"/>
            <w:vAlign w:val="center"/>
          </w:tcPr>
          <w:p w14:paraId="58D76C59" w14:textId="0F9C7CD0" w:rsidR="00615E2D" w:rsidRDefault="00C83E46">
            <w:pPr>
              <w:pStyle w:val="P68B1DB1-Normal16"/>
              <w:spacing w:line="240" w:lineRule="auto"/>
              <w:rPr>
                <w:rFonts w:eastAsia="Times New Roman"/>
                <w:noProof/>
              </w:rPr>
            </w:pPr>
            <w:r>
              <w:rPr>
                <w:noProof/>
              </w:rPr>
              <w:t>Objava poziva na podnošenje projekata kojima se podupire jačanje informacijskih sustava u skladu sa Zakonom br. 181/2014 zb. o kibersigurnosti.</w:t>
            </w:r>
          </w:p>
        </w:tc>
      </w:tr>
      <w:tr w:rsidR="00615E2D" w14:paraId="7015AAB0" w14:textId="77777777">
        <w:trPr>
          <w:trHeight w:val="945"/>
          <w:jc w:val="center"/>
        </w:trPr>
        <w:tc>
          <w:tcPr>
            <w:tcW w:w="675" w:type="dxa"/>
            <w:shd w:val="clear" w:color="auto" w:fill="C6EFCE"/>
            <w:vAlign w:val="center"/>
          </w:tcPr>
          <w:p w14:paraId="065E3D68" w14:textId="4184FEA6" w:rsidR="00615E2D" w:rsidRDefault="00C83E46">
            <w:pPr>
              <w:pStyle w:val="P68B1DB1-Normal15"/>
              <w:spacing w:line="240" w:lineRule="auto"/>
              <w:jc w:val="center"/>
              <w:rPr>
                <w:noProof/>
              </w:rPr>
            </w:pPr>
            <w:r>
              <w:rPr>
                <w:noProof/>
              </w:rPr>
              <w:t>248</w:t>
            </w:r>
          </w:p>
        </w:tc>
        <w:tc>
          <w:tcPr>
            <w:tcW w:w="1449" w:type="dxa"/>
            <w:shd w:val="clear" w:color="auto" w:fill="C6EFCE"/>
            <w:vAlign w:val="center"/>
          </w:tcPr>
          <w:p w14:paraId="68666DD6" w14:textId="56A6DA23" w:rsidR="00615E2D" w:rsidRDefault="00C83E46">
            <w:pPr>
              <w:pStyle w:val="P68B1DB1-Normal16"/>
              <w:spacing w:before="0" w:after="0" w:line="240" w:lineRule="auto"/>
              <w:rPr>
                <w:noProof/>
              </w:rPr>
            </w:pPr>
            <w:r>
              <w:rPr>
                <w:noProof/>
              </w:rPr>
              <w:t>Ulaganje 5: Dodatna sredstva za ulaganja u kibersigurnost</w:t>
            </w:r>
          </w:p>
        </w:tc>
        <w:tc>
          <w:tcPr>
            <w:tcW w:w="1134" w:type="dxa"/>
            <w:shd w:val="clear" w:color="auto" w:fill="C6EFCE"/>
            <w:vAlign w:val="center"/>
          </w:tcPr>
          <w:p w14:paraId="3C908747" w14:textId="11B7DBFC" w:rsidR="00615E2D" w:rsidRDefault="00C83E46">
            <w:pPr>
              <w:pStyle w:val="P68B1DB1-Normal16"/>
              <w:spacing w:line="240" w:lineRule="auto"/>
              <w:rPr>
                <w:rFonts w:eastAsia="Times New Roman"/>
                <w:noProof/>
              </w:rPr>
            </w:pPr>
            <w:r>
              <w:rPr>
                <w:noProof/>
              </w:rPr>
              <w:t>Ciljna</w:t>
            </w:r>
          </w:p>
        </w:tc>
        <w:tc>
          <w:tcPr>
            <w:tcW w:w="1701" w:type="dxa"/>
            <w:shd w:val="clear" w:color="auto" w:fill="C6EFCE"/>
            <w:vAlign w:val="center"/>
          </w:tcPr>
          <w:p w14:paraId="0FA29526" w14:textId="37554B02" w:rsidR="00615E2D" w:rsidRDefault="00C83E46">
            <w:pPr>
              <w:pStyle w:val="P68B1DB1-Normal16"/>
              <w:spacing w:before="0" w:after="0" w:line="240" w:lineRule="auto"/>
              <w:rPr>
                <w:noProof/>
              </w:rPr>
            </w:pPr>
            <w:r>
              <w:rPr>
                <w:noProof/>
              </w:rPr>
              <w:t xml:space="preserve">Informacijski sustavi čija je kibersigurnost ojačana u skladu sa Zakonom br. 181/2014 zb. o kibersigurnosti </w:t>
            </w:r>
          </w:p>
        </w:tc>
        <w:tc>
          <w:tcPr>
            <w:tcW w:w="1276" w:type="dxa"/>
            <w:shd w:val="clear" w:color="auto" w:fill="C6EFCE"/>
            <w:vAlign w:val="center"/>
          </w:tcPr>
          <w:p w14:paraId="6B408AEC" w14:textId="77777777" w:rsidR="00615E2D" w:rsidRDefault="00615E2D">
            <w:pPr>
              <w:spacing w:line="240" w:lineRule="auto"/>
              <w:rPr>
                <w:rFonts w:eastAsia="Times New Roman"/>
                <w:noProof/>
                <w:color w:val="004300"/>
                <w:sz w:val="18"/>
              </w:rPr>
            </w:pPr>
          </w:p>
        </w:tc>
        <w:tc>
          <w:tcPr>
            <w:tcW w:w="1588" w:type="dxa"/>
            <w:shd w:val="clear" w:color="auto" w:fill="C6EFCE"/>
            <w:vAlign w:val="center"/>
          </w:tcPr>
          <w:p w14:paraId="261E81D0" w14:textId="07728AB2" w:rsidR="00615E2D" w:rsidRDefault="00C83E46">
            <w:pPr>
              <w:pStyle w:val="P68B1DB1-Normal15"/>
              <w:spacing w:line="240" w:lineRule="auto"/>
              <w:rPr>
                <w:noProof/>
                <w:color w:val="006100"/>
              </w:rPr>
            </w:pPr>
            <w:r>
              <w:rPr>
                <w:noProof/>
              </w:rPr>
              <w:t>Broj</w:t>
            </w:r>
          </w:p>
        </w:tc>
        <w:tc>
          <w:tcPr>
            <w:tcW w:w="1134" w:type="dxa"/>
            <w:shd w:val="clear" w:color="auto" w:fill="C6EFCE"/>
            <w:vAlign w:val="center"/>
          </w:tcPr>
          <w:p w14:paraId="7B66C89F" w14:textId="685160A1" w:rsidR="00615E2D" w:rsidRDefault="00C83E46">
            <w:pPr>
              <w:pStyle w:val="P68B1DB1-Normal15"/>
              <w:spacing w:line="240" w:lineRule="auto"/>
              <w:jc w:val="center"/>
              <w:rPr>
                <w:noProof/>
              </w:rPr>
            </w:pPr>
            <w:r>
              <w:rPr>
                <w:noProof/>
              </w:rPr>
              <w:t>87</w:t>
            </w:r>
          </w:p>
        </w:tc>
        <w:tc>
          <w:tcPr>
            <w:tcW w:w="709" w:type="dxa"/>
            <w:shd w:val="clear" w:color="auto" w:fill="C6EFCE"/>
            <w:vAlign w:val="center"/>
          </w:tcPr>
          <w:p w14:paraId="312B8794" w14:textId="179DADB4" w:rsidR="00615E2D" w:rsidRDefault="00C83E46">
            <w:pPr>
              <w:pStyle w:val="P68B1DB1-Normal16"/>
              <w:spacing w:before="0" w:after="0" w:line="240" w:lineRule="auto"/>
              <w:jc w:val="center"/>
              <w:rPr>
                <w:noProof/>
              </w:rPr>
            </w:pPr>
            <w:r>
              <w:rPr>
                <w:noProof/>
              </w:rPr>
              <w:t>331</w:t>
            </w:r>
          </w:p>
        </w:tc>
        <w:tc>
          <w:tcPr>
            <w:tcW w:w="992" w:type="dxa"/>
            <w:shd w:val="clear" w:color="auto" w:fill="C6EFCE"/>
            <w:vAlign w:val="center"/>
          </w:tcPr>
          <w:p w14:paraId="6DFD1081" w14:textId="4E57D2E9" w:rsidR="00615E2D" w:rsidRDefault="00C83E46">
            <w:pPr>
              <w:pStyle w:val="P68B1DB1-Normal15"/>
              <w:spacing w:line="240" w:lineRule="auto"/>
              <w:jc w:val="center"/>
              <w:rPr>
                <w:noProof/>
              </w:rPr>
            </w:pPr>
            <w:r>
              <w:rPr>
                <w:noProof/>
              </w:rPr>
              <w:t>ČETVRTO TROMJESEČJE</w:t>
            </w:r>
          </w:p>
        </w:tc>
        <w:tc>
          <w:tcPr>
            <w:tcW w:w="709" w:type="dxa"/>
            <w:shd w:val="clear" w:color="auto" w:fill="C6EFCE"/>
            <w:vAlign w:val="center"/>
          </w:tcPr>
          <w:p w14:paraId="206F199B" w14:textId="1A431F45" w:rsidR="00615E2D" w:rsidRDefault="00C83E46">
            <w:pPr>
              <w:pStyle w:val="P68B1DB1-Normal15"/>
              <w:spacing w:line="240" w:lineRule="auto"/>
              <w:jc w:val="center"/>
              <w:rPr>
                <w:noProof/>
              </w:rPr>
            </w:pPr>
            <w:r>
              <w:rPr>
                <w:noProof/>
              </w:rPr>
              <w:t>2025</w:t>
            </w:r>
          </w:p>
        </w:tc>
        <w:tc>
          <w:tcPr>
            <w:tcW w:w="4502" w:type="dxa"/>
            <w:shd w:val="clear" w:color="auto" w:fill="C6EFCE"/>
            <w:vAlign w:val="center"/>
          </w:tcPr>
          <w:p w14:paraId="1C135FC1" w14:textId="26B3CCCD" w:rsidR="00615E2D" w:rsidRDefault="00C83E46">
            <w:pPr>
              <w:pStyle w:val="P68B1DB1-Normal16"/>
              <w:spacing w:before="0" w:after="0" w:line="240" w:lineRule="auto"/>
              <w:rPr>
                <w:noProof/>
              </w:rPr>
            </w:pPr>
            <w:r>
              <w:rPr>
                <w:noProof/>
              </w:rPr>
              <w:t>Cilj je povećati kibersigurnost odabranih informacijskih sustava u skladu sa zahtjevima Akta br. 181/2014 zb. o kibersigurnosti. </w:t>
            </w:r>
          </w:p>
          <w:p w14:paraId="613602C8" w14:textId="3EE7FFFD" w:rsidR="00615E2D" w:rsidRDefault="00C83E46">
            <w:pPr>
              <w:pStyle w:val="P68B1DB1-Normal16"/>
              <w:spacing w:line="240" w:lineRule="auto"/>
              <w:rPr>
                <w:rFonts w:eastAsia="Times New Roman"/>
                <w:noProof/>
              </w:rPr>
            </w:pPr>
            <w:r>
              <w:rPr>
                <w:noProof/>
              </w:rPr>
              <w:t>Smatra se da je cilj postignut nakon uspješnog testiranja i provjere usklađenosti s kibersigurnosnim zahtjevima najmanje 244 informacijskih sustava. Tijela nadležna za informacijske sustave odobravaju isporuku odgovarajućih sustava.</w:t>
            </w:r>
          </w:p>
        </w:tc>
      </w:tr>
      <w:tr w:rsidR="00615E2D" w14:paraId="6B1F83FD" w14:textId="77777777">
        <w:trPr>
          <w:trHeight w:val="945"/>
          <w:jc w:val="center"/>
        </w:trPr>
        <w:tc>
          <w:tcPr>
            <w:tcW w:w="675" w:type="dxa"/>
            <w:shd w:val="clear" w:color="auto" w:fill="C6EFCE"/>
            <w:vAlign w:val="center"/>
          </w:tcPr>
          <w:p w14:paraId="4AC68EF0" w14:textId="6F386389" w:rsidR="00615E2D" w:rsidRDefault="00C83E46">
            <w:pPr>
              <w:pStyle w:val="P68B1DB1-Normal15"/>
              <w:spacing w:line="240" w:lineRule="auto"/>
              <w:jc w:val="center"/>
              <w:rPr>
                <w:noProof/>
              </w:rPr>
            </w:pPr>
            <w:r>
              <w:rPr>
                <w:noProof/>
              </w:rPr>
              <w:t>249</w:t>
            </w:r>
          </w:p>
        </w:tc>
        <w:tc>
          <w:tcPr>
            <w:tcW w:w="1449" w:type="dxa"/>
            <w:shd w:val="clear" w:color="auto" w:fill="C6EFCE"/>
            <w:vAlign w:val="center"/>
          </w:tcPr>
          <w:p w14:paraId="3E665E43" w14:textId="5A0B490E" w:rsidR="00615E2D" w:rsidRDefault="00C83E46">
            <w:pPr>
              <w:pStyle w:val="P68B1DB1-Normal16"/>
              <w:spacing w:before="0" w:after="0" w:line="240" w:lineRule="auto"/>
              <w:rPr>
                <w:rFonts w:eastAsia="Times New Roman"/>
                <w:noProof/>
              </w:rPr>
            </w:pPr>
            <w:r>
              <w:rPr>
                <w:noProof/>
              </w:rPr>
              <w:t>Ulaganje 6: Razvoj informacijskih sustava u socijalnom području</w:t>
            </w:r>
          </w:p>
        </w:tc>
        <w:tc>
          <w:tcPr>
            <w:tcW w:w="1134" w:type="dxa"/>
            <w:shd w:val="clear" w:color="auto" w:fill="C6EFCE"/>
            <w:vAlign w:val="center"/>
          </w:tcPr>
          <w:p w14:paraId="783AF858" w14:textId="14FF8710" w:rsidR="00615E2D" w:rsidRDefault="00C83E46">
            <w:pPr>
              <w:pStyle w:val="P68B1DB1-Normal16"/>
              <w:spacing w:line="240" w:lineRule="auto"/>
              <w:rPr>
                <w:rFonts w:eastAsia="Times New Roman"/>
                <w:noProof/>
              </w:rPr>
            </w:pPr>
            <w:r>
              <w:rPr>
                <w:noProof/>
              </w:rPr>
              <w:t>Ciljna</w:t>
            </w:r>
          </w:p>
        </w:tc>
        <w:tc>
          <w:tcPr>
            <w:tcW w:w="1701" w:type="dxa"/>
            <w:shd w:val="clear" w:color="auto" w:fill="C6EFCE"/>
            <w:vAlign w:val="center"/>
          </w:tcPr>
          <w:p w14:paraId="0956372A" w14:textId="29ED3C31" w:rsidR="00615E2D" w:rsidRDefault="00C83E46">
            <w:pPr>
              <w:pStyle w:val="P68B1DB1-Normal16"/>
              <w:spacing w:line="240" w:lineRule="auto"/>
              <w:rPr>
                <w:rFonts w:eastAsia="Times New Roman"/>
                <w:noProof/>
              </w:rPr>
            </w:pPr>
            <w:r>
              <w:rPr>
                <w:noProof/>
              </w:rPr>
              <w:t>Unaprijeđeni informacijski sustavi javne uprave u području socijalne politike</w:t>
            </w:r>
          </w:p>
        </w:tc>
        <w:tc>
          <w:tcPr>
            <w:tcW w:w="1276" w:type="dxa"/>
            <w:shd w:val="clear" w:color="auto" w:fill="C6EFCE"/>
            <w:vAlign w:val="center"/>
          </w:tcPr>
          <w:p w14:paraId="4B8F0F03" w14:textId="77777777" w:rsidR="00615E2D" w:rsidRDefault="00615E2D">
            <w:pPr>
              <w:spacing w:line="240" w:lineRule="auto"/>
              <w:rPr>
                <w:rFonts w:eastAsia="Times New Roman"/>
                <w:noProof/>
                <w:color w:val="004300"/>
                <w:sz w:val="18"/>
              </w:rPr>
            </w:pPr>
          </w:p>
        </w:tc>
        <w:tc>
          <w:tcPr>
            <w:tcW w:w="1588" w:type="dxa"/>
            <w:shd w:val="clear" w:color="auto" w:fill="C6EFCE"/>
            <w:vAlign w:val="center"/>
          </w:tcPr>
          <w:p w14:paraId="4A3FCE3D" w14:textId="0D2AF34E" w:rsidR="00615E2D" w:rsidRDefault="00C83E46">
            <w:pPr>
              <w:pStyle w:val="P68B1DB1-Normal15"/>
              <w:spacing w:line="240" w:lineRule="auto"/>
              <w:rPr>
                <w:noProof/>
                <w:color w:val="006100"/>
              </w:rPr>
            </w:pPr>
            <w:r>
              <w:rPr>
                <w:noProof/>
              </w:rPr>
              <w:t>Broj</w:t>
            </w:r>
          </w:p>
        </w:tc>
        <w:tc>
          <w:tcPr>
            <w:tcW w:w="1134" w:type="dxa"/>
            <w:shd w:val="clear" w:color="auto" w:fill="C6EFCE"/>
            <w:vAlign w:val="center"/>
          </w:tcPr>
          <w:p w14:paraId="0CD7E66F" w14:textId="43C4A019" w:rsidR="00615E2D" w:rsidRDefault="00C83E46">
            <w:pPr>
              <w:pStyle w:val="P68B1DB1-Normal15"/>
              <w:spacing w:line="240" w:lineRule="auto"/>
              <w:jc w:val="center"/>
              <w:rPr>
                <w:noProof/>
                <w:color w:val="006100"/>
              </w:rPr>
            </w:pPr>
            <w:r>
              <w:rPr>
                <w:noProof/>
              </w:rPr>
              <w:t>0</w:t>
            </w:r>
          </w:p>
        </w:tc>
        <w:tc>
          <w:tcPr>
            <w:tcW w:w="709" w:type="dxa"/>
            <w:shd w:val="clear" w:color="auto" w:fill="C6EFCE"/>
            <w:vAlign w:val="center"/>
          </w:tcPr>
          <w:p w14:paraId="51AFF5DB" w14:textId="03FA3D60" w:rsidR="00615E2D" w:rsidRDefault="00C83E46">
            <w:pPr>
              <w:pStyle w:val="P68B1DB1-Normal15"/>
              <w:spacing w:line="240" w:lineRule="auto"/>
              <w:jc w:val="center"/>
              <w:rPr>
                <w:noProof/>
                <w:color w:val="006100"/>
              </w:rPr>
            </w:pPr>
            <w:r>
              <w:rPr>
                <w:noProof/>
              </w:rPr>
              <w:t>6</w:t>
            </w:r>
          </w:p>
        </w:tc>
        <w:tc>
          <w:tcPr>
            <w:tcW w:w="992" w:type="dxa"/>
            <w:shd w:val="clear" w:color="auto" w:fill="C6EFCE"/>
            <w:vAlign w:val="center"/>
          </w:tcPr>
          <w:p w14:paraId="6677C1FA" w14:textId="253513D3" w:rsidR="00615E2D" w:rsidRDefault="00C83E46">
            <w:pPr>
              <w:pStyle w:val="P68B1DB1-Normal15"/>
              <w:spacing w:line="240" w:lineRule="auto"/>
              <w:jc w:val="center"/>
              <w:rPr>
                <w:noProof/>
              </w:rPr>
            </w:pPr>
            <w:r>
              <w:rPr>
                <w:noProof/>
              </w:rPr>
              <w:t>TROMJESEČJE</w:t>
            </w:r>
          </w:p>
        </w:tc>
        <w:tc>
          <w:tcPr>
            <w:tcW w:w="709" w:type="dxa"/>
            <w:shd w:val="clear" w:color="auto" w:fill="C6EFCE"/>
            <w:vAlign w:val="center"/>
          </w:tcPr>
          <w:p w14:paraId="1B59717C" w14:textId="004644AC" w:rsidR="00615E2D" w:rsidRDefault="00C83E46">
            <w:pPr>
              <w:pStyle w:val="P68B1DB1-Normal15"/>
              <w:spacing w:line="240" w:lineRule="auto"/>
              <w:jc w:val="center"/>
              <w:rPr>
                <w:noProof/>
              </w:rPr>
            </w:pPr>
            <w:r>
              <w:rPr>
                <w:noProof/>
              </w:rPr>
              <w:t>2026</w:t>
            </w:r>
          </w:p>
        </w:tc>
        <w:tc>
          <w:tcPr>
            <w:tcW w:w="4502" w:type="dxa"/>
            <w:shd w:val="clear" w:color="auto" w:fill="C6EFCE"/>
            <w:vAlign w:val="center"/>
          </w:tcPr>
          <w:p w14:paraId="22C524BF" w14:textId="11DA8593" w:rsidR="00615E2D" w:rsidRDefault="00C83E46">
            <w:pPr>
              <w:pStyle w:val="P68B1DB1-Normal16"/>
              <w:spacing w:before="0" w:after="0" w:line="240" w:lineRule="auto"/>
              <w:rPr>
                <w:noProof/>
              </w:rPr>
            </w:pPr>
            <w:r>
              <w:rPr>
                <w:noProof/>
              </w:rPr>
              <w:t xml:space="preserve">6 informacijskih sustava mora se nadograditi i početi s radom u području socijalne politike. </w:t>
            </w:r>
          </w:p>
          <w:p w14:paraId="001F77F4" w14:textId="77777777" w:rsidR="00615E2D" w:rsidRDefault="00C83E46">
            <w:pPr>
              <w:pStyle w:val="P68B1DB1-Normal16"/>
              <w:spacing w:before="0" w:after="0" w:line="240" w:lineRule="auto"/>
              <w:rPr>
                <w:noProof/>
              </w:rPr>
            </w:pPr>
            <w:r>
              <w:rPr>
                <w:noProof/>
              </w:rPr>
              <w:t>One uključuju barem:  </w:t>
            </w:r>
          </w:p>
          <w:p w14:paraId="52496EDB" w14:textId="77777777" w:rsidR="00615E2D" w:rsidRDefault="00C83E46">
            <w:pPr>
              <w:pStyle w:val="P68B1DB1-ListParagraph20"/>
              <w:numPr>
                <w:ilvl w:val="0"/>
                <w:numId w:val="277"/>
              </w:numPr>
              <w:spacing w:before="0" w:after="0" w:line="240" w:lineRule="auto"/>
              <w:rPr>
                <w:noProof/>
              </w:rPr>
            </w:pPr>
            <w:r>
              <w:rPr>
                <w:noProof/>
              </w:rPr>
              <w:t>Elektronička razmjena informacija o socijalnoj sigurnosti (EESSI), </w:t>
            </w:r>
          </w:p>
          <w:p w14:paraId="662EAFA2" w14:textId="77777777" w:rsidR="00615E2D" w:rsidRDefault="00C83E46">
            <w:pPr>
              <w:pStyle w:val="P68B1DB1-ListParagraph20"/>
              <w:numPr>
                <w:ilvl w:val="0"/>
                <w:numId w:val="277"/>
              </w:numPr>
              <w:spacing w:before="0" w:after="0" w:line="240" w:lineRule="auto"/>
              <w:rPr>
                <w:noProof/>
              </w:rPr>
            </w:pPr>
            <w:r>
              <w:rPr>
                <w:noProof/>
              </w:rPr>
              <w:t>Modernizacija infrastrukture za SW u Ministarstvu rada i socijalnih pitanja, </w:t>
            </w:r>
          </w:p>
          <w:p w14:paraId="074BE050" w14:textId="4FEB19FF" w:rsidR="00615E2D" w:rsidRDefault="00C83E46">
            <w:pPr>
              <w:pStyle w:val="P68B1DB1-ListParagraph20"/>
              <w:numPr>
                <w:ilvl w:val="0"/>
                <w:numId w:val="277"/>
              </w:numPr>
              <w:spacing w:before="0" w:after="0" w:line="240" w:lineRule="auto"/>
              <w:rPr>
                <w:rFonts w:eastAsia="Times New Roman"/>
                <w:noProof/>
              </w:rPr>
            </w:pPr>
            <w:r>
              <w:rPr>
                <w:noProof/>
              </w:rPr>
              <w:t>Digitalizacija mirovinskog programa (EDA), </w:t>
            </w:r>
          </w:p>
          <w:p w14:paraId="51635778" w14:textId="3767C88A" w:rsidR="00615E2D" w:rsidRDefault="00C83E46">
            <w:pPr>
              <w:pStyle w:val="P68B1DB1-ListParagraph21"/>
              <w:numPr>
                <w:ilvl w:val="0"/>
                <w:numId w:val="277"/>
              </w:numPr>
              <w:spacing w:before="0" w:after="0" w:line="240" w:lineRule="auto"/>
              <w:rPr>
                <w:rFonts w:eastAsia="Times New Roman"/>
                <w:noProof/>
              </w:rPr>
            </w:pPr>
            <w:r>
              <w:rPr>
                <w:noProof/>
              </w:rPr>
              <w:t>Zahtjev za potporu donošenju odluka</w:t>
            </w:r>
            <w:r>
              <w:rPr>
                <w:noProof/>
                <w:u w:val="single"/>
              </w:rPr>
              <w:t>.</w:t>
            </w:r>
            <w:r>
              <w:rPr>
                <w:noProof/>
              </w:rPr>
              <w:t> </w:t>
            </w:r>
          </w:p>
        </w:tc>
      </w:tr>
    </w:tbl>
    <w:p w14:paraId="2FDD9C96" w14:textId="1B219718" w:rsidR="00615E2D" w:rsidRDefault="00615E2D">
      <w:pPr>
        <w:pBdr>
          <w:top w:val="nil"/>
          <w:left w:val="nil"/>
          <w:bottom w:val="nil"/>
          <w:right w:val="nil"/>
          <w:between w:val="nil"/>
        </w:pBdr>
        <w:spacing w:before="0" w:after="0" w:line="240" w:lineRule="auto"/>
        <w:jc w:val="both"/>
        <w:rPr>
          <w:b/>
          <w:noProof/>
          <w:u w:val="single"/>
        </w:rPr>
        <w:sectPr w:rsidR="00615E2D" w:rsidSect="001932DE">
          <w:headerReference w:type="even" r:id="rId60"/>
          <w:headerReference w:type="default" r:id="rId61"/>
          <w:footerReference w:type="even" r:id="rId62"/>
          <w:footerReference w:type="default" r:id="rId63"/>
          <w:headerReference w:type="first" r:id="rId64"/>
          <w:footerReference w:type="first" r:id="rId65"/>
          <w:pgSz w:w="16839" w:h="11907" w:orient="landscape"/>
          <w:pgMar w:top="1134" w:right="1134" w:bottom="1134" w:left="1134" w:header="567" w:footer="567" w:gutter="0"/>
          <w:cols w:space="720"/>
          <w:docGrid w:linePitch="360"/>
        </w:sectPr>
      </w:pPr>
    </w:p>
    <w:p w14:paraId="0A80281E" w14:textId="1256C839" w:rsidR="00615E2D" w:rsidRDefault="00C83E46">
      <w:pPr>
        <w:pStyle w:val="P68B1DB1-Normal2"/>
        <w:keepNext/>
        <w:tabs>
          <w:tab w:val="left" w:pos="850"/>
        </w:tabs>
        <w:spacing w:before="360" w:line="240" w:lineRule="auto"/>
        <w:jc w:val="both"/>
        <w:outlineLvl w:val="0"/>
        <w:rPr>
          <w:noProof/>
        </w:rPr>
      </w:pPr>
      <w:r>
        <w:rPr>
          <w:noProof/>
        </w:rPr>
        <w:t xml:space="preserve">C. SASTAVNI DIO 1.3.: Digitalne mreže visokog kapaciteta </w:t>
      </w:r>
    </w:p>
    <w:p w14:paraId="718FC17D" w14:textId="4F45BEDE" w:rsidR="00615E2D" w:rsidRDefault="00C83E46">
      <w:pPr>
        <w:pStyle w:val="P68B1DB1-Normal22"/>
        <w:spacing w:line="240" w:lineRule="auto"/>
        <w:jc w:val="both"/>
        <w:rPr>
          <w:b/>
          <w:smallCaps/>
          <w:noProof/>
        </w:rPr>
      </w:pPr>
      <w:r>
        <w:rPr>
          <w:noProof/>
        </w:rPr>
        <w:t>Ovom komponentom češkog plana za oporavak i otpornost podupire se rješavanje problema uvođenja mreža vrlo velikog kapaciteta kako bi se maksimalno povećao pristup internetskim uslugama putem internetske povezivosti za građane, poduzeća, javne uprave i institucije, posebno u ruralnim područjima. Cilj je komponente i stvaranje uvjeta kojima se podupire razvoj 5G mreža i usluga.</w:t>
      </w:r>
    </w:p>
    <w:p w14:paraId="32FEDA43" w14:textId="77777777" w:rsidR="00615E2D" w:rsidRDefault="00C83E46">
      <w:pPr>
        <w:spacing w:line="240" w:lineRule="auto"/>
        <w:jc w:val="both"/>
        <w:textAlignment w:val="baseline"/>
        <w:rPr>
          <w:rFonts w:eastAsia="Times New Roman"/>
          <w:noProof/>
        </w:rPr>
      </w:pPr>
      <w:r>
        <w:rPr>
          <w:rFonts w:eastAsia="Times New Roman"/>
          <w:noProof/>
          <w:color w:val="000000"/>
        </w:rPr>
        <w:t xml:space="preserve">Komponenta </w:t>
      </w:r>
      <w:r>
        <w:rPr>
          <w:rFonts w:eastAsia="Times New Roman"/>
          <w:noProof/>
        </w:rPr>
        <w:t>pridonosi rješavanju preporuke za pojedinu</w:t>
      </w:r>
      <w:r>
        <w:rPr>
          <w:noProof/>
        </w:rPr>
        <w:t>zemlju</w:t>
      </w:r>
      <w:r>
        <w:rPr>
          <w:rFonts w:eastAsia="Times New Roman"/>
          <w:noProof/>
        </w:rPr>
        <w:t xml:space="preserve">, u skladu s kojom Češka </w:t>
      </w:r>
      <w:r>
        <w:rPr>
          <w:rFonts w:eastAsia="Times New Roman"/>
          <w:noProof/>
          <w:color w:val="000000"/>
        </w:rPr>
        <w:t xml:space="preserve">usmjerava investicijsku politiku na digitalnu infrastrukturu (preporuka za pojedinu zemlju br. 3 2019.) i preporuke za pojedinu zemlju, </w:t>
      </w:r>
      <w:r>
        <w:rPr>
          <w:noProof/>
        </w:rPr>
        <w:t>u skladu s kojima će Češka usmjeriti ulaganja u digitalnu tranziciju, posebno u digitalnu infrastrukturu i tehnologije visokog kapaciteta (preporuka za pojedinu zemlju br. 3 iz 2020.).</w:t>
      </w:r>
    </w:p>
    <w:p w14:paraId="76080DEF" w14:textId="26D5B1D8" w:rsidR="00615E2D" w:rsidRDefault="00C83E46">
      <w:pPr>
        <w:spacing w:line="240" w:lineRule="auto"/>
        <w:jc w:val="both"/>
        <w:textAlignment w:val="baseline"/>
        <w:rPr>
          <w:noProof/>
        </w:rPr>
      </w:pPr>
      <w:r>
        <w:rPr>
          <w:rFonts w:eastAsia="Times New Roman"/>
          <w:noProof/>
        </w:rPr>
        <w:t xml:space="preserve">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 Za sva infrastrukturna ulaganja </w:t>
      </w:r>
      <w:r>
        <w:rPr>
          <w:noProof/>
        </w:rPr>
        <w:t>najmanje 70 % građevinskog otpada i otpada od rušenja ponovno se upotrebljava ili reciklira u skladu s Tehničkim smjernicama o nenanošenju bitne štete (2021/C58/01)</w:t>
      </w:r>
      <w:r>
        <w:rPr>
          <w:rStyle w:val="FootnoteReference"/>
          <w:noProof/>
        </w:rPr>
        <w:footnoteReference w:id="2"/>
      </w:r>
      <w:r>
        <w:rPr>
          <w:noProof/>
        </w:rPr>
        <w:t>.</w:t>
      </w:r>
    </w:p>
    <w:p w14:paraId="2E0B829C" w14:textId="77777777" w:rsidR="00615E2D" w:rsidRDefault="00615E2D">
      <w:pPr>
        <w:spacing w:line="240" w:lineRule="auto"/>
        <w:jc w:val="both"/>
        <w:textAlignment w:val="baseline"/>
        <w:rPr>
          <w:rFonts w:eastAsia="Times New Roman"/>
          <w:noProof/>
        </w:rPr>
      </w:pPr>
    </w:p>
    <w:p w14:paraId="0A9E6D06" w14:textId="77777777" w:rsidR="00615E2D" w:rsidRDefault="00C83E46">
      <w:pPr>
        <w:pStyle w:val="P68B1DB1-Normal8"/>
        <w:pBdr>
          <w:top w:val="nil"/>
          <w:left w:val="nil"/>
          <w:bottom w:val="nil"/>
          <w:right w:val="nil"/>
          <w:between w:val="nil"/>
        </w:pBdr>
        <w:spacing w:line="240" w:lineRule="auto"/>
        <w:rPr>
          <w:i/>
          <w:noProof/>
        </w:rPr>
      </w:pPr>
      <w:r>
        <w:rPr>
          <w:noProof/>
        </w:rPr>
        <w:t>C.1. Opis reformi i ulaganja za programe bespovratne financijske potpore</w:t>
      </w:r>
    </w:p>
    <w:p w14:paraId="7AC92431" w14:textId="77777777" w:rsidR="00615E2D" w:rsidRDefault="00C83E46">
      <w:pPr>
        <w:pStyle w:val="P68B1DB1-Normal13"/>
        <w:pBdr>
          <w:top w:val="nil"/>
          <w:left w:val="nil"/>
          <w:bottom w:val="nil"/>
          <w:right w:val="nil"/>
          <w:between w:val="nil"/>
        </w:pBdr>
        <w:spacing w:line="240" w:lineRule="auto"/>
        <w:rPr>
          <w:noProof/>
        </w:rPr>
      </w:pPr>
      <w:r>
        <w:rPr>
          <w:b/>
          <w:noProof/>
        </w:rPr>
        <w:t>Reforma 1.: Poboljšanje okruženja za uvođenje elektroničkih komunikacijskih mreža</w:t>
      </w:r>
      <w:r>
        <w:rPr>
          <w:noProof/>
        </w:rPr>
        <w:t xml:space="preserve"> </w:t>
      </w:r>
    </w:p>
    <w:p w14:paraId="117E61AB" w14:textId="77777777" w:rsidR="00615E2D" w:rsidRDefault="00C83E46">
      <w:pPr>
        <w:pBdr>
          <w:top w:val="nil"/>
          <w:left w:val="nil"/>
          <w:bottom w:val="nil"/>
          <w:right w:val="nil"/>
          <w:between w:val="nil"/>
        </w:pBdr>
        <w:spacing w:line="240" w:lineRule="auto"/>
        <w:jc w:val="both"/>
        <w:rPr>
          <w:noProof/>
          <w:color w:val="000000"/>
        </w:rPr>
      </w:pPr>
      <w:r>
        <w:rPr>
          <w:noProof/>
        </w:rPr>
        <w:t>Cilj je te</w:t>
      </w:r>
      <w:r>
        <w:rPr>
          <w:noProof/>
          <w:color w:val="000000"/>
        </w:rPr>
        <w:t>reforme poboljšati kapacitete za prikupljanje informacija o aktivnoj i pasivnoj infrastrukturi elektroničke komunikacije. Reforma je usklađena s ciljevima sektorskog zakonodavstva Unije čiji je cilj smanjenje troškova uvođenja mreže, uključujući Direktivu 2014/61/EU o mjerama za smanjenje troškova postavljanja komunikacijskih mreža velikih brzina, kao i s ciljevima Direktive 2018/1972 (Europski zakonik elektroničkih komunikacija).</w:t>
      </w:r>
      <w:r>
        <w:rPr>
          <w:noProof/>
        </w:rPr>
        <w:t xml:space="preserve"> </w:t>
      </w:r>
    </w:p>
    <w:p w14:paraId="387585F5" w14:textId="77777777" w:rsidR="00615E2D" w:rsidRDefault="00C83E46">
      <w:pPr>
        <w:pBdr>
          <w:top w:val="nil"/>
          <w:left w:val="nil"/>
          <w:bottom w:val="nil"/>
          <w:right w:val="nil"/>
          <w:between w:val="nil"/>
        </w:pBdr>
        <w:tabs>
          <w:tab w:val="left" w:pos="6823"/>
        </w:tabs>
        <w:spacing w:line="240" w:lineRule="auto"/>
        <w:rPr>
          <w:noProof/>
          <w:color w:val="000000"/>
        </w:rPr>
      </w:pPr>
      <w:r>
        <w:rPr>
          <w:noProof/>
          <w:color w:val="000000"/>
        </w:rPr>
        <w:t xml:space="preserve">Reforma, među ostalim, uključuje: </w:t>
      </w:r>
    </w:p>
    <w:p w14:paraId="0FA0E19F" w14:textId="77777777" w:rsidR="00615E2D" w:rsidRDefault="00C83E46">
      <w:pPr>
        <w:pStyle w:val="P68B1DB1-Normal13"/>
        <w:numPr>
          <w:ilvl w:val="0"/>
          <w:numId w:val="159"/>
        </w:numPr>
        <w:pBdr>
          <w:top w:val="nil"/>
          <w:left w:val="nil"/>
          <w:bottom w:val="nil"/>
          <w:right w:val="nil"/>
          <w:between w:val="nil"/>
        </w:pBdr>
        <w:spacing w:line="240" w:lineRule="auto"/>
        <w:jc w:val="both"/>
        <w:rPr>
          <w:noProof/>
        </w:rPr>
      </w:pPr>
      <w:r>
        <w:rPr>
          <w:noProof/>
        </w:rPr>
        <w:t xml:space="preserve">Provedbu mjera, uključujući stupanje na snagu potrebnih zakonodavnih izmjena i dovršetak tehničkih specifikacija, čiji je cilj uspostava baza podataka o planiranim projektima.   </w:t>
      </w:r>
    </w:p>
    <w:p w14:paraId="29FC4D88" w14:textId="77777777" w:rsidR="00615E2D" w:rsidRDefault="00C83E46">
      <w:pPr>
        <w:numPr>
          <w:ilvl w:val="0"/>
          <w:numId w:val="159"/>
        </w:numPr>
        <w:pBdr>
          <w:top w:val="nil"/>
          <w:left w:val="nil"/>
          <w:bottom w:val="nil"/>
          <w:right w:val="nil"/>
          <w:between w:val="nil"/>
        </w:pBdr>
        <w:spacing w:line="240" w:lineRule="auto"/>
        <w:jc w:val="both"/>
        <w:rPr>
          <w:rFonts w:eastAsia="Times New Roman"/>
          <w:noProof/>
          <w:color w:val="000000"/>
        </w:rPr>
      </w:pPr>
      <w:r>
        <w:rPr>
          <w:noProof/>
          <w:color w:val="000000"/>
        </w:rPr>
        <w:t>Dovršetak objekata digitalnih tehničkih karata (DTM), čime se omogućuje pristup</w:t>
      </w:r>
      <w:r>
        <w:rPr>
          <w:noProof/>
        </w:rPr>
        <w:t xml:space="preserve"> </w:t>
      </w:r>
      <w:r>
        <w:rPr>
          <w:noProof/>
          <w:color w:val="000000"/>
        </w:rPr>
        <w:t>preciznim informacijama o lokaciji i tehničkoj infrastrukturi u vlasništvu javnih i privatnih subjekata. Cilj je mjere digitalizacija najmanje 161000 hektara osnovne prostorne situacije i 55 000 km prometnih i tehničkih infrastrukturnih</w:t>
      </w:r>
      <w:r>
        <w:rPr>
          <w:noProof/>
        </w:rPr>
        <w:t xml:space="preserve"> mreža. </w:t>
      </w:r>
      <w:r>
        <w:rPr>
          <w:noProof/>
          <w:color w:val="000000"/>
        </w:rPr>
        <w:t xml:space="preserve"> </w:t>
      </w:r>
    </w:p>
    <w:p w14:paraId="4F3719CC" w14:textId="77777777" w:rsidR="00615E2D" w:rsidRDefault="00C83E46">
      <w:pPr>
        <w:pStyle w:val="P68B1DB1-Normal13"/>
        <w:numPr>
          <w:ilvl w:val="0"/>
          <w:numId w:val="159"/>
        </w:numPr>
        <w:pBdr>
          <w:top w:val="nil"/>
          <w:left w:val="nil"/>
          <w:bottom w:val="nil"/>
          <w:right w:val="nil"/>
          <w:between w:val="nil"/>
        </w:pBdr>
        <w:spacing w:line="240" w:lineRule="auto"/>
        <w:jc w:val="both"/>
        <w:rPr>
          <w:rFonts w:ascii="Calibri" w:hAnsi="Calibri"/>
          <w:noProof/>
        </w:rPr>
      </w:pPr>
      <w:r>
        <w:rPr>
          <w:noProof/>
        </w:rPr>
        <w:t xml:space="preserve">Dovršetak mjerenja kvalitete mreže za svih 76 okruga Češke i glavnog grada u cilju pružanja boljih informacija o kvaliteti mreža 5G i fiksne mreže te skraćivanja vremena provjere pokrivenosti mrežom. Mjerenja su u skladu s parametrima kvalitete usluge, definicijama i metodama mjerenja navedenima u Prilogu X. Direktivi (EU) 2018/1972 i u skladu sa smjernicama BEREC-a u kojima se detaljno navode parametri kvalitete usluga. </w:t>
      </w:r>
    </w:p>
    <w:p w14:paraId="0FE57437"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Dostupnost informacija o postojećoj fizičkoj infrastrukturi i građevinskim radovima financiranima javnim sredstvima čini dijeljenje fizičke infrastrukture učinkovitijim za postavljanje elektroničkih komunikacijskih mreža velike brzine. </w:t>
      </w:r>
    </w:p>
    <w:p w14:paraId="70A811EF"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Mjera mora biti dovršena do 31. prosinca 2025. </w:t>
      </w:r>
    </w:p>
    <w:p w14:paraId="7AC4E140" w14:textId="77777777" w:rsidR="00615E2D" w:rsidRDefault="00C83E46">
      <w:pPr>
        <w:pStyle w:val="P68B1DB1-Normal14"/>
        <w:pBdr>
          <w:top w:val="nil"/>
          <w:left w:val="nil"/>
          <w:bottom w:val="nil"/>
          <w:right w:val="nil"/>
          <w:between w:val="nil"/>
        </w:pBdr>
        <w:spacing w:line="240" w:lineRule="auto"/>
        <w:rPr>
          <w:noProof/>
        </w:rPr>
      </w:pPr>
      <w:r>
        <w:rPr>
          <w:noProof/>
        </w:rPr>
        <w:t xml:space="preserve">Reforma br. 2: Potpora razvoju 5G ekosustava </w:t>
      </w:r>
    </w:p>
    <w:p w14:paraId="6E0255F3"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Cilj je ove mjere izraditi strateški okvir za promicanje dijeljenja infrastrukture za 5G mreže, posebno u manje komercijalno privlačnim područjima, čime se omogućuje smanjenje potrošnje energije, radijskih emisija te troškova izgradnje i rada mreže. </w:t>
      </w:r>
    </w:p>
    <w:p w14:paraId="6AA8354C"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Mjerom se podupire dovršetak 25 studija čiji je cilj: </w:t>
      </w:r>
    </w:p>
    <w:p w14:paraId="5211A5B6" w14:textId="77777777" w:rsidR="00615E2D" w:rsidRDefault="00C83E46">
      <w:pPr>
        <w:numPr>
          <w:ilvl w:val="0"/>
          <w:numId w:val="158"/>
        </w:numPr>
        <w:pBdr>
          <w:top w:val="nil"/>
          <w:left w:val="nil"/>
          <w:bottom w:val="nil"/>
          <w:right w:val="nil"/>
          <w:between w:val="nil"/>
        </w:pBdr>
        <w:spacing w:line="240" w:lineRule="auto"/>
        <w:jc w:val="both"/>
        <w:rPr>
          <w:rFonts w:eastAsia="Times New Roman"/>
          <w:noProof/>
          <w:sz w:val="22"/>
        </w:rPr>
      </w:pPr>
      <w:r>
        <w:rPr>
          <w:noProof/>
        </w:rPr>
        <w:t xml:space="preserve">Preispitivanje nacionalnog plana radiofrekvencijskog spektra i ocjenjivanje postojećih procesa dodjele prava na spektar i strateških planova za dodjelu s ciljem što ranijeg iskorištavanja usklađenih frekvencijskih pojaseva za komercijalnu uporabu, u skladu s kriterijima utvrđenima u </w:t>
      </w:r>
      <w:r>
        <w:rPr>
          <w:noProof/>
          <w:color w:val="000000"/>
        </w:rPr>
        <w:t>zajedničkom Unijinom paketu instrumenata za povezivost</w:t>
      </w:r>
      <w:r>
        <w:rPr>
          <w:rStyle w:val="FootnoteReference"/>
          <w:b w:val="0"/>
          <w:noProof/>
          <w:color w:val="000000"/>
        </w:rPr>
        <w:footnoteReference w:id="3"/>
      </w:r>
      <w:r>
        <w:rPr>
          <w:noProof/>
          <w:color w:val="000000"/>
        </w:rPr>
        <w:t xml:space="preserve">. </w:t>
      </w:r>
    </w:p>
    <w:p w14:paraId="0A0F0FB0" w14:textId="77777777" w:rsidR="00615E2D" w:rsidRDefault="00C83E46">
      <w:pPr>
        <w:numPr>
          <w:ilvl w:val="0"/>
          <w:numId w:val="158"/>
        </w:numPr>
        <w:pBdr>
          <w:top w:val="nil"/>
          <w:left w:val="nil"/>
          <w:bottom w:val="nil"/>
          <w:right w:val="nil"/>
          <w:between w:val="nil"/>
        </w:pBdr>
        <w:spacing w:line="240" w:lineRule="auto"/>
        <w:jc w:val="both"/>
        <w:rPr>
          <w:noProof/>
        </w:rPr>
      </w:pPr>
      <w:r>
        <w:rPr>
          <w:noProof/>
        </w:rPr>
        <w:t>Analiza izvedivosti dopuštanja operatorima plaćanja naknada za dodjelu radiofrekvencijskog spektra u obrocima kako bi se olakšala ulaganja u 5G infrastrukturu.</w:t>
      </w:r>
    </w:p>
    <w:p w14:paraId="7ED97ADF" w14:textId="77777777" w:rsidR="00615E2D" w:rsidRDefault="00C83E46">
      <w:pPr>
        <w:numPr>
          <w:ilvl w:val="0"/>
          <w:numId w:val="158"/>
        </w:numPr>
        <w:pBdr>
          <w:top w:val="nil"/>
          <w:left w:val="nil"/>
          <w:bottom w:val="nil"/>
          <w:right w:val="nil"/>
          <w:between w:val="nil"/>
        </w:pBdr>
        <w:spacing w:line="240" w:lineRule="auto"/>
        <w:jc w:val="both"/>
        <w:rPr>
          <w:noProof/>
        </w:rPr>
      </w:pPr>
      <w:r>
        <w:rPr>
          <w:noProof/>
        </w:rPr>
        <w:t>Utvrđivanje i oblikovanje izazova koji proizlaze iz kibersigurnosti, izgradnje elektroničkih komunikacijskih mreža</w:t>
      </w:r>
      <w:r>
        <w:rPr>
          <w:noProof/>
          <w:color w:val="000000"/>
        </w:rPr>
        <w:t>u općinama i gradovima te razvoja gradova.</w:t>
      </w:r>
    </w:p>
    <w:p w14:paraId="784BB618" w14:textId="77777777" w:rsidR="00615E2D" w:rsidRDefault="00C83E46">
      <w:pPr>
        <w:pStyle w:val="P68B1DB1-Normal13"/>
        <w:pBdr>
          <w:top w:val="nil"/>
          <w:left w:val="nil"/>
          <w:bottom w:val="nil"/>
          <w:right w:val="nil"/>
          <w:between w:val="nil"/>
        </w:pBdr>
        <w:spacing w:line="240" w:lineRule="auto"/>
        <w:jc w:val="both"/>
        <w:rPr>
          <w:noProof/>
        </w:rPr>
      </w:pPr>
      <w:r>
        <w:rPr>
          <w:noProof/>
        </w:rPr>
        <w:t>Na temelju tih studija Savez za 5G razvija prijedloge o mogućnostima za daljnji razvoj 5G ekosustava. Ti prijedlozi čine osnovu za smjernice o dijeljenju pasivne i aktivne elektroničke komunikacijske infrastrukture kako bi se olakšalo uvođenje 5G mreža, u skladu sa zajedničkim paketom instrumenata Unije za povezivost i uzimajući u obzir Direktivu 2014/61/EU o mjerama za smanjenje troškova postavljanja elektroničkih komunikacijskih mreža velikih brzina, izvješće RSPG21 – 016 FINAL o dijeljenju spektra i Zakon br. 143/2001 o zaštiti tržišnog natjecanja. Mjerom se predviđa i dovršetak pilot-projekta o 5G/26 GHz, čiji je cilj razvoj smjernica i algoritama za postupke koordinacije radiofrekvencijskog spektra za 5G i zajedničko korištenje spektra s drugim službama u pojasu 26 GHz.</w:t>
      </w:r>
    </w:p>
    <w:p w14:paraId="6F0591B8" w14:textId="6BF89C76" w:rsidR="00615E2D" w:rsidRDefault="00C83E46">
      <w:pPr>
        <w:pStyle w:val="P68B1DB1-Normal13"/>
        <w:pBdr>
          <w:top w:val="nil"/>
          <w:left w:val="nil"/>
          <w:bottom w:val="nil"/>
          <w:right w:val="nil"/>
          <w:between w:val="nil"/>
        </w:pBdr>
        <w:spacing w:line="240" w:lineRule="auto"/>
        <w:jc w:val="both"/>
        <w:rPr>
          <w:rFonts w:ascii="Calibri" w:hAnsi="Calibri"/>
          <w:noProof/>
          <w:sz w:val="22"/>
        </w:rPr>
      </w:pPr>
      <w:r>
        <w:rPr>
          <w:noProof/>
        </w:rPr>
        <w:t xml:space="preserve">Reforma mora biti dovršena do 31. prosinca 2025. </w:t>
      </w:r>
    </w:p>
    <w:p w14:paraId="06E56C86" w14:textId="460CAAE9" w:rsidR="00615E2D" w:rsidRDefault="00C83E46">
      <w:pPr>
        <w:pStyle w:val="P68B1DB1-Normal14"/>
        <w:keepNext/>
        <w:pBdr>
          <w:top w:val="nil"/>
          <w:left w:val="nil"/>
          <w:bottom w:val="nil"/>
          <w:right w:val="nil"/>
          <w:between w:val="nil"/>
        </w:pBdr>
        <w:spacing w:line="240" w:lineRule="auto"/>
        <w:jc w:val="both"/>
        <w:rPr>
          <w:rFonts w:ascii="Calibri" w:hAnsi="Calibri"/>
          <w:noProof/>
          <w:sz w:val="22"/>
        </w:rPr>
      </w:pPr>
      <w:r>
        <w:rPr>
          <w:noProof/>
        </w:rPr>
        <w:t xml:space="preserve">Ulaganje 1: Izgradnja povezivosti visokog kapaciteta </w:t>
      </w:r>
    </w:p>
    <w:p w14:paraId="2A810249" w14:textId="3B973E86" w:rsidR="00615E2D" w:rsidRDefault="00C83E46">
      <w:pPr>
        <w:pStyle w:val="P68B1DB1-Normal13"/>
        <w:pBdr>
          <w:top w:val="nil"/>
          <w:left w:val="nil"/>
          <w:bottom w:val="nil"/>
          <w:right w:val="nil"/>
          <w:between w:val="nil"/>
        </w:pBdr>
        <w:spacing w:line="240" w:lineRule="auto"/>
        <w:jc w:val="both"/>
        <w:rPr>
          <w:noProof/>
        </w:rPr>
      </w:pPr>
      <w:r>
        <w:rPr>
          <w:noProof/>
        </w:rPr>
        <w:t>Cilj je ove mjere poduprijeti izgradnju mreža za povezivanje vrlo velikog kapaciteta (VHCN) s posebnim naglaskom na ruralna područja, u kojima tržišno utemeljena rješenja nisu profitabilna i u kojima postoji malo komercijalnih poticaja za uvođenje takvih mreža. Ta područja intervencije određuju se u skladu s važećim pravilima o državnim potporama i podliježu javnom savjetovanju.</w:t>
      </w:r>
    </w:p>
    <w:p w14:paraId="32416770" w14:textId="344664A3" w:rsidR="00615E2D" w:rsidRDefault="00C83E46">
      <w:pPr>
        <w:pStyle w:val="P68B1DB1-Normal13"/>
        <w:pBdr>
          <w:top w:val="nil"/>
          <w:left w:val="nil"/>
          <w:bottom w:val="nil"/>
          <w:right w:val="nil"/>
          <w:between w:val="nil"/>
        </w:pBdr>
        <w:spacing w:line="240" w:lineRule="auto"/>
        <w:jc w:val="both"/>
        <w:rPr>
          <w:noProof/>
        </w:rPr>
      </w:pPr>
      <w:r>
        <w:rPr>
          <w:noProof/>
        </w:rPr>
        <w:t>Za tu se mjeru objavljuje najmanje jedan poziv na podnošenje ponuda za izgradnju povezivosti vrlo velikog kapaciteta, čiji će ishod biti objavljen do 31. prosinca 2024. Provedbom odabranih projekata broj točaka adrese povezanih s mrežom VHC mreža kako je definirano u BEREC-ovim Smjernicama za mreže vrlo velikog kapaciteta (povezivost od najmanje 1 Gb/s) povećava se za najmanje 23000 jedinica.</w:t>
      </w:r>
    </w:p>
    <w:p w14:paraId="122A0104"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Ulaganje mora biti dovršeno do 31. ožujka 2026. </w:t>
      </w:r>
    </w:p>
    <w:p w14:paraId="7075BB4F" w14:textId="77777777" w:rsidR="00615E2D" w:rsidRDefault="00C83E46">
      <w:pPr>
        <w:pStyle w:val="P68B1DB1-Normal7"/>
        <w:spacing w:line="240" w:lineRule="auto"/>
        <w:jc w:val="both"/>
        <w:rPr>
          <w:noProof/>
        </w:rPr>
      </w:pPr>
      <w:r>
        <w:rPr>
          <w:noProof/>
        </w:rPr>
        <w:t xml:space="preserve">Ulaganje 2: Obuhvaćanje 5G koridora i promicanje razvoja mreže 5G </w:t>
      </w:r>
    </w:p>
    <w:p w14:paraId="6F9FC320" w14:textId="77777777" w:rsidR="00615E2D" w:rsidRDefault="00C83E46">
      <w:pPr>
        <w:spacing w:line="240" w:lineRule="auto"/>
        <w:jc w:val="both"/>
        <w:rPr>
          <w:noProof/>
        </w:rPr>
      </w:pPr>
      <w:r>
        <w:rPr>
          <w:noProof/>
        </w:rPr>
        <w:t>Cilj je ove mjere povećati pokrivenost prometnih koridora 5G mrežom ulaganjima u opremu te u istraživanje i razvoj.</w:t>
      </w:r>
    </w:p>
    <w:p w14:paraId="5F0DA586" w14:textId="77777777" w:rsidR="00615E2D" w:rsidRDefault="00C83E46">
      <w:pPr>
        <w:spacing w:line="240" w:lineRule="auto"/>
        <w:jc w:val="both"/>
        <w:rPr>
          <w:noProof/>
        </w:rPr>
      </w:pPr>
      <w:r>
        <w:rPr>
          <w:noProof/>
        </w:rPr>
        <w:t xml:space="preserve">Kako bi se postigao taj cilj, provode se sljedeće mjere: </w:t>
      </w:r>
    </w:p>
    <w:p w14:paraId="02AA8BF6" w14:textId="1D4D3870" w:rsidR="00615E2D" w:rsidRDefault="00C83E46">
      <w:pPr>
        <w:pStyle w:val="P68B1DB1-Normal3"/>
        <w:numPr>
          <w:ilvl w:val="0"/>
          <w:numId w:val="157"/>
        </w:numPr>
        <w:pBdr>
          <w:top w:val="nil"/>
          <w:left w:val="nil"/>
          <w:bottom w:val="nil"/>
          <w:right w:val="nil"/>
          <w:between w:val="nil"/>
        </w:pBdr>
        <w:spacing w:line="240" w:lineRule="auto"/>
        <w:jc w:val="both"/>
        <w:rPr>
          <w:rFonts w:ascii="Calibri" w:hAnsi="Calibri" w:cs="Calibri"/>
          <w:i/>
          <w:noProof/>
          <w:sz w:val="20"/>
        </w:rPr>
      </w:pPr>
      <w:r>
        <w:rPr>
          <w:noProof/>
        </w:rPr>
        <w:t>osiguravanje sveobuhvatne pokrivenosti željezničkih koridora 5G signalom sljedećih dvaju željezničkih koridora: i. Prag – Česká Třebová – Ostrava i ii. Česká Třebová – Brno povećanjem gustoće baznih primopredajnih postaja (BTS) na tim dvama koridorima izgradnjom novih BTS-ova uz one koje mobilni operatori moraju izgraditi u skladu s uvjetima frekvencijske aukcije 5G,</w:t>
      </w:r>
    </w:p>
    <w:p w14:paraId="6264BAEE" w14:textId="71A06F9F" w:rsidR="00615E2D" w:rsidRDefault="00C83E46">
      <w:pPr>
        <w:numPr>
          <w:ilvl w:val="0"/>
          <w:numId w:val="157"/>
        </w:numPr>
        <w:pBdr>
          <w:top w:val="nil"/>
          <w:left w:val="nil"/>
          <w:bottom w:val="nil"/>
          <w:right w:val="nil"/>
          <w:between w:val="nil"/>
        </w:pBdr>
        <w:spacing w:line="240" w:lineRule="auto"/>
        <w:jc w:val="both"/>
        <w:rPr>
          <w:noProof/>
          <w:color w:val="000000"/>
        </w:rPr>
      </w:pPr>
      <w:r>
        <w:rPr>
          <w:rFonts w:eastAsia="Times New Roman"/>
          <w:noProof/>
        </w:rPr>
        <w:t xml:space="preserve">Osiguravanje pokrivenosti 350 željezničkih vagona visokokvalitetnim pokretnim signalima ili pasivnim zidovima za 5G signal. </w:t>
      </w:r>
      <w:r>
        <w:rPr>
          <w:noProof/>
          <w:color w:val="000000" w:themeColor="text1"/>
        </w:rPr>
        <w:t>Izgradnja i ispitivanje kooperativnog inteligentnog prometnog sustava za željezničke koridore (C-ITS) u 5G mrežama. Tromjesečna izvješća o ispitivanjima i stečenom iskustvu stavljaju se na raspolaganje drugim prijevoznicima koji prometuju na gore navedenim željezničkim koridorima.</w:t>
      </w:r>
    </w:p>
    <w:p w14:paraId="4D642343" w14:textId="32E70FD0" w:rsidR="00615E2D" w:rsidRDefault="00C83E46">
      <w:pPr>
        <w:pStyle w:val="P68B1DB1-Normal13"/>
        <w:pBdr>
          <w:top w:val="nil"/>
          <w:left w:val="nil"/>
          <w:bottom w:val="nil"/>
          <w:right w:val="nil"/>
          <w:between w:val="nil"/>
        </w:pBdr>
        <w:spacing w:line="240" w:lineRule="auto"/>
        <w:jc w:val="both"/>
        <w:rPr>
          <w:noProof/>
        </w:rPr>
      </w:pPr>
      <w:r>
        <w:rPr>
          <w:noProof/>
        </w:rPr>
        <w:t xml:space="preserve">To ulaganje mora biti dovršeno do 30. lipnja 2026. </w:t>
      </w:r>
    </w:p>
    <w:p w14:paraId="15A9A346" w14:textId="77777777" w:rsidR="00615E2D" w:rsidRDefault="00C83E46">
      <w:pPr>
        <w:pStyle w:val="P68B1DB1-Normal13"/>
        <w:pBdr>
          <w:top w:val="nil"/>
          <w:left w:val="nil"/>
          <w:bottom w:val="nil"/>
          <w:right w:val="nil"/>
          <w:between w:val="nil"/>
        </w:pBdr>
        <w:spacing w:line="240" w:lineRule="auto"/>
        <w:jc w:val="both"/>
        <w:rPr>
          <w:noProof/>
        </w:rPr>
      </w:pPr>
      <w:r>
        <w:rPr>
          <w:b/>
          <w:noProof/>
        </w:rPr>
        <w:t>Ulaganje 3: Potpora razvoju mobilne infrastrukture 5G u bijelim područjima s velikom potrošnjom u ruralnim područjima</w:t>
      </w:r>
      <w:r>
        <w:rPr>
          <w:noProof/>
        </w:rPr>
        <w:t xml:space="preserve"> </w:t>
      </w:r>
    </w:p>
    <w:p w14:paraId="27E9776B" w14:textId="77777777" w:rsidR="00615E2D" w:rsidRDefault="00C83E46">
      <w:pPr>
        <w:pBdr>
          <w:top w:val="nil"/>
          <w:left w:val="nil"/>
          <w:bottom w:val="nil"/>
          <w:right w:val="nil"/>
          <w:between w:val="nil"/>
        </w:pBdr>
        <w:spacing w:line="240" w:lineRule="auto"/>
        <w:jc w:val="both"/>
        <w:rPr>
          <w:noProof/>
          <w:color w:val="000000"/>
        </w:rPr>
      </w:pPr>
      <w:r>
        <w:rPr>
          <w:noProof/>
          <w:color w:val="000000"/>
        </w:rPr>
        <w:t xml:space="preserve">Cilj je ove mjere povećati pokrivenost 5G mrežom u „bijelim područjima”, tj. područjima koja nikad nisu bila pokrivena mobilnim signalom višim od 3G i za koja se može pretpostaviti da u budućnosti neće biti pokrivena 5G baznim mrežama zbog niske očekivane profitabilnosti ulaganja. Ta definicija slijedi važeća pravila o </w:t>
      </w:r>
      <w:r>
        <w:rPr>
          <w:rFonts w:eastAsia="Times New Roman"/>
          <w:noProof/>
        </w:rPr>
        <w:t xml:space="preserve">državnim potporama i Nacionalni plan za razvoj VHC mreža. </w:t>
      </w:r>
      <w:r>
        <w:rPr>
          <w:noProof/>
          <w:color w:val="000000"/>
        </w:rPr>
        <w:t xml:space="preserve">Ta se područja utvrđuju na temelju procjene osnovnih bijelih jedinica naselja koju provodi češki Ured za telekomunikacije i podliježu javnom savjetovanju. </w:t>
      </w:r>
    </w:p>
    <w:p w14:paraId="4297062F" w14:textId="77777777" w:rsidR="00615E2D" w:rsidRDefault="00C83E46">
      <w:pPr>
        <w:pStyle w:val="P68B1DB1-Normal13"/>
        <w:pBdr>
          <w:top w:val="nil"/>
          <w:left w:val="nil"/>
          <w:bottom w:val="nil"/>
          <w:right w:val="nil"/>
          <w:between w:val="nil"/>
        </w:pBdr>
        <w:spacing w:line="240" w:lineRule="auto"/>
        <w:jc w:val="both"/>
        <w:rPr>
          <w:noProof/>
        </w:rPr>
      </w:pPr>
      <w:r>
        <w:rPr>
          <w:noProof/>
        </w:rPr>
        <w:t>Kako bi se postigao taj cilj, objavljuju se pozivi na podnošenje ponuda za izgradnju i operacionalizaciju baznih primopredajnih postaja (BTS) za 5G signale. Ministarstvo industrije i trgovine predlaže područja intervencije do 30. rujna 2021., osiguravajući da predložena područja intervencije ne budu obuhvaćena tržišnim telekomunikacijskim operatorima u sljedeće tri godine. Ishod poziva za podnošenje ponuda objavljuje se do 31. prosinca 2024.</w:t>
      </w:r>
    </w:p>
    <w:p w14:paraId="36D50966"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Provedbom odabranih projekata broj BTS-ova povećava se za 120. </w:t>
      </w:r>
    </w:p>
    <w:p w14:paraId="25D65D1B"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Ulaganje mora biti dovršeno do 31. ožujka 2026. </w:t>
      </w:r>
    </w:p>
    <w:p w14:paraId="2BBEA07D" w14:textId="77777777" w:rsidR="00615E2D" w:rsidRDefault="00C83E46">
      <w:pPr>
        <w:pStyle w:val="P68B1DB1-Normal7"/>
        <w:spacing w:line="240" w:lineRule="auto"/>
        <w:jc w:val="both"/>
        <w:rPr>
          <w:noProof/>
        </w:rPr>
      </w:pPr>
      <w:r>
        <w:rPr>
          <w:noProof/>
        </w:rPr>
        <w:t>Ulaganje 4: Znanstveno-istraživačke aktivnosti povezane s razvojem 5G mreža i usluga</w:t>
      </w:r>
    </w:p>
    <w:p w14:paraId="4B1FA06B" w14:textId="77777777" w:rsidR="00615E2D" w:rsidRDefault="00C83E46">
      <w:pPr>
        <w:spacing w:line="240" w:lineRule="auto"/>
        <w:jc w:val="both"/>
        <w:rPr>
          <w:noProof/>
        </w:rPr>
      </w:pPr>
      <w:r>
        <w:rPr>
          <w:noProof/>
        </w:rPr>
        <w:t xml:space="preserve">Cilj je ove mjere pružiti potporu javnim i privatnim subjektima u </w:t>
      </w:r>
      <w:r>
        <w:rPr>
          <w:rFonts w:eastAsia="Times New Roman"/>
          <w:noProof/>
        </w:rPr>
        <w:t xml:space="preserve">istraživanju, razvoju i inovacijama </w:t>
      </w:r>
      <w:r>
        <w:rPr>
          <w:noProof/>
        </w:rPr>
        <w:t>povezanima s 5G mrežama i uslugama.</w:t>
      </w:r>
    </w:p>
    <w:p w14:paraId="175A0DE1" w14:textId="3F676F56" w:rsidR="00615E2D" w:rsidRDefault="00C83E46">
      <w:pPr>
        <w:spacing w:line="240" w:lineRule="auto"/>
        <w:jc w:val="both"/>
        <w:rPr>
          <w:noProof/>
          <w:color w:val="000000"/>
          <w:sz w:val="22"/>
        </w:rPr>
      </w:pPr>
      <w:r>
        <w:rPr>
          <w:noProof/>
        </w:rPr>
        <w:t xml:space="preserve">Kako bi se postigao taj cilj, pokreće se poziv na podnošenje ponuda za znanstveno-istraživačke projekte povezane s tehnološkim razvojem 5G mreža i aplikacijama za 5G ekosustav. Projekti su usmjereni na upotrebu 5G aplikacija u industriji i uslugama, posebno na iskorištavanje novih tehnologija u proizvodnim procesima automobilske industrije i drugih ključnih sektora, uzimajući u obzir načela kružnog gospodarstva nabavom sekundarnih sirovina. Potpora je usmjerena i na projekte kojima se potiču razvoj i širenje automatizacije, robotizacije, umjetne inteligencije i virtualne ili proširene stvarnosti. Potencijalni korisnici uključuju poduzeća ili javne istraživačke organizacije. Projekti se odabiru do 31. prosinca 2024. </w:t>
      </w:r>
      <w:r>
        <w:rPr>
          <w:noProof/>
          <w:color w:val="000000"/>
        </w:rPr>
        <w:t>Tijekom sljedeće faze provedbe moraju biti dovršena barem 22 odabrana projekta.</w:t>
      </w:r>
    </w:p>
    <w:p w14:paraId="74D31E84"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Ulaganje mora biti dovršeno do 31. prosinca 2025. </w:t>
      </w:r>
    </w:p>
    <w:p w14:paraId="6246AD7B" w14:textId="77777777" w:rsidR="00615E2D" w:rsidRDefault="00615E2D">
      <w:pPr>
        <w:pBdr>
          <w:top w:val="nil"/>
          <w:left w:val="nil"/>
          <w:bottom w:val="nil"/>
          <w:right w:val="nil"/>
          <w:between w:val="nil"/>
        </w:pBdr>
        <w:spacing w:line="240" w:lineRule="auto"/>
        <w:rPr>
          <w:b/>
          <w:noProof/>
          <w:u w:val="single"/>
        </w:rPr>
        <w:sectPr w:rsidR="00615E2D" w:rsidSect="00F6585C">
          <w:headerReference w:type="even" r:id="rId66"/>
          <w:headerReference w:type="default" r:id="rId67"/>
          <w:footerReference w:type="even" r:id="rId68"/>
          <w:footerReference w:type="default" r:id="rId69"/>
          <w:headerReference w:type="first" r:id="rId70"/>
          <w:footerReference w:type="first" r:id="rId71"/>
          <w:pgSz w:w="11907" w:h="16839"/>
          <w:pgMar w:top="1134" w:right="1134" w:bottom="1134" w:left="1134" w:header="567" w:footer="567" w:gutter="0"/>
          <w:cols w:space="720"/>
          <w:docGrid w:linePitch="360"/>
        </w:sectPr>
      </w:pPr>
    </w:p>
    <w:p w14:paraId="054AD902" w14:textId="7E26FB8C" w:rsidR="00615E2D" w:rsidRDefault="00C83E46">
      <w:pPr>
        <w:pStyle w:val="P68B1DB1-Normal5"/>
        <w:pBdr>
          <w:top w:val="nil"/>
          <w:left w:val="nil"/>
          <w:bottom w:val="nil"/>
          <w:right w:val="nil"/>
          <w:between w:val="nil"/>
        </w:pBdr>
        <w:spacing w:line="240" w:lineRule="auto"/>
        <w:rPr>
          <w:noProof/>
        </w:rPr>
      </w:pPr>
      <w:r>
        <w:rPr>
          <w:noProof/>
        </w:rPr>
        <w:t xml:space="preserve">C.2. Ključne etape, ciljne vrijednosti i vremenski raspored za praćenje i provedbu programa bespovratne financijske potpore </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18"/>
        <w:gridCol w:w="1290"/>
        <w:gridCol w:w="1073"/>
        <w:gridCol w:w="1510"/>
        <w:gridCol w:w="1141"/>
        <w:gridCol w:w="1412"/>
        <w:gridCol w:w="1017"/>
        <w:gridCol w:w="1017"/>
        <w:gridCol w:w="860"/>
        <w:gridCol w:w="847"/>
        <w:gridCol w:w="3952"/>
      </w:tblGrid>
      <w:tr w:rsidR="00615E2D" w14:paraId="1A2BED2A" w14:textId="77777777">
        <w:trPr>
          <w:trHeight w:val="615"/>
          <w:tblHeader/>
          <w:jc w:val="center"/>
        </w:trPr>
        <w:tc>
          <w:tcPr>
            <w:tcW w:w="619" w:type="dxa"/>
            <w:vMerge w:val="restart"/>
            <w:shd w:val="clear" w:color="auto" w:fill="BDD7EE"/>
            <w:vAlign w:val="center"/>
          </w:tcPr>
          <w:p w14:paraId="2373E457" w14:textId="77777777" w:rsidR="00615E2D" w:rsidRDefault="00C83E46">
            <w:pPr>
              <w:pStyle w:val="P68B1DB1-Normal9"/>
              <w:spacing w:line="240" w:lineRule="auto"/>
              <w:jc w:val="center"/>
              <w:rPr>
                <w:noProof/>
              </w:rPr>
            </w:pPr>
            <w:r>
              <w:rPr>
                <w:noProof/>
              </w:rPr>
              <w:t xml:space="preserve">Sljedeće NUM. </w:t>
            </w:r>
          </w:p>
        </w:tc>
        <w:tc>
          <w:tcPr>
            <w:tcW w:w="1295" w:type="dxa"/>
            <w:vMerge w:val="restart"/>
            <w:shd w:val="clear" w:color="auto" w:fill="BDD7EE"/>
            <w:vAlign w:val="center"/>
          </w:tcPr>
          <w:p w14:paraId="300BA371" w14:textId="77777777" w:rsidR="00615E2D" w:rsidRDefault="00C83E46">
            <w:pPr>
              <w:pStyle w:val="P68B1DB1-Normal9"/>
              <w:spacing w:line="240" w:lineRule="auto"/>
              <w:jc w:val="center"/>
              <w:rPr>
                <w:noProof/>
              </w:rPr>
            </w:pPr>
            <w:r>
              <w:rPr>
                <w:noProof/>
              </w:rPr>
              <w:t xml:space="preserve">Povezana mjera (reforma ili ulaganje) </w:t>
            </w:r>
          </w:p>
        </w:tc>
        <w:tc>
          <w:tcPr>
            <w:tcW w:w="1077" w:type="dxa"/>
            <w:vMerge w:val="restart"/>
            <w:shd w:val="clear" w:color="auto" w:fill="BDD7EE"/>
            <w:vAlign w:val="center"/>
          </w:tcPr>
          <w:p w14:paraId="4989E49E" w14:textId="77777777" w:rsidR="00615E2D" w:rsidRDefault="00C83E46">
            <w:pPr>
              <w:pStyle w:val="P68B1DB1-Normal9"/>
              <w:spacing w:line="240" w:lineRule="auto"/>
              <w:jc w:val="center"/>
              <w:rPr>
                <w:noProof/>
              </w:rPr>
            </w:pPr>
            <w:r>
              <w:rPr>
                <w:noProof/>
              </w:rPr>
              <w:t xml:space="preserve">Ključna etapa/ciljna vrijednost </w:t>
            </w:r>
          </w:p>
        </w:tc>
        <w:tc>
          <w:tcPr>
            <w:tcW w:w="1516" w:type="dxa"/>
            <w:vMerge w:val="restart"/>
            <w:shd w:val="clear" w:color="auto" w:fill="BDD7EE"/>
            <w:vAlign w:val="center"/>
          </w:tcPr>
          <w:p w14:paraId="4A144E93" w14:textId="77777777" w:rsidR="00615E2D" w:rsidRDefault="00C83E46">
            <w:pPr>
              <w:pStyle w:val="P68B1DB1-Normal9"/>
              <w:spacing w:line="240" w:lineRule="auto"/>
              <w:jc w:val="center"/>
              <w:rPr>
                <w:noProof/>
              </w:rPr>
            </w:pPr>
            <w:r>
              <w:rPr>
                <w:noProof/>
              </w:rPr>
              <w:t>Ime</w:t>
            </w:r>
          </w:p>
        </w:tc>
        <w:tc>
          <w:tcPr>
            <w:tcW w:w="1145" w:type="dxa"/>
            <w:vMerge w:val="restart"/>
            <w:shd w:val="clear" w:color="auto" w:fill="BDD7EE"/>
            <w:vAlign w:val="center"/>
          </w:tcPr>
          <w:p w14:paraId="08173AB1" w14:textId="77777777" w:rsidR="00615E2D" w:rsidRDefault="00C83E46">
            <w:pPr>
              <w:pStyle w:val="P68B1DB1-Normal12"/>
              <w:spacing w:line="240" w:lineRule="auto"/>
              <w:jc w:val="center"/>
              <w:rPr>
                <w:rFonts w:eastAsia="Times New Roman"/>
                <w:noProof/>
              </w:rPr>
            </w:pPr>
            <w:r>
              <w:rPr>
                <w:rFonts w:eastAsia="Times New Roman"/>
                <w:b/>
                <w:noProof/>
              </w:rPr>
              <w:t>Kvalitativni pokazatelji</w:t>
            </w:r>
            <w:r>
              <w:rPr>
                <w:noProof/>
              </w:rPr>
              <w:br/>
            </w:r>
            <w:r>
              <w:rPr>
                <w:rFonts w:eastAsia="Times New Roman"/>
                <w:b/>
                <w:noProof/>
              </w:rPr>
              <w:t xml:space="preserve"> (za ključne etape) </w:t>
            </w:r>
          </w:p>
        </w:tc>
        <w:tc>
          <w:tcPr>
            <w:tcW w:w="3459" w:type="dxa"/>
            <w:gridSpan w:val="3"/>
            <w:shd w:val="clear" w:color="auto" w:fill="BDD7EE"/>
            <w:vAlign w:val="center"/>
          </w:tcPr>
          <w:p w14:paraId="7E33513E" w14:textId="77777777" w:rsidR="00615E2D" w:rsidRDefault="00C83E46">
            <w:pPr>
              <w:pStyle w:val="P68B1DB1-Normal12"/>
              <w:spacing w:line="240" w:lineRule="auto"/>
              <w:jc w:val="center"/>
              <w:rPr>
                <w:rFonts w:eastAsia="Times New Roman"/>
                <w:noProof/>
              </w:rPr>
            </w:pPr>
            <w:r>
              <w:rPr>
                <w:rFonts w:eastAsia="Times New Roman"/>
                <w:b/>
                <w:noProof/>
              </w:rPr>
              <w:t>Kvantitativni pokazatelji</w:t>
            </w:r>
            <w:r>
              <w:rPr>
                <w:noProof/>
              </w:rPr>
              <w:br/>
            </w:r>
            <w:r>
              <w:rPr>
                <w:rFonts w:eastAsia="Times New Roman"/>
                <w:b/>
                <w:noProof/>
              </w:rPr>
              <w:t xml:space="preserve"> (za ciljeve)</w:t>
            </w:r>
          </w:p>
        </w:tc>
        <w:tc>
          <w:tcPr>
            <w:tcW w:w="1713" w:type="dxa"/>
            <w:gridSpan w:val="2"/>
            <w:shd w:val="clear" w:color="auto" w:fill="BDD7EE"/>
            <w:vAlign w:val="center"/>
          </w:tcPr>
          <w:p w14:paraId="11C0B987" w14:textId="77777777" w:rsidR="00615E2D" w:rsidRDefault="00C83E46">
            <w:pPr>
              <w:pStyle w:val="P68B1DB1-Normal9"/>
              <w:spacing w:line="240" w:lineRule="auto"/>
              <w:jc w:val="center"/>
              <w:rPr>
                <w:noProof/>
              </w:rPr>
            </w:pPr>
            <w:r>
              <w:rPr>
                <w:noProof/>
              </w:rPr>
              <w:t>Okvirni vremenski okvir za dovršetak</w:t>
            </w:r>
          </w:p>
        </w:tc>
        <w:tc>
          <w:tcPr>
            <w:tcW w:w="3969" w:type="dxa"/>
            <w:vMerge w:val="restart"/>
            <w:shd w:val="clear" w:color="auto" w:fill="BDD7EE"/>
            <w:vAlign w:val="center"/>
          </w:tcPr>
          <w:p w14:paraId="299A2937"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19E721C6" w14:textId="77777777">
        <w:trPr>
          <w:trHeight w:val="159"/>
          <w:tblHeader/>
          <w:jc w:val="center"/>
        </w:trPr>
        <w:tc>
          <w:tcPr>
            <w:tcW w:w="619" w:type="dxa"/>
            <w:vMerge/>
            <w:vAlign w:val="center"/>
          </w:tcPr>
          <w:p w14:paraId="223610FE"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295" w:type="dxa"/>
            <w:vMerge/>
            <w:vAlign w:val="center"/>
          </w:tcPr>
          <w:p w14:paraId="0F36A49D"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077" w:type="dxa"/>
            <w:vMerge/>
            <w:vAlign w:val="center"/>
          </w:tcPr>
          <w:p w14:paraId="3E55C153"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516" w:type="dxa"/>
            <w:vMerge/>
            <w:vAlign w:val="center"/>
          </w:tcPr>
          <w:p w14:paraId="7AE66005"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45" w:type="dxa"/>
            <w:vMerge/>
            <w:vAlign w:val="center"/>
          </w:tcPr>
          <w:p w14:paraId="72FE9BF8"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417" w:type="dxa"/>
            <w:shd w:val="clear" w:color="auto" w:fill="BDD7EE"/>
            <w:vAlign w:val="center"/>
          </w:tcPr>
          <w:p w14:paraId="2CB2788C" w14:textId="77777777" w:rsidR="00615E2D" w:rsidRDefault="00C83E46">
            <w:pPr>
              <w:pStyle w:val="P68B1DB1-Normal9"/>
              <w:spacing w:line="240" w:lineRule="auto"/>
              <w:jc w:val="center"/>
              <w:rPr>
                <w:noProof/>
              </w:rPr>
            </w:pPr>
            <w:r>
              <w:rPr>
                <w:noProof/>
              </w:rPr>
              <w:t>Jedinica mjere</w:t>
            </w:r>
          </w:p>
        </w:tc>
        <w:tc>
          <w:tcPr>
            <w:tcW w:w="1021" w:type="dxa"/>
            <w:shd w:val="clear" w:color="auto" w:fill="BDD7EE"/>
            <w:vAlign w:val="center"/>
          </w:tcPr>
          <w:p w14:paraId="55C76BA6" w14:textId="77777777" w:rsidR="00615E2D" w:rsidRDefault="00C83E46">
            <w:pPr>
              <w:pStyle w:val="P68B1DB1-Normal9"/>
              <w:spacing w:line="240" w:lineRule="auto"/>
              <w:jc w:val="center"/>
              <w:rPr>
                <w:noProof/>
              </w:rPr>
            </w:pPr>
            <w:r>
              <w:rPr>
                <w:noProof/>
              </w:rPr>
              <w:t>Osnovna vrijednost</w:t>
            </w:r>
          </w:p>
        </w:tc>
        <w:tc>
          <w:tcPr>
            <w:tcW w:w="1021" w:type="dxa"/>
            <w:shd w:val="clear" w:color="auto" w:fill="BDD7EE"/>
            <w:vAlign w:val="center"/>
          </w:tcPr>
          <w:p w14:paraId="5E79A282" w14:textId="77777777" w:rsidR="00615E2D" w:rsidRDefault="00C83E46">
            <w:pPr>
              <w:pStyle w:val="P68B1DB1-Normal9"/>
              <w:spacing w:line="240" w:lineRule="auto"/>
              <w:jc w:val="center"/>
              <w:rPr>
                <w:noProof/>
              </w:rPr>
            </w:pPr>
            <w:r>
              <w:rPr>
                <w:noProof/>
              </w:rPr>
              <w:t>Cilj</w:t>
            </w:r>
          </w:p>
        </w:tc>
        <w:tc>
          <w:tcPr>
            <w:tcW w:w="863" w:type="dxa"/>
            <w:shd w:val="clear" w:color="auto" w:fill="BDD7EE"/>
            <w:vAlign w:val="center"/>
          </w:tcPr>
          <w:p w14:paraId="7B5C41F2" w14:textId="77777777" w:rsidR="00615E2D" w:rsidRDefault="00C83E46">
            <w:pPr>
              <w:pStyle w:val="P68B1DB1-Normal9"/>
              <w:spacing w:line="240" w:lineRule="auto"/>
              <w:jc w:val="center"/>
              <w:rPr>
                <w:noProof/>
              </w:rPr>
            </w:pPr>
            <w:r>
              <w:rPr>
                <w:noProof/>
              </w:rPr>
              <w:t>Tromjesečje</w:t>
            </w:r>
          </w:p>
        </w:tc>
        <w:tc>
          <w:tcPr>
            <w:tcW w:w="850" w:type="dxa"/>
            <w:shd w:val="clear" w:color="auto" w:fill="BDD7EE"/>
            <w:vAlign w:val="center"/>
          </w:tcPr>
          <w:p w14:paraId="1D5AD043" w14:textId="77777777" w:rsidR="00615E2D" w:rsidRDefault="00C83E46">
            <w:pPr>
              <w:pStyle w:val="P68B1DB1-Normal9"/>
              <w:spacing w:line="240" w:lineRule="auto"/>
              <w:jc w:val="center"/>
              <w:rPr>
                <w:noProof/>
              </w:rPr>
            </w:pPr>
            <w:r>
              <w:rPr>
                <w:noProof/>
              </w:rPr>
              <w:t>Godina</w:t>
            </w:r>
          </w:p>
        </w:tc>
        <w:tc>
          <w:tcPr>
            <w:tcW w:w="3969" w:type="dxa"/>
            <w:vMerge/>
            <w:vAlign w:val="center"/>
          </w:tcPr>
          <w:p w14:paraId="3FF44AD2"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r>
      <w:tr w:rsidR="00615E2D" w14:paraId="3C4D46C7" w14:textId="77777777">
        <w:trPr>
          <w:trHeight w:val="945"/>
          <w:jc w:val="center"/>
        </w:trPr>
        <w:tc>
          <w:tcPr>
            <w:tcW w:w="619" w:type="dxa"/>
            <w:shd w:val="clear" w:color="auto" w:fill="C6EFCE"/>
            <w:vAlign w:val="center"/>
          </w:tcPr>
          <w:p w14:paraId="53076758" w14:textId="77777777" w:rsidR="00615E2D" w:rsidRDefault="00C83E46">
            <w:pPr>
              <w:pStyle w:val="P68B1DB1-Normal15"/>
              <w:spacing w:line="240" w:lineRule="auto"/>
              <w:jc w:val="center"/>
              <w:rPr>
                <w:noProof/>
              </w:rPr>
            </w:pPr>
            <w:r>
              <w:rPr>
                <w:noProof/>
              </w:rPr>
              <w:t>32</w:t>
            </w:r>
          </w:p>
        </w:tc>
        <w:tc>
          <w:tcPr>
            <w:tcW w:w="1295" w:type="dxa"/>
            <w:shd w:val="clear" w:color="auto" w:fill="C6EFCE"/>
            <w:vAlign w:val="center"/>
          </w:tcPr>
          <w:p w14:paraId="5E148092" w14:textId="638BB5A1" w:rsidR="00615E2D" w:rsidRDefault="00C83E46">
            <w:pPr>
              <w:pStyle w:val="P68B1DB1-Normal15"/>
              <w:spacing w:line="240" w:lineRule="auto"/>
              <w:rPr>
                <w:noProof/>
                <w:color w:val="006100"/>
              </w:rPr>
            </w:pPr>
            <w:r>
              <w:rPr>
                <w:noProof/>
              </w:rPr>
              <w:t>Reforma 1.: Poboljšanje okruženja za uvođenje elektroničkih komunikacijskih mreža </w:t>
            </w:r>
          </w:p>
        </w:tc>
        <w:tc>
          <w:tcPr>
            <w:tcW w:w="1077" w:type="dxa"/>
            <w:shd w:val="clear" w:color="auto" w:fill="C6EFCE"/>
            <w:vAlign w:val="center"/>
          </w:tcPr>
          <w:p w14:paraId="53954691" w14:textId="77777777" w:rsidR="00615E2D" w:rsidRDefault="00C83E46">
            <w:pPr>
              <w:pStyle w:val="P68B1DB1-Normal15"/>
              <w:spacing w:line="240" w:lineRule="auto"/>
              <w:rPr>
                <w:noProof/>
                <w:color w:val="006100"/>
              </w:rPr>
            </w:pPr>
            <w:r>
              <w:rPr>
                <w:noProof/>
              </w:rPr>
              <w:t>Prekretnica </w:t>
            </w:r>
          </w:p>
        </w:tc>
        <w:tc>
          <w:tcPr>
            <w:tcW w:w="1516" w:type="dxa"/>
            <w:shd w:val="clear" w:color="auto" w:fill="C6EFCE"/>
            <w:vAlign w:val="center"/>
          </w:tcPr>
          <w:p w14:paraId="20C1073D" w14:textId="77777777" w:rsidR="00615E2D" w:rsidRDefault="00C83E46">
            <w:pPr>
              <w:pStyle w:val="P68B1DB1-Normal15"/>
              <w:spacing w:line="240" w:lineRule="auto"/>
              <w:rPr>
                <w:noProof/>
                <w:color w:val="006100"/>
              </w:rPr>
            </w:pPr>
            <w:r>
              <w:rPr>
                <w:noProof/>
              </w:rPr>
              <w:t>Stupanje na snagu mjera koje je pripremilo Ministarstvo industrije i trgovine s ciljem uspostave baze podataka planova investicijskih projekata i povećanja broja mjerenja kvalitete mreže </w:t>
            </w:r>
          </w:p>
        </w:tc>
        <w:tc>
          <w:tcPr>
            <w:tcW w:w="1145" w:type="dxa"/>
            <w:shd w:val="clear" w:color="auto" w:fill="C6EFCE"/>
            <w:vAlign w:val="center"/>
          </w:tcPr>
          <w:p w14:paraId="283F6B7B" w14:textId="77777777" w:rsidR="00615E2D" w:rsidRDefault="00C83E46">
            <w:pPr>
              <w:pStyle w:val="P68B1DB1-Normal15"/>
              <w:spacing w:line="240" w:lineRule="auto"/>
              <w:rPr>
                <w:noProof/>
                <w:color w:val="006100"/>
              </w:rPr>
            </w:pPr>
            <w:r>
              <w:rPr>
                <w:noProof/>
              </w:rPr>
              <w:t>Odredba u aktima u kojoj se navodi stupanje na snagu </w:t>
            </w:r>
          </w:p>
        </w:tc>
        <w:tc>
          <w:tcPr>
            <w:tcW w:w="1417" w:type="dxa"/>
            <w:shd w:val="clear" w:color="auto" w:fill="C6EFCE"/>
            <w:vAlign w:val="center"/>
          </w:tcPr>
          <w:p w14:paraId="240B09A1" w14:textId="77777777" w:rsidR="00615E2D" w:rsidRDefault="00615E2D">
            <w:pPr>
              <w:spacing w:line="240" w:lineRule="auto"/>
              <w:rPr>
                <w:rFonts w:eastAsia="Times New Roman"/>
                <w:noProof/>
                <w:color w:val="006100"/>
                <w:sz w:val="18"/>
              </w:rPr>
            </w:pPr>
          </w:p>
        </w:tc>
        <w:tc>
          <w:tcPr>
            <w:tcW w:w="1021" w:type="dxa"/>
            <w:shd w:val="clear" w:color="auto" w:fill="C6EFCE"/>
            <w:vAlign w:val="center"/>
          </w:tcPr>
          <w:p w14:paraId="567D24F4" w14:textId="77777777" w:rsidR="00615E2D" w:rsidRDefault="00615E2D">
            <w:pPr>
              <w:spacing w:line="240" w:lineRule="auto"/>
              <w:rPr>
                <w:rFonts w:eastAsia="Times New Roman"/>
                <w:noProof/>
                <w:color w:val="006100"/>
                <w:sz w:val="18"/>
              </w:rPr>
            </w:pPr>
          </w:p>
        </w:tc>
        <w:tc>
          <w:tcPr>
            <w:tcW w:w="1021" w:type="dxa"/>
            <w:shd w:val="clear" w:color="auto" w:fill="C6EFCE"/>
            <w:vAlign w:val="center"/>
          </w:tcPr>
          <w:p w14:paraId="19FF78B6" w14:textId="77777777" w:rsidR="00615E2D" w:rsidRDefault="00615E2D">
            <w:pPr>
              <w:spacing w:line="240" w:lineRule="auto"/>
              <w:rPr>
                <w:rFonts w:eastAsia="Times New Roman"/>
                <w:noProof/>
                <w:color w:val="006100"/>
                <w:sz w:val="18"/>
              </w:rPr>
            </w:pPr>
          </w:p>
        </w:tc>
        <w:tc>
          <w:tcPr>
            <w:tcW w:w="863" w:type="dxa"/>
            <w:shd w:val="clear" w:color="auto" w:fill="C6EFCE"/>
            <w:vAlign w:val="center"/>
          </w:tcPr>
          <w:p w14:paraId="78C6B04F" w14:textId="77777777" w:rsidR="00615E2D" w:rsidRDefault="00C83E46">
            <w:pPr>
              <w:pStyle w:val="P68B1DB1-Normal15"/>
              <w:spacing w:line="240" w:lineRule="auto"/>
              <w:jc w:val="center"/>
              <w:rPr>
                <w:noProof/>
                <w:color w:val="006100"/>
              </w:rPr>
            </w:pPr>
            <w:r>
              <w:rPr>
                <w:noProof/>
              </w:rPr>
              <w:t>TROMJESEČJE </w:t>
            </w:r>
          </w:p>
        </w:tc>
        <w:tc>
          <w:tcPr>
            <w:tcW w:w="850" w:type="dxa"/>
            <w:shd w:val="clear" w:color="auto" w:fill="C6EFCE"/>
            <w:vAlign w:val="center"/>
          </w:tcPr>
          <w:p w14:paraId="7966D0DD" w14:textId="2BDE4505" w:rsidR="00615E2D" w:rsidRDefault="00C83E46">
            <w:pPr>
              <w:pStyle w:val="P68B1DB1-Normal15"/>
              <w:spacing w:line="240" w:lineRule="auto"/>
              <w:jc w:val="center"/>
              <w:rPr>
                <w:noProof/>
                <w:color w:val="006100"/>
              </w:rPr>
            </w:pPr>
            <w:r>
              <w:rPr>
                <w:noProof/>
              </w:rPr>
              <w:t>2023 </w:t>
            </w:r>
          </w:p>
        </w:tc>
        <w:tc>
          <w:tcPr>
            <w:tcW w:w="3969" w:type="dxa"/>
            <w:shd w:val="clear" w:color="auto" w:fill="C6EFCE"/>
            <w:vAlign w:val="center"/>
          </w:tcPr>
          <w:p w14:paraId="7867AC63" w14:textId="1803640C" w:rsidR="00615E2D" w:rsidRDefault="00C83E46">
            <w:pPr>
              <w:pStyle w:val="P68B1DB1-Normal15"/>
              <w:spacing w:line="240" w:lineRule="auto"/>
              <w:rPr>
                <w:noProof/>
              </w:rPr>
            </w:pPr>
            <w:r>
              <w:rPr>
                <w:noProof/>
              </w:rPr>
              <w:t>Potrebne zakonodavne prilagodbe stupaju na snagu i dovršavaju se tehničke specifikacije s ciljem uspostave baza podataka o namjerama investicijskih projekata u smislu Zakona br. 194/2017 zb., stavaka 11. i 2. i povećanja broja mjerenja kvalitete elektroničkih komunikacijskih mreža. Nacionalno regulatorno tijelo provodi natječajne postupke i nabavlja potrebnu opremu. Kvaliteta i upotrebljivost dostavljenih informacija moraju biti u skladu s obvezujućim tehničkim parametrima.</w:t>
            </w:r>
          </w:p>
        </w:tc>
      </w:tr>
      <w:tr w:rsidR="00615E2D" w14:paraId="3BD5E740" w14:textId="77777777">
        <w:trPr>
          <w:trHeight w:val="945"/>
          <w:jc w:val="center"/>
        </w:trPr>
        <w:tc>
          <w:tcPr>
            <w:tcW w:w="619" w:type="dxa"/>
            <w:shd w:val="clear" w:color="auto" w:fill="C6EFCE"/>
            <w:vAlign w:val="center"/>
          </w:tcPr>
          <w:p w14:paraId="7BA12106" w14:textId="77777777" w:rsidR="00615E2D" w:rsidRDefault="00C83E46">
            <w:pPr>
              <w:pStyle w:val="P68B1DB1-Normal15"/>
              <w:spacing w:line="240" w:lineRule="auto"/>
              <w:jc w:val="center"/>
              <w:rPr>
                <w:noProof/>
              </w:rPr>
            </w:pPr>
            <w:r>
              <w:rPr>
                <w:noProof/>
              </w:rPr>
              <w:t>33</w:t>
            </w:r>
          </w:p>
        </w:tc>
        <w:tc>
          <w:tcPr>
            <w:tcW w:w="1295" w:type="dxa"/>
            <w:shd w:val="clear" w:color="auto" w:fill="C6EFCE"/>
            <w:vAlign w:val="center"/>
          </w:tcPr>
          <w:p w14:paraId="6F7CD01F" w14:textId="77777777" w:rsidR="00615E2D" w:rsidRDefault="00C83E46">
            <w:pPr>
              <w:pStyle w:val="P68B1DB1-Normal15"/>
              <w:spacing w:line="240" w:lineRule="auto"/>
              <w:rPr>
                <w:noProof/>
                <w:color w:val="006100"/>
              </w:rPr>
            </w:pPr>
            <w:r>
              <w:rPr>
                <w:noProof/>
              </w:rPr>
              <w:t>Reforma 1.: Poboljšanje okruženja za uvođenje elektroničkih komunikacijskih mreža </w:t>
            </w:r>
          </w:p>
        </w:tc>
        <w:tc>
          <w:tcPr>
            <w:tcW w:w="1077" w:type="dxa"/>
            <w:shd w:val="clear" w:color="auto" w:fill="C6EFCE"/>
            <w:vAlign w:val="center"/>
          </w:tcPr>
          <w:p w14:paraId="224939AA" w14:textId="77777777" w:rsidR="00615E2D" w:rsidRDefault="00C83E46">
            <w:pPr>
              <w:pStyle w:val="P68B1DB1-Normal15"/>
              <w:spacing w:line="240" w:lineRule="auto"/>
              <w:rPr>
                <w:noProof/>
                <w:color w:val="006100"/>
              </w:rPr>
            </w:pPr>
            <w:r>
              <w:rPr>
                <w:noProof/>
              </w:rPr>
              <w:t>Ciljna </w:t>
            </w:r>
          </w:p>
        </w:tc>
        <w:tc>
          <w:tcPr>
            <w:tcW w:w="1516" w:type="dxa"/>
            <w:shd w:val="clear" w:color="auto" w:fill="C6EFCE"/>
            <w:vAlign w:val="center"/>
          </w:tcPr>
          <w:p w14:paraId="6E35E0BC" w14:textId="77777777" w:rsidR="00615E2D" w:rsidRDefault="00C83E46">
            <w:pPr>
              <w:pStyle w:val="P68B1DB1-Normal15"/>
              <w:spacing w:line="240" w:lineRule="auto"/>
              <w:rPr>
                <w:noProof/>
                <w:color w:val="006100"/>
              </w:rPr>
            </w:pPr>
            <w:r>
              <w:rPr>
                <w:noProof/>
              </w:rPr>
              <w:t xml:space="preserve">Dovršetak objekata digitalnih tehničkih karata (DTM) za osnovnu prostornu situaciju </w:t>
            </w:r>
          </w:p>
        </w:tc>
        <w:tc>
          <w:tcPr>
            <w:tcW w:w="1145" w:type="dxa"/>
            <w:shd w:val="clear" w:color="auto" w:fill="C6EFCE"/>
            <w:vAlign w:val="center"/>
          </w:tcPr>
          <w:p w14:paraId="23FB6C0F" w14:textId="77777777" w:rsidR="00615E2D" w:rsidRDefault="00615E2D">
            <w:pPr>
              <w:spacing w:line="240" w:lineRule="auto"/>
              <w:rPr>
                <w:rFonts w:eastAsia="Times New Roman"/>
                <w:noProof/>
                <w:color w:val="006100"/>
                <w:sz w:val="18"/>
              </w:rPr>
            </w:pPr>
          </w:p>
        </w:tc>
        <w:tc>
          <w:tcPr>
            <w:tcW w:w="1417" w:type="dxa"/>
            <w:shd w:val="clear" w:color="auto" w:fill="C6EFCE"/>
            <w:vAlign w:val="center"/>
          </w:tcPr>
          <w:p w14:paraId="7F6D3451" w14:textId="77777777" w:rsidR="00615E2D" w:rsidRDefault="00C83E46">
            <w:pPr>
              <w:pStyle w:val="P68B1DB1-Normal15"/>
              <w:spacing w:line="240" w:lineRule="auto"/>
              <w:rPr>
                <w:noProof/>
                <w:color w:val="006100"/>
              </w:rPr>
            </w:pPr>
            <w:r>
              <w:rPr>
                <w:noProof/>
              </w:rPr>
              <w:t>Hektara </w:t>
            </w:r>
          </w:p>
        </w:tc>
        <w:tc>
          <w:tcPr>
            <w:tcW w:w="1021" w:type="dxa"/>
            <w:shd w:val="clear" w:color="auto" w:fill="C6EFCE"/>
            <w:vAlign w:val="center"/>
          </w:tcPr>
          <w:p w14:paraId="1B7D0276" w14:textId="77777777" w:rsidR="00615E2D" w:rsidRDefault="00C83E46">
            <w:pPr>
              <w:pStyle w:val="P68B1DB1-Normal15"/>
              <w:spacing w:line="240" w:lineRule="auto"/>
              <w:jc w:val="center"/>
              <w:rPr>
                <w:noProof/>
                <w:color w:val="006100"/>
              </w:rPr>
            </w:pPr>
            <w:r>
              <w:rPr>
                <w:noProof/>
              </w:rPr>
              <w:t>0</w:t>
            </w:r>
          </w:p>
        </w:tc>
        <w:tc>
          <w:tcPr>
            <w:tcW w:w="1021" w:type="dxa"/>
            <w:shd w:val="clear" w:color="auto" w:fill="C6EFCE"/>
            <w:vAlign w:val="center"/>
          </w:tcPr>
          <w:p w14:paraId="25D4263C" w14:textId="77777777" w:rsidR="00615E2D" w:rsidRDefault="00C83E46">
            <w:pPr>
              <w:pStyle w:val="P68B1DB1-Normal15"/>
              <w:spacing w:line="240" w:lineRule="auto"/>
              <w:jc w:val="center"/>
              <w:rPr>
                <w:noProof/>
                <w:color w:val="006100"/>
              </w:rPr>
            </w:pPr>
            <w:r>
              <w:rPr>
                <w:noProof/>
              </w:rPr>
              <w:t>161 000</w:t>
            </w:r>
          </w:p>
        </w:tc>
        <w:tc>
          <w:tcPr>
            <w:tcW w:w="863" w:type="dxa"/>
            <w:shd w:val="clear" w:color="auto" w:fill="C6EFCE"/>
            <w:vAlign w:val="center"/>
          </w:tcPr>
          <w:p w14:paraId="56CB9C92" w14:textId="77777777" w:rsidR="00615E2D" w:rsidRDefault="00C83E46">
            <w:pPr>
              <w:pStyle w:val="P68B1DB1-Normal15"/>
              <w:spacing w:line="240" w:lineRule="auto"/>
              <w:jc w:val="center"/>
              <w:rPr>
                <w:noProof/>
                <w:color w:val="006100"/>
              </w:rPr>
            </w:pPr>
            <w:r>
              <w:rPr>
                <w:noProof/>
              </w:rPr>
              <w:t>ČETVRTO TROMJESEČJE </w:t>
            </w:r>
          </w:p>
        </w:tc>
        <w:tc>
          <w:tcPr>
            <w:tcW w:w="850" w:type="dxa"/>
            <w:shd w:val="clear" w:color="auto" w:fill="C6EFCE"/>
            <w:vAlign w:val="center"/>
          </w:tcPr>
          <w:p w14:paraId="5C425F89" w14:textId="77777777" w:rsidR="00615E2D" w:rsidRDefault="00C83E46">
            <w:pPr>
              <w:pStyle w:val="P68B1DB1-Normal15"/>
              <w:spacing w:line="240" w:lineRule="auto"/>
              <w:jc w:val="center"/>
              <w:rPr>
                <w:noProof/>
                <w:color w:val="006100"/>
              </w:rPr>
            </w:pPr>
            <w:r>
              <w:rPr>
                <w:noProof/>
              </w:rPr>
              <w:t>2025 </w:t>
            </w:r>
          </w:p>
        </w:tc>
        <w:tc>
          <w:tcPr>
            <w:tcW w:w="3969" w:type="dxa"/>
            <w:shd w:val="clear" w:color="auto" w:fill="C6EFCE"/>
            <w:vAlign w:val="center"/>
          </w:tcPr>
          <w:p w14:paraId="7957E415" w14:textId="77777777" w:rsidR="00615E2D" w:rsidRDefault="00C83E46">
            <w:pPr>
              <w:pStyle w:val="P68B1DB1-Normal15"/>
              <w:spacing w:line="240" w:lineRule="auto"/>
              <w:rPr>
                <w:noProof/>
              </w:rPr>
            </w:pPr>
            <w:r>
              <w:rPr>
                <w:noProof/>
              </w:rPr>
              <w:t xml:space="preserve">Objekti digitalnih tehničkih karata (DTM) moraju biti dovršeni, čime se omogućuje pristup točnim informacijama o lokaciji objekata osnovne prostorne situacije u vlasništvu javnih i privatnih tijela. 161 000 ha objekata osnovne prostorne situacije mora biti digitalizirano. Nastali DTM objekti moraju biti javno dostupni. </w:t>
            </w:r>
          </w:p>
        </w:tc>
      </w:tr>
      <w:tr w:rsidR="00615E2D" w14:paraId="1105512B" w14:textId="77777777">
        <w:trPr>
          <w:trHeight w:val="945"/>
          <w:jc w:val="center"/>
        </w:trPr>
        <w:tc>
          <w:tcPr>
            <w:tcW w:w="619" w:type="dxa"/>
            <w:shd w:val="clear" w:color="auto" w:fill="C6EFCE"/>
            <w:vAlign w:val="center"/>
          </w:tcPr>
          <w:p w14:paraId="18155234" w14:textId="77777777" w:rsidR="00615E2D" w:rsidRDefault="00C83E46">
            <w:pPr>
              <w:pStyle w:val="P68B1DB1-Normal15"/>
              <w:spacing w:line="240" w:lineRule="auto"/>
              <w:jc w:val="center"/>
              <w:rPr>
                <w:noProof/>
                <w:color w:val="006100"/>
              </w:rPr>
            </w:pPr>
            <w:r>
              <w:rPr>
                <w:noProof/>
              </w:rPr>
              <w:t>34 </w:t>
            </w:r>
          </w:p>
        </w:tc>
        <w:tc>
          <w:tcPr>
            <w:tcW w:w="1295" w:type="dxa"/>
            <w:shd w:val="clear" w:color="auto" w:fill="C6EFCE"/>
            <w:vAlign w:val="center"/>
          </w:tcPr>
          <w:p w14:paraId="04FF411A" w14:textId="77777777" w:rsidR="00615E2D" w:rsidRDefault="00C83E46">
            <w:pPr>
              <w:pStyle w:val="P68B1DB1-Normal15"/>
              <w:spacing w:line="240" w:lineRule="auto"/>
              <w:rPr>
                <w:noProof/>
                <w:color w:val="006100"/>
              </w:rPr>
            </w:pPr>
            <w:r>
              <w:rPr>
                <w:noProof/>
              </w:rPr>
              <w:t>Reforma 1.: Poboljšanje okruženja za uvođenje elektroničkih komunikacijskih mreža </w:t>
            </w:r>
          </w:p>
        </w:tc>
        <w:tc>
          <w:tcPr>
            <w:tcW w:w="1077" w:type="dxa"/>
            <w:shd w:val="clear" w:color="auto" w:fill="C6EFCE"/>
            <w:vAlign w:val="center"/>
          </w:tcPr>
          <w:p w14:paraId="4F713C5D" w14:textId="77777777" w:rsidR="00615E2D" w:rsidRDefault="00C83E46">
            <w:pPr>
              <w:pStyle w:val="P68B1DB1-Normal15"/>
              <w:spacing w:line="240" w:lineRule="auto"/>
              <w:rPr>
                <w:noProof/>
                <w:color w:val="006100"/>
              </w:rPr>
            </w:pPr>
            <w:r>
              <w:rPr>
                <w:noProof/>
              </w:rPr>
              <w:t>Ciljna </w:t>
            </w:r>
          </w:p>
        </w:tc>
        <w:tc>
          <w:tcPr>
            <w:tcW w:w="1516" w:type="dxa"/>
            <w:shd w:val="clear" w:color="auto" w:fill="C6EFCE"/>
            <w:vAlign w:val="center"/>
          </w:tcPr>
          <w:p w14:paraId="4625A549" w14:textId="77777777" w:rsidR="00615E2D" w:rsidRDefault="00C83E46">
            <w:pPr>
              <w:pStyle w:val="P68B1DB1-Normal15"/>
              <w:spacing w:line="240" w:lineRule="auto"/>
              <w:rPr>
                <w:noProof/>
                <w:color w:val="006100"/>
              </w:rPr>
            </w:pPr>
            <w:r>
              <w:rPr>
                <w:noProof/>
              </w:rPr>
              <w:t>Dovršetak digitalnih tehničkih karata (DTM) objekata za prometne mreže i mreže tehničke infrastrukture</w:t>
            </w:r>
          </w:p>
        </w:tc>
        <w:tc>
          <w:tcPr>
            <w:tcW w:w="1145" w:type="dxa"/>
            <w:shd w:val="clear" w:color="auto" w:fill="C6EFCE"/>
            <w:vAlign w:val="center"/>
          </w:tcPr>
          <w:p w14:paraId="2D42B1C5" w14:textId="77777777" w:rsidR="00615E2D" w:rsidRDefault="00615E2D">
            <w:pPr>
              <w:spacing w:line="240" w:lineRule="auto"/>
              <w:rPr>
                <w:rFonts w:eastAsia="Times New Roman"/>
                <w:noProof/>
                <w:color w:val="006100"/>
                <w:sz w:val="18"/>
              </w:rPr>
            </w:pPr>
          </w:p>
        </w:tc>
        <w:tc>
          <w:tcPr>
            <w:tcW w:w="1417" w:type="dxa"/>
            <w:shd w:val="clear" w:color="auto" w:fill="C6EFCE"/>
            <w:vAlign w:val="center"/>
          </w:tcPr>
          <w:p w14:paraId="72AA9AA5" w14:textId="77777777" w:rsidR="00615E2D" w:rsidRDefault="00C83E46">
            <w:pPr>
              <w:pStyle w:val="P68B1DB1-Normal15"/>
              <w:spacing w:line="240" w:lineRule="auto"/>
              <w:rPr>
                <w:noProof/>
                <w:color w:val="006100"/>
              </w:rPr>
            </w:pPr>
            <w:r>
              <w:rPr>
                <w:noProof/>
              </w:rPr>
              <w:t>Kilometara </w:t>
            </w:r>
          </w:p>
        </w:tc>
        <w:tc>
          <w:tcPr>
            <w:tcW w:w="1021" w:type="dxa"/>
            <w:shd w:val="clear" w:color="auto" w:fill="C6EFCE"/>
            <w:vAlign w:val="center"/>
          </w:tcPr>
          <w:p w14:paraId="15FBA21B" w14:textId="77777777" w:rsidR="00615E2D" w:rsidRDefault="00C83E46">
            <w:pPr>
              <w:pStyle w:val="P68B1DB1-Normal15"/>
              <w:spacing w:line="240" w:lineRule="auto"/>
              <w:jc w:val="center"/>
              <w:rPr>
                <w:noProof/>
                <w:color w:val="006100"/>
              </w:rPr>
            </w:pPr>
            <w:r>
              <w:rPr>
                <w:noProof/>
              </w:rPr>
              <w:t>0</w:t>
            </w:r>
          </w:p>
        </w:tc>
        <w:tc>
          <w:tcPr>
            <w:tcW w:w="1021" w:type="dxa"/>
            <w:shd w:val="clear" w:color="auto" w:fill="C6EFCE"/>
            <w:vAlign w:val="center"/>
          </w:tcPr>
          <w:p w14:paraId="7186AA84" w14:textId="77777777" w:rsidR="00615E2D" w:rsidRDefault="00C83E46">
            <w:pPr>
              <w:pStyle w:val="P68B1DB1-Normal15"/>
              <w:spacing w:line="240" w:lineRule="auto"/>
              <w:jc w:val="center"/>
              <w:rPr>
                <w:noProof/>
                <w:color w:val="006100"/>
              </w:rPr>
            </w:pPr>
            <w:r>
              <w:rPr>
                <w:noProof/>
              </w:rPr>
              <w:t>55 000 </w:t>
            </w:r>
          </w:p>
        </w:tc>
        <w:tc>
          <w:tcPr>
            <w:tcW w:w="863" w:type="dxa"/>
            <w:shd w:val="clear" w:color="auto" w:fill="C6EFCE"/>
            <w:vAlign w:val="center"/>
          </w:tcPr>
          <w:p w14:paraId="56487972" w14:textId="77777777" w:rsidR="00615E2D" w:rsidRDefault="00C83E46">
            <w:pPr>
              <w:pStyle w:val="P68B1DB1-Normal15"/>
              <w:spacing w:line="240" w:lineRule="auto"/>
              <w:jc w:val="center"/>
              <w:rPr>
                <w:noProof/>
                <w:color w:val="006100"/>
              </w:rPr>
            </w:pPr>
            <w:r>
              <w:rPr>
                <w:noProof/>
              </w:rPr>
              <w:t>ČETVRTO TROMJESEČJE </w:t>
            </w:r>
          </w:p>
        </w:tc>
        <w:tc>
          <w:tcPr>
            <w:tcW w:w="850" w:type="dxa"/>
            <w:shd w:val="clear" w:color="auto" w:fill="C6EFCE"/>
            <w:vAlign w:val="center"/>
          </w:tcPr>
          <w:p w14:paraId="3567EF0B" w14:textId="77777777" w:rsidR="00615E2D" w:rsidRDefault="00C83E46">
            <w:pPr>
              <w:pStyle w:val="P68B1DB1-Normal15"/>
              <w:spacing w:line="240" w:lineRule="auto"/>
              <w:jc w:val="center"/>
              <w:rPr>
                <w:noProof/>
                <w:color w:val="006100"/>
              </w:rPr>
            </w:pPr>
            <w:r>
              <w:rPr>
                <w:noProof/>
              </w:rPr>
              <w:t>2025 </w:t>
            </w:r>
          </w:p>
        </w:tc>
        <w:tc>
          <w:tcPr>
            <w:tcW w:w="3969" w:type="dxa"/>
            <w:shd w:val="clear" w:color="auto" w:fill="C6EFCE"/>
            <w:vAlign w:val="center"/>
          </w:tcPr>
          <w:p w14:paraId="6F4A50A9" w14:textId="77777777" w:rsidR="00615E2D" w:rsidRDefault="00C83E46">
            <w:pPr>
              <w:pStyle w:val="P68B1DB1-Normal15"/>
              <w:spacing w:line="240" w:lineRule="auto"/>
              <w:rPr>
                <w:noProof/>
              </w:rPr>
            </w:pPr>
            <w:r>
              <w:rPr>
                <w:noProof/>
              </w:rPr>
              <w:t>Objekti digitalnih tehničkih karata (DTM) moraju biti dovršeni, čime se omogućuje pristup preciznim informacijama o lokaciji i tehničkim specifikacijama fizičkih infrastrukturnih mreža u vlasništvu javnih i privatnih tijela. 55 000 km prometnih mreža i mreža tehničke infrastrukture mora biti digitalizirano. Nastali DTM objekti moraju biti javno dostupni.</w:t>
            </w:r>
          </w:p>
        </w:tc>
      </w:tr>
      <w:tr w:rsidR="00615E2D" w14:paraId="2134427E" w14:textId="77777777">
        <w:trPr>
          <w:trHeight w:val="945"/>
          <w:jc w:val="center"/>
        </w:trPr>
        <w:tc>
          <w:tcPr>
            <w:tcW w:w="619" w:type="dxa"/>
            <w:shd w:val="clear" w:color="auto" w:fill="C6EFCE"/>
            <w:vAlign w:val="center"/>
          </w:tcPr>
          <w:p w14:paraId="14079625" w14:textId="77777777" w:rsidR="00615E2D" w:rsidRDefault="00C83E46">
            <w:pPr>
              <w:pStyle w:val="P68B1DB1-Normal15"/>
              <w:spacing w:line="240" w:lineRule="auto"/>
              <w:jc w:val="center"/>
              <w:rPr>
                <w:noProof/>
                <w:color w:val="006100"/>
              </w:rPr>
            </w:pPr>
            <w:r>
              <w:rPr>
                <w:noProof/>
              </w:rPr>
              <w:t>35 </w:t>
            </w:r>
          </w:p>
        </w:tc>
        <w:tc>
          <w:tcPr>
            <w:tcW w:w="1295" w:type="dxa"/>
            <w:shd w:val="clear" w:color="auto" w:fill="C6EFCE"/>
            <w:vAlign w:val="center"/>
          </w:tcPr>
          <w:p w14:paraId="0217D3C6" w14:textId="77777777" w:rsidR="00615E2D" w:rsidRDefault="00C83E46">
            <w:pPr>
              <w:pStyle w:val="P68B1DB1-Normal15"/>
              <w:spacing w:line="240" w:lineRule="auto"/>
              <w:rPr>
                <w:noProof/>
                <w:color w:val="006100"/>
              </w:rPr>
            </w:pPr>
            <w:r>
              <w:rPr>
                <w:noProof/>
              </w:rPr>
              <w:t>Reforma 1.: Poboljšanje okruženja za uvođenje elektroničkih komunikacijskih mreža</w:t>
            </w:r>
          </w:p>
        </w:tc>
        <w:tc>
          <w:tcPr>
            <w:tcW w:w="1077" w:type="dxa"/>
            <w:shd w:val="clear" w:color="auto" w:fill="C6EFCE"/>
            <w:vAlign w:val="center"/>
          </w:tcPr>
          <w:p w14:paraId="67240D99" w14:textId="77777777" w:rsidR="00615E2D" w:rsidRDefault="00C83E46">
            <w:pPr>
              <w:pStyle w:val="P68B1DB1-Normal15"/>
              <w:spacing w:line="240" w:lineRule="auto"/>
              <w:rPr>
                <w:noProof/>
                <w:color w:val="006100"/>
              </w:rPr>
            </w:pPr>
            <w:r>
              <w:rPr>
                <w:noProof/>
              </w:rPr>
              <w:t>Ciljna </w:t>
            </w:r>
          </w:p>
        </w:tc>
        <w:tc>
          <w:tcPr>
            <w:tcW w:w="1516" w:type="dxa"/>
            <w:shd w:val="clear" w:color="auto" w:fill="C6EFCE"/>
            <w:vAlign w:val="center"/>
          </w:tcPr>
          <w:p w14:paraId="6D2A890A" w14:textId="77777777" w:rsidR="00615E2D" w:rsidRDefault="00C83E46">
            <w:pPr>
              <w:pStyle w:val="P68B1DB1-Normal15"/>
              <w:spacing w:line="240" w:lineRule="auto"/>
              <w:rPr>
                <w:noProof/>
                <w:color w:val="006100"/>
              </w:rPr>
            </w:pPr>
            <w:r>
              <w:rPr>
                <w:noProof/>
              </w:rPr>
              <w:t>Završetak mjerenja kvalitete elektroničke komunikacije </w:t>
            </w:r>
          </w:p>
        </w:tc>
        <w:tc>
          <w:tcPr>
            <w:tcW w:w="1145" w:type="dxa"/>
            <w:shd w:val="clear" w:color="auto" w:fill="C6EFCE"/>
            <w:vAlign w:val="center"/>
          </w:tcPr>
          <w:p w14:paraId="13D8290A" w14:textId="77777777" w:rsidR="00615E2D" w:rsidRDefault="00615E2D">
            <w:pPr>
              <w:spacing w:line="240" w:lineRule="auto"/>
              <w:rPr>
                <w:rFonts w:eastAsia="Times New Roman"/>
                <w:noProof/>
                <w:color w:val="006100"/>
                <w:sz w:val="18"/>
              </w:rPr>
            </w:pPr>
          </w:p>
        </w:tc>
        <w:tc>
          <w:tcPr>
            <w:tcW w:w="1417" w:type="dxa"/>
            <w:shd w:val="clear" w:color="auto" w:fill="C6EFCE"/>
            <w:vAlign w:val="center"/>
          </w:tcPr>
          <w:p w14:paraId="66AB2764" w14:textId="77777777" w:rsidR="00615E2D" w:rsidRDefault="00C83E46">
            <w:pPr>
              <w:pStyle w:val="P68B1DB1-Normal15"/>
              <w:spacing w:line="240" w:lineRule="auto"/>
              <w:rPr>
                <w:noProof/>
                <w:color w:val="006100"/>
              </w:rPr>
            </w:pPr>
            <w:r>
              <w:rPr>
                <w:noProof/>
              </w:rPr>
              <w:t>Broj </w:t>
            </w:r>
          </w:p>
        </w:tc>
        <w:tc>
          <w:tcPr>
            <w:tcW w:w="1021" w:type="dxa"/>
            <w:shd w:val="clear" w:color="auto" w:fill="C6EFCE"/>
            <w:vAlign w:val="center"/>
          </w:tcPr>
          <w:p w14:paraId="4F132176" w14:textId="77777777" w:rsidR="00615E2D" w:rsidRDefault="00C83E46">
            <w:pPr>
              <w:pStyle w:val="P68B1DB1-Normal11"/>
              <w:spacing w:line="240" w:lineRule="auto"/>
              <w:jc w:val="center"/>
              <w:rPr>
                <w:noProof/>
              </w:rPr>
            </w:pPr>
            <w:r>
              <w:rPr>
                <w:noProof/>
              </w:rPr>
              <w:t>0</w:t>
            </w:r>
          </w:p>
        </w:tc>
        <w:tc>
          <w:tcPr>
            <w:tcW w:w="1021" w:type="dxa"/>
            <w:shd w:val="clear" w:color="auto" w:fill="C6EFCE"/>
            <w:vAlign w:val="center"/>
          </w:tcPr>
          <w:p w14:paraId="2BF7888E" w14:textId="77777777" w:rsidR="00615E2D" w:rsidRDefault="00C83E46">
            <w:pPr>
              <w:pStyle w:val="P68B1DB1-Normal11"/>
              <w:spacing w:line="259" w:lineRule="auto"/>
              <w:jc w:val="center"/>
              <w:rPr>
                <w:noProof/>
              </w:rPr>
            </w:pPr>
            <w:r>
              <w:rPr>
                <w:noProof/>
              </w:rPr>
              <w:t>77</w:t>
            </w:r>
          </w:p>
        </w:tc>
        <w:tc>
          <w:tcPr>
            <w:tcW w:w="863" w:type="dxa"/>
            <w:shd w:val="clear" w:color="auto" w:fill="C6EFCE"/>
            <w:vAlign w:val="center"/>
          </w:tcPr>
          <w:p w14:paraId="523E7D83" w14:textId="77777777" w:rsidR="00615E2D" w:rsidRDefault="00C83E46">
            <w:pPr>
              <w:pStyle w:val="P68B1DB1-Normal15"/>
              <w:spacing w:line="240" w:lineRule="auto"/>
              <w:jc w:val="center"/>
              <w:rPr>
                <w:noProof/>
                <w:color w:val="006100"/>
              </w:rPr>
            </w:pPr>
            <w:r>
              <w:rPr>
                <w:noProof/>
              </w:rPr>
              <w:t>ČETVRTO TROMJESEČJE </w:t>
            </w:r>
          </w:p>
        </w:tc>
        <w:tc>
          <w:tcPr>
            <w:tcW w:w="850" w:type="dxa"/>
            <w:shd w:val="clear" w:color="auto" w:fill="C6EFCE"/>
            <w:vAlign w:val="center"/>
          </w:tcPr>
          <w:p w14:paraId="4261E0D5" w14:textId="77777777" w:rsidR="00615E2D" w:rsidRDefault="00C83E46">
            <w:pPr>
              <w:pStyle w:val="P68B1DB1-Normal15"/>
              <w:spacing w:line="240" w:lineRule="auto"/>
              <w:jc w:val="center"/>
              <w:rPr>
                <w:noProof/>
                <w:color w:val="006100"/>
              </w:rPr>
            </w:pPr>
            <w:r>
              <w:rPr>
                <w:noProof/>
              </w:rPr>
              <w:t>2025 </w:t>
            </w:r>
          </w:p>
        </w:tc>
        <w:tc>
          <w:tcPr>
            <w:tcW w:w="3969" w:type="dxa"/>
            <w:shd w:val="clear" w:color="auto" w:fill="C6EFCE"/>
            <w:vAlign w:val="center"/>
          </w:tcPr>
          <w:p w14:paraId="3FFB27D7" w14:textId="77777777" w:rsidR="00615E2D" w:rsidRDefault="00C83E46">
            <w:pPr>
              <w:pStyle w:val="P68B1DB1-Normal15"/>
              <w:spacing w:line="240" w:lineRule="auto"/>
              <w:rPr>
                <w:noProof/>
                <w:color w:val="006100"/>
              </w:rPr>
            </w:pPr>
            <w:r>
              <w:rPr>
                <w:noProof/>
              </w:rPr>
              <w:t>Mjerenje kvalitete mreže dovršava se za svih 76 okruga Češke i glavnog grada.</w:t>
            </w:r>
          </w:p>
        </w:tc>
      </w:tr>
      <w:tr w:rsidR="00615E2D" w14:paraId="12F272C5" w14:textId="77777777">
        <w:trPr>
          <w:trHeight w:val="945"/>
          <w:jc w:val="center"/>
        </w:trPr>
        <w:tc>
          <w:tcPr>
            <w:tcW w:w="619" w:type="dxa"/>
            <w:shd w:val="clear" w:color="auto" w:fill="C6EFCE"/>
            <w:vAlign w:val="center"/>
          </w:tcPr>
          <w:p w14:paraId="6CE79803" w14:textId="77777777" w:rsidR="00615E2D" w:rsidRDefault="00C83E46">
            <w:pPr>
              <w:pStyle w:val="P68B1DB1-Normal15"/>
              <w:spacing w:line="240" w:lineRule="auto"/>
              <w:jc w:val="center"/>
              <w:rPr>
                <w:noProof/>
                <w:color w:val="006100"/>
              </w:rPr>
            </w:pPr>
            <w:r>
              <w:rPr>
                <w:noProof/>
              </w:rPr>
              <w:t>36 </w:t>
            </w:r>
          </w:p>
        </w:tc>
        <w:tc>
          <w:tcPr>
            <w:tcW w:w="1295" w:type="dxa"/>
            <w:shd w:val="clear" w:color="auto" w:fill="C6EFCE"/>
            <w:vAlign w:val="center"/>
          </w:tcPr>
          <w:p w14:paraId="0BBFACCB" w14:textId="77777777" w:rsidR="00615E2D" w:rsidRDefault="00C83E46">
            <w:pPr>
              <w:pStyle w:val="P68B1DB1-Normal15"/>
              <w:spacing w:line="240" w:lineRule="auto"/>
              <w:rPr>
                <w:noProof/>
                <w:color w:val="006100"/>
              </w:rPr>
            </w:pPr>
            <w:r>
              <w:rPr>
                <w:noProof/>
              </w:rPr>
              <w:t>Reforma br. 2: Potpora razvoju 5G ekosustava</w:t>
            </w:r>
          </w:p>
        </w:tc>
        <w:tc>
          <w:tcPr>
            <w:tcW w:w="1077" w:type="dxa"/>
            <w:shd w:val="clear" w:color="auto" w:fill="C6EFCE"/>
            <w:vAlign w:val="center"/>
          </w:tcPr>
          <w:p w14:paraId="5354AB68" w14:textId="77777777" w:rsidR="00615E2D" w:rsidRDefault="00C83E46">
            <w:pPr>
              <w:pStyle w:val="P68B1DB1-Normal15"/>
              <w:spacing w:line="240" w:lineRule="auto"/>
              <w:rPr>
                <w:noProof/>
                <w:color w:val="006100"/>
              </w:rPr>
            </w:pPr>
            <w:r>
              <w:rPr>
                <w:noProof/>
              </w:rPr>
              <w:t>Ciljna </w:t>
            </w:r>
          </w:p>
        </w:tc>
        <w:tc>
          <w:tcPr>
            <w:tcW w:w="1516" w:type="dxa"/>
            <w:shd w:val="clear" w:color="auto" w:fill="C6EFCE"/>
            <w:vAlign w:val="center"/>
          </w:tcPr>
          <w:p w14:paraId="72408F71" w14:textId="77777777" w:rsidR="00615E2D" w:rsidRDefault="00C83E46">
            <w:pPr>
              <w:pStyle w:val="P68B1DB1-Normal15"/>
              <w:spacing w:line="240" w:lineRule="auto"/>
              <w:rPr>
                <w:noProof/>
                <w:color w:val="006100"/>
              </w:rPr>
            </w:pPr>
            <w:r>
              <w:rPr>
                <w:noProof/>
              </w:rPr>
              <w:t>Objava studija kojima je cilj poboljšati uvođenje 5G mreža od strane Ministarstva industrije i trgovine </w:t>
            </w:r>
          </w:p>
        </w:tc>
        <w:tc>
          <w:tcPr>
            <w:tcW w:w="1145" w:type="dxa"/>
            <w:shd w:val="clear" w:color="auto" w:fill="C6EFCE"/>
            <w:vAlign w:val="center"/>
          </w:tcPr>
          <w:p w14:paraId="31CBDA03" w14:textId="77777777" w:rsidR="00615E2D" w:rsidRDefault="00615E2D">
            <w:pPr>
              <w:spacing w:line="240" w:lineRule="auto"/>
              <w:rPr>
                <w:rFonts w:eastAsia="Times New Roman"/>
                <w:noProof/>
                <w:color w:val="006100"/>
                <w:sz w:val="18"/>
              </w:rPr>
            </w:pPr>
          </w:p>
        </w:tc>
        <w:tc>
          <w:tcPr>
            <w:tcW w:w="1417" w:type="dxa"/>
            <w:shd w:val="clear" w:color="auto" w:fill="C6EFCE"/>
            <w:vAlign w:val="center"/>
          </w:tcPr>
          <w:p w14:paraId="74777795" w14:textId="77777777" w:rsidR="00615E2D" w:rsidRDefault="00C83E46">
            <w:pPr>
              <w:pStyle w:val="P68B1DB1-Normal15"/>
              <w:spacing w:line="240" w:lineRule="auto"/>
              <w:rPr>
                <w:noProof/>
                <w:color w:val="006100"/>
              </w:rPr>
            </w:pPr>
            <w:r>
              <w:rPr>
                <w:noProof/>
              </w:rPr>
              <w:t>Broj </w:t>
            </w:r>
          </w:p>
        </w:tc>
        <w:tc>
          <w:tcPr>
            <w:tcW w:w="1021" w:type="dxa"/>
            <w:shd w:val="clear" w:color="auto" w:fill="C6EFCE"/>
            <w:vAlign w:val="center"/>
          </w:tcPr>
          <w:p w14:paraId="26338ECF" w14:textId="77777777" w:rsidR="00615E2D" w:rsidRDefault="00C83E46">
            <w:pPr>
              <w:pStyle w:val="P68B1DB1-Normal11"/>
              <w:spacing w:line="240" w:lineRule="auto"/>
              <w:jc w:val="center"/>
              <w:rPr>
                <w:noProof/>
              </w:rPr>
            </w:pPr>
            <w:r>
              <w:rPr>
                <w:noProof/>
              </w:rPr>
              <w:t>0</w:t>
            </w:r>
          </w:p>
        </w:tc>
        <w:tc>
          <w:tcPr>
            <w:tcW w:w="1021" w:type="dxa"/>
            <w:shd w:val="clear" w:color="auto" w:fill="C6EFCE"/>
            <w:vAlign w:val="center"/>
          </w:tcPr>
          <w:p w14:paraId="22FA6275" w14:textId="77777777" w:rsidR="00615E2D" w:rsidRDefault="00C83E46">
            <w:pPr>
              <w:pStyle w:val="P68B1DB1-Normal11"/>
              <w:spacing w:line="240" w:lineRule="auto"/>
              <w:jc w:val="center"/>
              <w:rPr>
                <w:noProof/>
              </w:rPr>
            </w:pPr>
            <w:r>
              <w:rPr>
                <w:noProof/>
              </w:rPr>
              <w:t>25</w:t>
            </w:r>
          </w:p>
        </w:tc>
        <w:tc>
          <w:tcPr>
            <w:tcW w:w="863" w:type="dxa"/>
            <w:shd w:val="clear" w:color="auto" w:fill="C6EFCE"/>
            <w:vAlign w:val="center"/>
          </w:tcPr>
          <w:p w14:paraId="7A9FF260" w14:textId="77777777" w:rsidR="00615E2D" w:rsidRDefault="00C83E46">
            <w:pPr>
              <w:pStyle w:val="P68B1DB1-Normal15"/>
              <w:spacing w:line="240" w:lineRule="auto"/>
              <w:jc w:val="center"/>
              <w:rPr>
                <w:noProof/>
                <w:color w:val="006100"/>
              </w:rPr>
            </w:pPr>
            <w:r>
              <w:rPr>
                <w:noProof/>
              </w:rPr>
              <w:t>ČETVRTO TROMJESEČJE </w:t>
            </w:r>
          </w:p>
        </w:tc>
        <w:tc>
          <w:tcPr>
            <w:tcW w:w="850" w:type="dxa"/>
            <w:shd w:val="clear" w:color="auto" w:fill="C6EFCE"/>
            <w:vAlign w:val="center"/>
          </w:tcPr>
          <w:p w14:paraId="65223ED7" w14:textId="77777777" w:rsidR="00615E2D" w:rsidRDefault="00C83E46">
            <w:pPr>
              <w:pStyle w:val="P68B1DB1-Normal15"/>
              <w:spacing w:line="240" w:lineRule="auto"/>
              <w:jc w:val="center"/>
              <w:rPr>
                <w:noProof/>
                <w:color w:val="006100"/>
              </w:rPr>
            </w:pPr>
            <w:r>
              <w:rPr>
                <w:noProof/>
              </w:rPr>
              <w:t>2024 </w:t>
            </w:r>
          </w:p>
        </w:tc>
        <w:tc>
          <w:tcPr>
            <w:tcW w:w="3969" w:type="dxa"/>
            <w:shd w:val="clear" w:color="auto" w:fill="C6EFCE"/>
            <w:vAlign w:val="center"/>
          </w:tcPr>
          <w:p w14:paraId="6DD1A295" w14:textId="77777777" w:rsidR="00615E2D" w:rsidRDefault="00C83E46">
            <w:pPr>
              <w:pStyle w:val="P68B1DB1-Normal15"/>
              <w:spacing w:before="0" w:after="0" w:line="240" w:lineRule="auto"/>
              <w:textAlignment w:val="baseline"/>
              <w:rPr>
                <w:noProof/>
              </w:rPr>
            </w:pPr>
            <w:r>
              <w:rPr>
                <w:noProof/>
              </w:rPr>
              <w:t>Studije imaju sljedeće ciljeve:</w:t>
            </w:r>
          </w:p>
          <w:p w14:paraId="1E571E39" w14:textId="77777777" w:rsidR="00615E2D" w:rsidRDefault="00C83E46">
            <w:pPr>
              <w:pStyle w:val="P68B1DB1-Normal15"/>
              <w:numPr>
                <w:ilvl w:val="0"/>
                <w:numId w:val="176"/>
              </w:numPr>
              <w:spacing w:before="0" w:after="0" w:line="240" w:lineRule="auto"/>
              <w:textAlignment w:val="baseline"/>
              <w:rPr>
                <w:noProof/>
              </w:rPr>
            </w:pPr>
            <w:r>
              <w:rPr>
                <w:noProof/>
              </w:rPr>
              <w:t xml:space="preserve">Preispitivanje nacionalnog plana radiofrekvencijskog spektra i ocjenjivanje postojećih procesa dodjele prava na spektar i strateških planova za dodjelu, s ciljem što ranijeg iskorištavanja usklađenih pojaseva za komercijalnu uporabu. </w:t>
            </w:r>
          </w:p>
          <w:p w14:paraId="0F2F405C" w14:textId="77777777" w:rsidR="00615E2D" w:rsidRDefault="00C83E46">
            <w:pPr>
              <w:pStyle w:val="P68B1DB1-Normal15"/>
              <w:numPr>
                <w:ilvl w:val="0"/>
                <w:numId w:val="176"/>
              </w:numPr>
              <w:spacing w:before="0" w:after="0" w:line="240" w:lineRule="auto"/>
              <w:textAlignment w:val="baseline"/>
              <w:rPr>
                <w:noProof/>
                <w:color w:val="006100"/>
              </w:rPr>
            </w:pPr>
            <w:r>
              <w:rPr>
                <w:noProof/>
              </w:rPr>
              <w:t>Analiza izvedivosti dopuštanja operatorima plaćanja naknada za dodjelu radiofrekvencijskog spektra u obrocima kako bi se olakšala ulaganja u 5G infrastrukturu.</w:t>
            </w:r>
          </w:p>
          <w:p w14:paraId="22C4C01F" w14:textId="77777777" w:rsidR="00615E2D" w:rsidRDefault="00C83E46">
            <w:pPr>
              <w:pStyle w:val="P68B1DB1-Normal15"/>
              <w:numPr>
                <w:ilvl w:val="0"/>
                <w:numId w:val="176"/>
              </w:numPr>
              <w:spacing w:before="0" w:after="0" w:line="240" w:lineRule="auto"/>
              <w:textAlignment w:val="baseline"/>
              <w:rPr>
                <w:noProof/>
                <w:color w:val="006100"/>
              </w:rPr>
            </w:pPr>
            <w:r>
              <w:rPr>
                <w:noProof/>
              </w:rPr>
              <w:t xml:space="preserve">Utvrđivanje izazova koji proizlaze iz kibersigurnosti. </w:t>
            </w:r>
          </w:p>
          <w:p w14:paraId="710B2FAA" w14:textId="77777777" w:rsidR="00615E2D" w:rsidRDefault="00C83E46">
            <w:pPr>
              <w:pStyle w:val="P68B1DB1-Normal15"/>
              <w:numPr>
                <w:ilvl w:val="0"/>
                <w:numId w:val="176"/>
              </w:numPr>
              <w:spacing w:before="0" w:after="0" w:line="240" w:lineRule="auto"/>
              <w:textAlignment w:val="baseline"/>
              <w:rPr>
                <w:noProof/>
                <w:color w:val="006100"/>
              </w:rPr>
            </w:pPr>
            <w:r>
              <w:rPr>
                <w:noProof/>
              </w:rPr>
              <w:t>Izgradnja elektroničkih komunikacijskih mreža u općinama i gradovima te razvoj gradova.</w:t>
            </w:r>
          </w:p>
          <w:p w14:paraId="553074C2" w14:textId="77777777" w:rsidR="00615E2D" w:rsidRDefault="00615E2D">
            <w:pPr>
              <w:spacing w:before="0" w:after="0" w:line="240" w:lineRule="auto"/>
              <w:textAlignment w:val="baseline"/>
              <w:rPr>
                <w:rFonts w:eastAsia="Times New Roman"/>
                <w:noProof/>
                <w:color w:val="004300"/>
                <w:sz w:val="18"/>
              </w:rPr>
            </w:pPr>
          </w:p>
          <w:p w14:paraId="3EFC14D0" w14:textId="77777777" w:rsidR="00615E2D" w:rsidRDefault="00C83E46">
            <w:pPr>
              <w:pStyle w:val="P68B1DB1-Normal15"/>
              <w:spacing w:before="0" w:after="0" w:line="240" w:lineRule="auto"/>
              <w:textAlignment w:val="baseline"/>
              <w:rPr>
                <w:noProof/>
              </w:rPr>
            </w:pPr>
            <w:r>
              <w:rPr>
                <w:noProof/>
              </w:rPr>
              <w:t xml:space="preserve">Studije su posebno usmjerene na sljedeća pitanja: </w:t>
            </w:r>
          </w:p>
          <w:p w14:paraId="67B73D56"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primjenjivost značajki i standarda 5G mreža u pojedinačnim sektorima i prijedloga za njihovu tehničku provedbu i regulatorne mjere.</w:t>
            </w:r>
          </w:p>
          <w:p w14:paraId="7BB8FAE8"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koncept i upotreba digitalnog blizanca 5G mrežne infrastrukture.</w:t>
            </w:r>
          </w:p>
          <w:p w14:paraId="027EA15A"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upotreba satelitskih komunikacija za 5G koegzistenciju i suradnju zemaljskih i satelitskih 5G mreža.</w:t>
            </w:r>
          </w:p>
          <w:p w14:paraId="4F00B1F7"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primjenjivost FeMBMS-a (daljnje razvijene multicast usluge multimedijskog emitiranja) u 5G mrežama za televizijsko emitiranje i audiovizualne medijske usluge, uključujući strategiju za buduću uporabu frekvencijskog pojasa 600 MHz za televizijsko emitiranje.</w:t>
            </w:r>
          </w:p>
          <w:p w14:paraId="68B83A61"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uporaba FRMCS-a (budućih željezničkih pokretnih komunikacijskih sustava) za željeznice s namjenskim kanalima u pojasevima 900 MHz i 1 900 MHz.</w:t>
            </w:r>
          </w:p>
          <w:p w14:paraId="7EA4906C"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upotreba kvantne tehnologije za povećanje sigurnosti 5G mreža i usluga.</w:t>
            </w:r>
          </w:p>
          <w:p w14:paraId="0A4582BD"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mogućnost zajedničkog korištenja spektra za 5G mreže.</w:t>
            </w:r>
          </w:p>
          <w:p w14:paraId="27B537BF"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uporaba frekvencijskog pojasa 26 GHz za 5G mrežu.</w:t>
            </w:r>
          </w:p>
          <w:p w14:paraId="6E285EDE"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upotreba modernih informacijskih sustava, uključujući razmjenu softvera putem otvorenih izvora ili drugih oblika dijeljenja, kao što su poslužitelji u oblaku, u 5G mrežama.</w:t>
            </w:r>
          </w:p>
          <w:p w14:paraId="1DCC6B9A"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upotreba sustava rezanja 5G mreže za javne i privatne 5G mreže.</w:t>
            </w:r>
          </w:p>
          <w:p w14:paraId="4648BDA6"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povezivanje komunikacije o internetu stvari (IoT) s 5G mrežama.</w:t>
            </w:r>
          </w:p>
          <w:p w14:paraId="6FA066D0"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korištenje 5G mreža za fiksni bežični pristup</w:t>
            </w:r>
          </w:p>
          <w:p w14:paraId="77952DC6"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utjecaj otvorene mreže RAN (Radio Access Network) i otvorenog osnovnog pristupa na sigurnost 5G mreža.</w:t>
            </w:r>
          </w:p>
          <w:p w14:paraId="3109FAA5"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platforme za letačku komunikaciju (bespilotne letjelice, bespilotne letjelice, baloni) i njihov utjecaj na regulaciju elektroničkih komunikacija.</w:t>
            </w:r>
          </w:p>
          <w:p w14:paraId="66E14D34" w14:textId="77777777" w:rsidR="00615E2D" w:rsidRDefault="00C83E46">
            <w:pPr>
              <w:pStyle w:val="P68B1DB1-Normal15"/>
              <w:numPr>
                <w:ilvl w:val="0"/>
                <w:numId w:val="175"/>
              </w:numPr>
              <w:autoSpaceDE w:val="0"/>
              <w:autoSpaceDN w:val="0"/>
              <w:adjustRightInd w:val="0"/>
              <w:spacing w:before="0" w:after="0" w:line="240" w:lineRule="auto"/>
              <w:jc w:val="both"/>
              <w:rPr>
                <w:noProof/>
              </w:rPr>
            </w:pPr>
            <w:r>
              <w:rPr>
                <w:noProof/>
              </w:rPr>
              <w:t>pametna radijska okruženja s primjenom internetskih mjerenja elektromagnetskog zračenja i inteligentnih reflektirajućih površina.</w:t>
            </w:r>
          </w:p>
          <w:p w14:paraId="6C5BA5BF" w14:textId="77777777" w:rsidR="00615E2D" w:rsidRDefault="00C83E46">
            <w:pPr>
              <w:pStyle w:val="P68B1DB1-Normal15"/>
              <w:numPr>
                <w:ilvl w:val="0"/>
                <w:numId w:val="175"/>
              </w:numPr>
              <w:autoSpaceDE w:val="0"/>
              <w:autoSpaceDN w:val="0"/>
              <w:adjustRightInd w:val="0"/>
              <w:spacing w:before="0" w:after="0" w:line="240" w:lineRule="auto"/>
              <w:jc w:val="both"/>
              <w:rPr>
                <w:b/>
                <w:i/>
                <w:noProof/>
                <w:color w:val="006100"/>
              </w:rPr>
            </w:pPr>
            <w:r>
              <w:rPr>
                <w:noProof/>
              </w:rPr>
              <w:t>razvoj 6G mreža u pojasevima iznad 100 GHz.</w:t>
            </w:r>
          </w:p>
        </w:tc>
      </w:tr>
      <w:tr w:rsidR="00615E2D" w14:paraId="02F973AF" w14:textId="77777777">
        <w:trPr>
          <w:trHeight w:val="945"/>
          <w:jc w:val="center"/>
        </w:trPr>
        <w:tc>
          <w:tcPr>
            <w:tcW w:w="619" w:type="dxa"/>
            <w:shd w:val="clear" w:color="auto" w:fill="C6EFCE"/>
            <w:vAlign w:val="center"/>
          </w:tcPr>
          <w:p w14:paraId="7A29B612" w14:textId="77777777" w:rsidR="00615E2D" w:rsidRDefault="00C83E46">
            <w:pPr>
              <w:pStyle w:val="P68B1DB1-Normal15"/>
              <w:spacing w:line="240" w:lineRule="auto"/>
              <w:jc w:val="center"/>
              <w:rPr>
                <w:noProof/>
                <w:color w:val="006100"/>
              </w:rPr>
            </w:pPr>
            <w:r>
              <w:rPr>
                <w:noProof/>
              </w:rPr>
              <w:t>37 </w:t>
            </w:r>
          </w:p>
        </w:tc>
        <w:tc>
          <w:tcPr>
            <w:tcW w:w="1295" w:type="dxa"/>
            <w:shd w:val="clear" w:color="auto" w:fill="C6EFCE"/>
            <w:vAlign w:val="center"/>
          </w:tcPr>
          <w:p w14:paraId="2D3ACDD2" w14:textId="77777777" w:rsidR="00615E2D" w:rsidRDefault="00C83E46">
            <w:pPr>
              <w:pStyle w:val="P68B1DB1-Normal15"/>
              <w:spacing w:line="240" w:lineRule="auto"/>
              <w:rPr>
                <w:noProof/>
                <w:color w:val="006100"/>
              </w:rPr>
            </w:pPr>
            <w:r>
              <w:rPr>
                <w:noProof/>
              </w:rPr>
              <w:t>Reforma br. 2: Potpora razvoju 5G ekosustava </w:t>
            </w:r>
          </w:p>
        </w:tc>
        <w:tc>
          <w:tcPr>
            <w:tcW w:w="1077" w:type="dxa"/>
            <w:shd w:val="clear" w:color="auto" w:fill="C6EFCE"/>
            <w:vAlign w:val="center"/>
          </w:tcPr>
          <w:p w14:paraId="43F6BFBD" w14:textId="77777777" w:rsidR="00615E2D" w:rsidRDefault="00C83E46">
            <w:pPr>
              <w:pStyle w:val="P68B1DB1-Normal15"/>
              <w:spacing w:line="240" w:lineRule="auto"/>
              <w:rPr>
                <w:noProof/>
                <w:color w:val="006100"/>
              </w:rPr>
            </w:pPr>
            <w:r>
              <w:rPr>
                <w:noProof/>
              </w:rPr>
              <w:t>Prekretnica </w:t>
            </w:r>
          </w:p>
        </w:tc>
        <w:tc>
          <w:tcPr>
            <w:tcW w:w="1516" w:type="dxa"/>
            <w:shd w:val="clear" w:color="auto" w:fill="C6EFCE"/>
            <w:vAlign w:val="center"/>
          </w:tcPr>
          <w:p w14:paraId="6C269651" w14:textId="77777777" w:rsidR="00615E2D" w:rsidRDefault="00C83E46">
            <w:pPr>
              <w:pStyle w:val="P68B1DB1-Normal15"/>
              <w:spacing w:line="240" w:lineRule="auto"/>
              <w:rPr>
                <w:noProof/>
                <w:color w:val="006100"/>
              </w:rPr>
            </w:pPr>
            <w:r>
              <w:rPr>
                <w:noProof/>
              </w:rPr>
              <w:t>Ministarstvo industrije i trgovine objavi smjernice o uvođenju 5G mreža </w:t>
            </w:r>
          </w:p>
        </w:tc>
        <w:tc>
          <w:tcPr>
            <w:tcW w:w="1145" w:type="dxa"/>
            <w:shd w:val="clear" w:color="auto" w:fill="C6EFCE"/>
            <w:vAlign w:val="center"/>
          </w:tcPr>
          <w:p w14:paraId="1F618768" w14:textId="77777777" w:rsidR="00615E2D" w:rsidRDefault="00C83E46">
            <w:pPr>
              <w:pStyle w:val="P68B1DB1-Normal15"/>
              <w:spacing w:line="240" w:lineRule="auto"/>
              <w:rPr>
                <w:noProof/>
                <w:color w:val="006100"/>
              </w:rPr>
            </w:pPr>
            <w:r>
              <w:rPr>
                <w:noProof/>
              </w:rPr>
              <w:t>Objava smjernica Ministarstva industrije i trgovine</w:t>
            </w:r>
          </w:p>
        </w:tc>
        <w:tc>
          <w:tcPr>
            <w:tcW w:w="1417" w:type="dxa"/>
            <w:shd w:val="clear" w:color="auto" w:fill="C6EFCE"/>
            <w:vAlign w:val="center"/>
          </w:tcPr>
          <w:p w14:paraId="7B945C7F" w14:textId="77777777" w:rsidR="00615E2D" w:rsidRDefault="00615E2D">
            <w:pPr>
              <w:spacing w:line="240" w:lineRule="auto"/>
              <w:rPr>
                <w:rFonts w:eastAsia="Times New Roman"/>
                <w:noProof/>
                <w:color w:val="006100"/>
                <w:sz w:val="18"/>
              </w:rPr>
            </w:pPr>
          </w:p>
        </w:tc>
        <w:tc>
          <w:tcPr>
            <w:tcW w:w="1021" w:type="dxa"/>
            <w:shd w:val="clear" w:color="auto" w:fill="C6EFCE"/>
            <w:vAlign w:val="center"/>
          </w:tcPr>
          <w:p w14:paraId="05AD6B6D" w14:textId="77777777" w:rsidR="00615E2D" w:rsidRDefault="00615E2D">
            <w:pPr>
              <w:spacing w:line="240" w:lineRule="auto"/>
              <w:rPr>
                <w:rFonts w:eastAsia="Times New Roman"/>
                <w:noProof/>
                <w:color w:val="006100"/>
                <w:sz w:val="18"/>
              </w:rPr>
            </w:pPr>
          </w:p>
        </w:tc>
        <w:tc>
          <w:tcPr>
            <w:tcW w:w="1021" w:type="dxa"/>
            <w:shd w:val="clear" w:color="auto" w:fill="C6EFCE"/>
            <w:vAlign w:val="center"/>
          </w:tcPr>
          <w:p w14:paraId="68FEEEAA" w14:textId="77777777" w:rsidR="00615E2D" w:rsidRDefault="00615E2D">
            <w:pPr>
              <w:spacing w:line="240" w:lineRule="auto"/>
              <w:rPr>
                <w:rFonts w:eastAsia="Times New Roman"/>
                <w:noProof/>
                <w:color w:val="006100"/>
                <w:sz w:val="18"/>
              </w:rPr>
            </w:pPr>
          </w:p>
        </w:tc>
        <w:tc>
          <w:tcPr>
            <w:tcW w:w="863" w:type="dxa"/>
            <w:shd w:val="clear" w:color="auto" w:fill="C6EFCE"/>
            <w:vAlign w:val="center"/>
          </w:tcPr>
          <w:p w14:paraId="1716E732" w14:textId="77777777" w:rsidR="00615E2D" w:rsidRDefault="00C83E46">
            <w:pPr>
              <w:pStyle w:val="P68B1DB1-Normal15"/>
              <w:spacing w:line="240" w:lineRule="auto"/>
              <w:jc w:val="center"/>
              <w:rPr>
                <w:noProof/>
                <w:color w:val="006100"/>
              </w:rPr>
            </w:pPr>
            <w:r>
              <w:rPr>
                <w:noProof/>
              </w:rPr>
              <w:t>ČETVRTO TROMJESEČJE </w:t>
            </w:r>
          </w:p>
        </w:tc>
        <w:tc>
          <w:tcPr>
            <w:tcW w:w="850" w:type="dxa"/>
            <w:shd w:val="clear" w:color="auto" w:fill="C6EFCE"/>
            <w:vAlign w:val="center"/>
          </w:tcPr>
          <w:p w14:paraId="64B0312B" w14:textId="77777777" w:rsidR="00615E2D" w:rsidRDefault="00C83E46">
            <w:pPr>
              <w:pStyle w:val="P68B1DB1-Normal15"/>
              <w:spacing w:line="240" w:lineRule="auto"/>
              <w:jc w:val="center"/>
              <w:rPr>
                <w:noProof/>
                <w:color w:val="006100"/>
              </w:rPr>
            </w:pPr>
            <w:r>
              <w:rPr>
                <w:noProof/>
              </w:rPr>
              <w:t>2025 </w:t>
            </w:r>
          </w:p>
        </w:tc>
        <w:tc>
          <w:tcPr>
            <w:tcW w:w="3969" w:type="dxa"/>
            <w:shd w:val="clear" w:color="auto" w:fill="C6EFCE"/>
            <w:vAlign w:val="center"/>
          </w:tcPr>
          <w:p w14:paraId="565B2DD0" w14:textId="77777777" w:rsidR="00615E2D" w:rsidRDefault="00C83E46">
            <w:pPr>
              <w:pStyle w:val="P68B1DB1-Normal15"/>
              <w:spacing w:line="240" w:lineRule="auto"/>
              <w:rPr>
                <w:noProof/>
                <w:color w:val="006100"/>
              </w:rPr>
            </w:pPr>
            <w:r>
              <w:rPr>
                <w:noProof/>
              </w:rPr>
              <w:t xml:space="preserve">Objavljuju se smjernice o zajedničkom korištenju pasivne i aktivne infrastrukture kako bi se olakšalo uvođenje 5G mreža, u skladu sa zajedničkim paketom instrumenata Unije za povezivost i uzimajući u obzir Direktivu 2014/61/EU o mjerama za smanjenje troškova postavljanja elektroničkih komunikacijskih mreža velikih brzina, izvješće RSPG21 – 016 FINAL o zajedničkom korištenju spektra i Zakon br. 143/2001 o zaštiti tržišnog natjecanja. Smjernice se temelje na studijama objavljenima u okviru iste mjere. Konkretno, mjerom se predviđa razvoj smjernica i algoritama za postupke koordinacije radiofrekvencijskog spektra za 5G i zajedničko korištenje spektra s drugim uslugama u pojasu 26 GHz. </w:t>
            </w:r>
          </w:p>
        </w:tc>
      </w:tr>
      <w:tr w:rsidR="00615E2D" w14:paraId="39E2617A" w14:textId="77777777">
        <w:trPr>
          <w:trHeight w:val="945"/>
          <w:jc w:val="center"/>
        </w:trPr>
        <w:tc>
          <w:tcPr>
            <w:tcW w:w="619" w:type="dxa"/>
            <w:shd w:val="clear" w:color="auto" w:fill="C6EFCE"/>
            <w:vAlign w:val="center"/>
          </w:tcPr>
          <w:p w14:paraId="36D7C25D" w14:textId="77777777" w:rsidR="00615E2D" w:rsidRDefault="00C83E46">
            <w:pPr>
              <w:pStyle w:val="P68B1DB1-Normal15"/>
              <w:spacing w:line="240" w:lineRule="auto"/>
              <w:jc w:val="center"/>
              <w:rPr>
                <w:noProof/>
                <w:color w:val="006100"/>
              </w:rPr>
            </w:pPr>
            <w:r>
              <w:rPr>
                <w:noProof/>
              </w:rPr>
              <w:t>38 </w:t>
            </w:r>
          </w:p>
        </w:tc>
        <w:tc>
          <w:tcPr>
            <w:tcW w:w="1295" w:type="dxa"/>
            <w:shd w:val="clear" w:color="auto" w:fill="C6EFCE"/>
            <w:vAlign w:val="center"/>
          </w:tcPr>
          <w:p w14:paraId="0E482FB3" w14:textId="77777777" w:rsidR="00615E2D" w:rsidRDefault="00C83E46">
            <w:pPr>
              <w:pStyle w:val="P68B1DB1-Normal15"/>
              <w:spacing w:line="240" w:lineRule="auto"/>
              <w:rPr>
                <w:noProof/>
                <w:color w:val="006100"/>
              </w:rPr>
            </w:pPr>
            <w:r>
              <w:rPr>
                <w:noProof/>
              </w:rPr>
              <w:t>Ulaganje 1: Izgradnja veza velikog kapaciteta </w:t>
            </w:r>
          </w:p>
        </w:tc>
        <w:tc>
          <w:tcPr>
            <w:tcW w:w="1077" w:type="dxa"/>
            <w:shd w:val="clear" w:color="auto" w:fill="C6EFCE"/>
            <w:vAlign w:val="center"/>
          </w:tcPr>
          <w:p w14:paraId="025A9C34" w14:textId="77777777" w:rsidR="00615E2D" w:rsidRDefault="00C83E46">
            <w:pPr>
              <w:pStyle w:val="P68B1DB1-Normal15"/>
              <w:spacing w:line="240" w:lineRule="auto"/>
              <w:rPr>
                <w:noProof/>
                <w:color w:val="006100"/>
              </w:rPr>
            </w:pPr>
            <w:r>
              <w:rPr>
                <w:noProof/>
              </w:rPr>
              <w:t>Prekretnica </w:t>
            </w:r>
          </w:p>
        </w:tc>
        <w:tc>
          <w:tcPr>
            <w:tcW w:w="1516" w:type="dxa"/>
            <w:shd w:val="clear" w:color="auto" w:fill="C6EFCE"/>
            <w:vAlign w:val="center"/>
          </w:tcPr>
          <w:p w14:paraId="692736E1" w14:textId="388D2ABD" w:rsidR="00615E2D" w:rsidRDefault="00C83E46">
            <w:pPr>
              <w:pStyle w:val="P68B1DB1-Normal15"/>
              <w:spacing w:line="240" w:lineRule="auto"/>
              <w:rPr>
                <w:noProof/>
                <w:color w:val="006100"/>
              </w:rPr>
            </w:pPr>
            <w:r>
              <w:rPr>
                <w:noProof/>
              </w:rPr>
              <w:t>Ministarstvo industrije i trgovine dodjeljuje sve odluke o dodjeli bespovratnih sredstava za povezivanje točaka adresa s mrežom vrlo velikog kapaciteta (VHCN) </w:t>
            </w:r>
          </w:p>
        </w:tc>
        <w:tc>
          <w:tcPr>
            <w:tcW w:w="1145" w:type="dxa"/>
            <w:shd w:val="clear" w:color="auto" w:fill="C6EFCE"/>
            <w:vAlign w:val="center"/>
          </w:tcPr>
          <w:p w14:paraId="2071343A" w14:textId="1AAD5853" w:rsidR="00615E2D" w:rsidRDefault="00C83E46">
            <w:pPr>
              <w:pStyle w:val="P68B1DB1-Normal15"/>
              <w:spacing w:line="240" w:lineRule="auto"/>
              <w:rPr>
                <w:noProof/>
                <w:color w:val="006100"/>
              </w:rPr>
            </w:pPr>
            <w:r>
              <w:rPr>
                <w:noProof/>
              </w:rPr>
              <w:t>Obavijest Ministarstva industrije i trgovine o dodjeli svih odluka o dodjeli bespovratnih sredstava za povezivanje točaka adresa s mrežom vrlo velikog kapaciteta (VHCN) </w:t>
            </w:r>
          </w:p>
        </w:tc>
        <w:tc>
          <w:tcPr>
            <w:tcW w:w="1417" w:type="dxa"/>
            <w:shd w:val="clear" w:color="auto" w:fill="C6EFCE"/>
            <w:vAlign w:val="center"/>
          </w:tcPr>
          <w:p w14:paraId="31ED616C" w14:textId="77777777" w:rsidR="00615E2D" w:rsidRDefault="00615E2D">
            <w:pPr>
              <w:spacing w:line="240" w:lineRule="auto"/>
              <w:rPr>
                <w:rFonts w:eastAsia="Times New Roman"/>
                <w:noProof/>
                <w:color w:val="006100"/>
                <w:sz w:val="18"/>
              </w:rPr>
            </w:pPr>
          </w:p>
        </w:tc>
        <w:tc>
          <w:tcPr>
            <w:tcW w:w="1021" w:type="dxa"/>
            <w:shd w:val="clear" w:color="auto" w:fill="C6EFCE"/>
            <w:vAlign w:val="center"/>
          </w:tcPr>
          <w:p w14:paraId="7ABF4997" w14:textId="77777777" w:rsidR="00615E2D" w:rsidRDefault="00615E2D">
            <w:pPr>
              <w:spacing w:line="240" w:lineRule="auto"/>
              <w:rPr>
                <w:rFonts w:eastAsia="Times New Roman"/>
                <w:noProof/>
                <w:color w:val="006100"/>
                <w:sz w:val="18"/>
              </w:rPr>
            </w:pPr>
          </w:p>
        </w:tc>
        <w:tc>
          <w:tcPr>
            <w:tcW w:w="1021" w:type="dxa"/>
            <w:shd w:val="clear" w:color="auto" w:fill="C6EFCE"/>
            <w:vAlign w:val="center"/>
          </w:tcPr>
          <w:p w14:paraId="17773280" w14:textId="77777777" w:rsidR="00615E2D" w:rsidRDefault="00615E2D">
            <w:pPr>
              <w:spacing w:line="240" w:lineRule="auto"/>
              <w:rPr>
                <w:rFonts w:eastAsia="Times New Roman"/>
                <w:noProof/>
                <w:color w:val="006100"/>
                <w:sz w:val="18"/>
              </w:rPr>
            </w:pPr>
          </w:p>
        </w:tc>
        <w:tc>
          <w:tcPr>
            <w:tcW w:w="863" w:type="dxa"/>
            <w:shd w:val="clear" w:color="auto" w:fill="C6EFCE"/>
            <w:vAlign w:val="center"/>
          </w:tcPr>
          <w:p w14:paraId="52D909BA" w14:textId="77777777" w:rsidR="00615E2D" w:rsidRDefault="00C83E46">
            <w:pPr>
              <w:pStyle w:val="P68B1DB1-Normal15"/>
              <w:spacing w:line="240" w:lineRule="auto"/>
              <w:jc w:val="center"/>
              <w:rPr>
                <w:noProof/>
                <w:color w:val="006100"/>
              </w:rPr>
            </w:pPr>
            <w:r>
              <w:rPr>
                <w:noProof/>
              </w:rPr>
              <w:t>ČETVRTO TROMJESEČJE </w:t>
            </w:r>
          </w:p>
        </w:tc>
        <w:tc>
          <w:tcPr>
            <w:tcW w:w="850" w:type="dxa"/>
            <w:shd w:val="clear" w:color="auto" w:fill="C6EFCE"/>
            <w:vAlign w:val="center"/>
          </w:tcPr>
          <w:p w14:paraId="6B570B5F" w14:textId="77777777" w:rsidR="00615E2D" w:rsidRDefault="00C83E46">
            <w:pPr>
              <w:pStyle w:val="P68B1DB1-Normal15"/>
              <w:spacing w:line="240" w:lineRule="auto"/>
              <w:jc w:val="center"/>
              <w:rPr>
                <w:noProof/>
                <w:color w:val="006100"/>
              </w:rPr>
            </w:pPr>
            <w:r>
              <w:rPr>
                <w:noProof/>
              </w:rPr>
              <w:t>2024 </w:t>
            </w:r>
          </w:p>
        </w:tc>
        <w:tc>
          <w:tcPr>
            <w:tcW w:w="3969" w:type="dxa"/>
            <w:shd w:val="clear" w:color="auto" w:fill="C6EFCE"/>
            <w:vAlign w:val="center"/>
          </w:tcPr>
          <w:p w14:paraId="055C1D72" w14:textId="07221C75" w:rsidR="00615E2D" w:rsidRDefault="00C83E46">
            <w:pPr>
              <w:pStyle w:val="P68B1DB1-Normal15"/>
              <w:spacing w:line="240" w:lineRule="auto"/>
              <w:rPr>
                <w:noProof/>
              </w:rPr>
            </w:pPr>
            <w:r>
              <w:rPr>
                <w:noProof/>
              </w:rPr>
              <w:t xml:space="preserve">Obavijest Ministarstva industrije i trgovine o dodjeli svih odluka o dodjeli bespovratnih sredstava za povezivanje točaka adresa s mrežom vrlo velikog kapaciteta (VHCN). Pozivi na podnošenje ponuda uključuju definiciju prihvatljivih rashoda, modele ocjenjivanja i kriterije za odabir i evaluaciju projekata, pravila za podnositelje zahtjeva i korisnike te smjernice o veleprodajnim ponudama. </w:t>
            </w:r>
          </w:p>
        </w:tc>
      </w:tr>
      <w:tr w:rsidR="00615E2D" w14:paraId="63EB9C29" w14:textId="77777777">
        <w:trPr>
          <w:trHeight w:val="945"/>
          <w:jc w:val="center"/>
        </w:trPr>
        <w:tc>
          <w:tcPr>
            <w:tcW w:w="619" w:type="dxa"/>
            <w:shd w:val="clear" w:color="auto" w:fill="C6EFCE"/>
            <w:vAlign w:val="center"/>
          </w:tcPr>
          <w:p w14:paraId="3CC24E9A" w14:textId="77777777" w:rsidR="00615E2D" w:rsidRDefault="00C83E46">
            <w:pPr>
              <w:pStyle w:val="P68B1DB1-Normal15"/>
              <w:spacing w:line="240" w:lineRule="auto"/>
              <w:jc w:val="center"/>
              <w:rPr>
                <w:noProof/>
                <w:color w:val="006100"/>
              </w:rPr>
            </w:pPr>
            <w:r>
              <w:rPr>
                <w:noProof/>
              </w:rPr>
              <w:t>39 </w:t>
            </w:r>
          </w:p>
        </w:tc>
        <w:tc>
          <w:tcPr>
            <w:tcW w:w="1295" w:type="dxa"/>
            <w:shd w:val="clear" w:color="auto" w:fill="C6EFCE"/>
            <w:vAlign w:val="center"/>
          </w:tcPr>
          <w:p w14:paraId="054E3627" w14:textId="77777777" w:rsidR="00615E2D" w:rsidRDefault="00C83E46">
            <w:pPr>
              <w:pStyle w:val="P68B1DB1-Normal15"/>
              <w:spacing w:line="240" w:lineRule="auto"/>
              <w:rPr>
                <w:noProof/>
                <w:color w:val="006100"/>
              </w:rPr>
            </w:pPr>
            <w:r>
              <w:rPr>
                <w:noProof/>
              </w:rPr>
              <w:t>Ulaganje 1: Izgradnja veza velikog kapaciteta </w:t>
            </w:r>
          </w:p>
        </w:tc>
        <w:tc>
          <w:tcPr>
            <w:tcW w:w="1077" w:type="dxa"/>
            <w:shd w:val="clear" w:color="auto" w:fill="C6EFCE"/>
            <w:vAlign w:val="center"/>
          </w:tcPr>
          <w:p w14:paraId="24801F3B" w14:textId="77777777" w:rsidR="00615E2D" w:rsidRDefault="00C83E46">
            <w:pPr>
              <w:pStyle w:val="P68B1DB1-Normal15"/>
              <w:spacing w:line="240" w:lineRule="auto"/>
              <w:rPr>
                <w:noProof/>
                <w:color w:val="006100"/>
              </w:rPr>
            </w:pPr>
            <w:r>
              <w:rPr>
                <w:noProof/>
              </w:rPr>
              <w:t>Ciljna </w:t>
            </w:r>
          </w:p>
        </w:tc>
        <w:tc>
          <w:tcPr>
            <w:tcW w:w="1516" w:type="dxa"/>
            <w:shd w:val="clear" w:color="auto" w:fill="C6EFCE"/>
            <w:vAlign w:val="center"/>
          </w:tcPr>
          <w:p w14:paraId="623AE296" w14:textId="42AA5FBD" w:rsidR="00615E2D" w:rsidRDefault="00C83E46">
            <w:pPr>
              <w:pStyle w:val="P68B1DB1-Normal15"/>
              <w:spacing w:line="240" w:lineRule="auto"/>
              <w:rPr>
                <w:noProof/>
              </w:rPr>
            </w:pPr>
            <w:r>
              <w:rPr>
                <w:noProof/>
              </w:rPr>
              <w:t xml:space="preserve">Dovršetak točaka za obraćanje povezanih s mrežom vrlo velikog kapaciteta (VHCN) </w:t>
            </w:r>
          </w:p>
        </w:tc>
        <w:tc>
          <w:tcPr>
            <w:tcW w:w="1145" w:type="dxa"/>
            <w:shd w:val="clear" w:color="auto" w:fill="C6EFCE"/>
            <w:vAlign w:val="center"/>
          </w:tcPr>
          <w:p w14:paraId="081391A0" w14:textId="77777777" w:rsidR="00615E2D" w:rsidRDefault="00615E2D">
            <w:pPr>
              <w:spacing w:line="240" w:lineRule="auto"/>
              <w:rPr>
                <w:rFonts w:eastAsia="Times New Roman"/>
                <w:noProof/>
                <w:color w:val="006100"/>
                <w:sz w:val="18"/>
              </w:rPr>
            </w:pPr>
          </w:p>
        </w:tc>
        <w:tc>
          <w:tcPr>
            <w:tcW w:w="1417" w:type="dxa"/>
            <w:shd w:val="clear" w:color="auto" w:fill="C6EFCE"/>
            <w:vAlign w:val="center"/>
          </w:tcPr>
          <w:p w14:paraId="71C667A3" w14:textId="77777777" w:rsidR="00615E2D" w:rsidRDefault="00C83E46">
            <w:pPr>
              <w:pStyle w:val="P68B1DB1-Normal15"/>
              <w:spacing w:line="240" w:lineRule="auto"/>
              <w:rPr>
                <w:noProof/>
                <w:color w:val="006100"/>
              </w:rPr>
            </w:pPr>
            <w:r>
              <w:rPr>
                <w:noProof/>
              </w:rPr>
              <w:t>Broj </w:t>
            </w:r>
          </w:p>
        </w:tc>
        <w:tc>
          <w:tcPr>
            <w:tcW w:w="1021" w:type="dxa"/>
            <w:shd w:val="clear" w:color="auto" w:fill="C6EFCE"/>
            <w:vAlign w:val="center"/>
          </w:tcPr>
          <w:p w14:paraId="6382C11D" w14:textId="77777777" w:rsidR="00615E2D" w:rsidRDefault="00C83E46">
            <w:pPr>
              <w:pStyle w:val="P68B1DB1-Normal11"/>
              <w:spacing w:line="240" w:lineRule="auto"/>
              <w:jc w:val="center"/>
              <w:rPr>
                <w:noProof/>
              </w:rPr>
            </w:pPr>
            <w:r>
              <w:rPr>
                <w:noProof/>
              </w:rPr>
              <w:t>0</w:t>
            </w:r>
          </w:p>
        </w:tc>
        <w:tc>
          <w:tcPr>
            <w:tcW w:w="1021" w:type="dxa"/>
            <w:shd w:val="clear" w:color="auto" w:fill="C6EFCE"/>
            <w:vAlign w:val="center"/>
          </w:tcPr>
          <w:p w14:paraId="2A375AC4" w14:textId="77777777" w:rsidR="00615E2D" w:rsidRDefault="00C83E46">
            <w:pPr>
              <w:pStyle w:val="P68B1DB1-Normal11"/>
              <w:spacing w:line="240" w:lineRule="auto"/>
              <w:jc w:val="center"/>
              <w:rPr>
                <w:noProof/>
              </w:rPr>
            </w:pPr>
            <w:r>
              <w:rPr>
                <w:noProof/>
              </w:rPr>
              <w:t>23 000</w:t>
            </w:r>
          </w:p>
        </w:tc>
        <w:tc>
          <w:tcPr>
            <w:tcW w:w="863" w:type="dxa"/>
            <w:shd w:val="clear" w:color="auto" w:fill="C6EFCE"/>
            <w:vAlign w:val="center"/>
          </w:tcPr>
          <w:p w14:paraId="28A1D3E4" w14:textId="77777777" w:rsidR="00615E2D" w:rsidRDefault="00C83E46">
            <w:pPr>
              <w:pStyle w:val="P68B1DB1-Normal15"/>
              <w:spacing w:line="240" w:lineRule="auto"/>
              <w:jc w:val="center"/>
              <w:rPr>
                <w:noProof/>
                <w:color w:val="006100"/>
              </w:rPr>
            </w:pPr>
            <w:r>
              <w:rPr>
                <w:noProof/>
              </w:rPr>
              <w:t>TROMJESEČJE </w:t>
            </w:r>
          </w:p>
        </w:tc>
        <w:tc>
          <w:tcPr>
            <w:tcW w:w="850" w:type="dxa"/>
            <w:shd w:val="clear" w:color="auto" w:fill="C6EFCE"/>
            <w:vAlign w:val="center"/>
          </w:tcPr>
          <w:p w14:paraId="634A9EA1" w14:textId="77777777" w:rsidR="00615E2D" w:rsidRDefault="00C83E46">
            <w:pPr>
              <w:pStyle w:val="P68B1DB1-Normal15"/>
              <w:spacing w:line="240" w:lineRule="auto"/>
              <w:jc w:val="center"/>
              <w:rPr>
                <w:noProof/>
                <w:color w:val="006100"/>
              </w:rPr>
            </w:pPr>
            <w:r>
              <w:rPr>
                <w:noProof/>
              </w:rPr>
              <w:t>2026 </w:t>
            </w:r>
          </w:p>
        </w:tc>
        <w:tc>
          <w:tcPr>
            <w:tcW w:w="3969" w:type="dxa"/>
            <w:shd w:val="clear" w:color="auto" w:fill="C6EFCE"/>
            <w:vAlign w:val="center"/>
          </w:tcPr>
          <w:p w14:paraId="40B4674C" w14:textId="51D3E533" w:rsidR="00615E2D" w:rsidRDefault="00C83E46">
            <w:pPr>
              <w:pStyle w:val="P68B1DB1-Normal15"/>
              <w:spacing w:line="240" w:lineRule="auto"/>
              <w:rPr>
                <w:noProof/>
                <w:color w:val="006100"/>
              </w:rPr>
            </w:pPr>
            <w:r>
              <w:rPr>
                <w:noProof/>
              </w:rPr>
              <w:t>Gradi se infrastruktura za povećanje broja točaka za obraćanje povezanih s mrežom vrlo velikog kapaciteta (VHCN), čime se broj točaka adresa povezanih s mrežom vrlo velikog kapaciteta povećava za 23000. Mreža vrlo velikog kapaciteta mora biti u skladu sa smjernicama BEREC-a o mrežama vrlo velikog kapaciteta.</w:t>
            </w:r>
          </w:p>
        </w:tc>
      </w:tr>
      <w:tr w:rsidR="00615E2D" w14:paraId="51AA929F" w14:textId="77777777">
        <w:trPr>
          <w:trHeight w:val="945"/>
          <w:jc w:val="center"/>
        </w:trPr>
        <w:tc>
          <w:tcPr>
            <w:tcW w:w="619" w:type="dxa"/>
            <w:shd w:val="clear" w:color="auto" w:fill="C6EFCE"/>
            <w:vAlign w:val="center"/>
          </w:tcPr>
          <w:p w14:paraId="60D2AAA8" w14:textId="77777777" w:rsidR="00615E2D" w:rsidRDefault="00C83E46">
            <w:pPr>
              <w:pStyle w:val="P68B1DB1-Normal15"/>
              <w:spacing w:line="240" w:lineRule="auto"/>
              <w:jc w:val="center"/>
              <w:rPr>
                <w:noProof/>
              </w:rPr>
            </w:pPr>
            <w:r>
              <w:rPr>
                <w:noProof/>
              </w:rPr>
              <w:t>40</w:t>
            </w:r>
          </w:p>
        </w:tc>
        <w:tc>
          <w:tcPr>
            <w:tcW w:w="1295" w:type="dxa"/>
            <w:shd w:val="clear" w:color="auto" w:fill="C6EFCE"/>
            <w:vAlign w:val="center"/>
          </w:tcPr>
          <w:p w14:paraId="0CE9E01A" w14:textId="77777777" w:rsidR="00615E2D" w:rsidRDefault="00C83E46">
            <w:pPr>
              <w:pStyle w:val="P68B1DB1-Normal15"/>
              <w:spacing w:line="240" w:lineRule="auto"/>
              <w:rPr>
                <w:noProof/>
                <w:color w:val="006100"/>
              </w:rPr>
            </w:pPr>
            <w:r>
              <w:rPr>
                <w:noProof/>
              </w:rPr>
              <w:t>Ulaganje 2: Obuhvaćanje 5G koridora i promicanje razvoja mreže 5G </w:t>
            </w:r>
          </w:p>
        </w:tc>
        <w:tc>
          <w:tcPr>
            <w:tcW w:w="1077" w:type="dxa"/>
            <w:shd w:val="clear" w:color="auto" w:fill="C6EFCE"/>
            <w:vAlign w:val="center"/>
          </w:tcPr>
          <w:p w14:paraId="0346FC99" w14:textId="77777777" w:rsidR="00615E2D" w:rsidRDefault="00C83E46">
            <w:pPr>
              <w:pStyle w:val="P68B1DB1-Normal15"/>
              <w:spacing w:line="240" w:lineRule="auto"/>
              <w:rPr>
                <w:noProof/>
                <w:color w:val="006100"/>
              </w:rPr>
            </w:pPr>
            <w:r>
              <w:rPr>
                <w:noProof/>
              </w:rPr>
              <w:t>Ciljna </w:t>
            </w:r>
          </w:p>
        </w:tc>
        <w:tc>
          <w:tcPr>
            <w:tcW w:w="1516" w:type="dxa"/>
            <w:shd w:val="clear" w:color="auto" w:fill="C6EFCE"/>
            <w:vAlign w:val="center"/>
          </w:tcPr>
          <w:p w14:paraId="55552111" w14:textId="77777777" w:rsidR="00615E2D" w:rsidRDefault="00C83E46">
            <w:pPr>
              <w:pStyle w:val="P68B1DB1-Normal15"/>
              <w:spacing w:line="240" w:lineRule="auto"/>
              <w:rPr>
                <w:noProof/>
                <w:color w:val="006100"/>
              </w:rPr>
            </w:pPr>
            <w:r>
              <w:rPr>
                <w:noProof/>
              </w:rPr>
              <w:t>Dovršetak poboljšane pokrivenosti 5G signalizacijom odabranih željezničkih koridora</w:t>
            </w:r>
          </w:p>
        </w:tc>
        <w:tc>
          <w:tcPr>
            <w:tcW w:w="1145" w:type="dxa"/>
            <w:shd w:val="clear" w:color="auto" w:fill="C6EFCE"/>
            <w:vAlign w:val="center"/>
          </w:tcPr>
          <w:p w14:paraId="3DE27ED1" w14:textId="77777777" w:rsidR="00615E2D" w:rsidRDefault="00615E2D">
            <w:pPr>
              <w:spacing w:line="240" w:lineRule="auto"/>
              <w:rPr>
                <w:rFonts w:eastAsia="Times New Roman"/>
                <w:noProof/>
                <w:color w:val="006100"/>
                <w:sz w:val="18"/>
              </w:rPr>
            </w:pPr>
          </w:p>
        </w:tc>
        <w:tc>
          <w:tcPr>
            <w:tcW w:w="1417" w:type="dxa"/>
            <w:shd w:val="clear" w:color="auto" w:fill="C6EFCE"/>
            <w:vAlign w:val="center"/>
          </w:tcPr>
          <w:p w14:paraId="3527E926" w14:textId="77777777" w:rsidR="00615E2D" w:rsidRDefault="00C83E46">
            <w:pPr>
              <w:pStyle w:val="P68B1DB1-Normal15"/>
              <w:spacing w:line="240" w:lineRule="auto"/>
              <w:rPr>
                <w:noProof/>
                <w:color w:val="006100"/>
              </w:rPr>
            </w:pPr>
            <w:r>
              <w:rPr>
                <w:noProof/>
              </w:rPr>
              <w:t>Kilometara </w:t>
            </w:r>
          </w:p>
        </w:tc>
        <w:tc>
          <w:tcPr>
            <w:tcW w:w="1021" w:type="dxa"/>
            <w:shd w:val="clear" w:color="auto" w:fill="C6EFCE"/>
            <w:vAlign w:val="center"/>
          </w:tcPr>
          <w:p w14:paraId="57282CBF" w14:textId="77777777" w:rsidR="00615E2D" w:rsidRDefault="00C83E46">
            <w:pPr>
              <w:pStyle w:val="P68B1DB1-Normal11"/>
              <w:spacing w:line="240" w:lineRule="auto"/>
              <w:jc w:val="center"/>
              <w:rPr>
                <w:noProof/>
              </w:rPr>
            </w:pPr>
            <w:r>
              <w:rPr>
                <w:noProof/>
              </w:rPr>
              <w:t>0</w:t>
            </w:r>
          </w:p>
        </w:tc>
        <w:tc>
          <w:tcPr>
            <w:tcW w:w="1021" w:type="dxa"/>
            <w:shd w:val="clear" w:color="auto" w:fill="C6EFCE"/>
            <w:vAlign w:val="center"/>
          </w:tcPr>
          <w:p w14:paraId="3B498257" w14:textId="0523CCAC" w:rsidR="00615E2D" w:rsidRDefault="00C83E46">
            <w:pPr>
              <w:pStyle w:val="P68B1DB1-Normal11"/>
              <w:spacing w:line="240" w:lineRule="auto"/>
              <w:jc w:val="center"/>
              <w:rPr>
                <w:noProof/>
              </w:rPr>
            </w:pPr>
            <w:r>
              <w:rPr>
                <w:noProof/>
              </w:rPr>
              <w:t>86</w:t>
            </w:r>
          </w:p>
        </w:tc>
        <w:tc>
          <w:tcPr>
            <w:tcW w:w="863" w:type="dxa"/>
            <w:shd w:val="clear" w:color="auto" w:fill="C6EFCE"/>
            <w:vAlign w:val="center"/>
          </w:tcPr>
          <w:p w14:paraId="0E1A0D1D" w14:textId="496F8EC4" w:rsidR="00615E2D" w:rsidRDefault="00C83E46">
            <w:pPr>
              <w:pStyle w:val="P68B1DB1-Normal15"/>
              <w:spacing w:line="240" w:lineRule="auto"/>
              <w:jc w:val="center"/>
              <w:rPr>
                <w:noProof/>
                <w:color w:val="006100"/>
              </w:rPr>
            </w:pPr>
            <w:r>
              <w:rPr>
                <w:noProof/>
              </w:rPr>
              <w:t>TROMJESEČJE </w:t>
            </w:r>
          </w:p>
        </w:tc>
        <w:tc>
          <w:tcPr>
            <w:tcW w:w="850" w:type="dxa"/>
            <w:shd w:val="clear" w:color="auto" w:fill="C6EFCE"/>
            <w:vAlign w:val="center"/>
          </w:tcPr>
          <w:p w14:paraId="1875CC48" w14:textId="57C4DC74" w:rsidR="00615E2D" w:rsidRDefault="00C83E46">
            <w:pPr>
              <w:pStyle w:val="P68B1DB1-Normal15"/>
              <w:spacing w:line="240" w:lineRule="auto"/>
              <w:jc w:val="center"/>
              <w:rPr>
                <w:noProof/>
                <w:color w:val="006100"/>
              </w:rPr>
            </w:pPr>
            <w:r>
              <w:rPr>
                <w:noProof/>
              </w:rPr>
              <w:t>2026 </w:t>
            </w:r>
          </w:p>
        </w:tc>
        <w:tc>
          <w:tcPr>
            <w:tcW w:w="3969" w:type="dxa"/>
            <w:shd w:val="clear" w:color="auto" w:fill="C6EFCE"/>
            <w:vAlign w:val="center"/>
          </w:tcPr>
          <w:p w14:paraId="6F777E03" w14:textId="4732F31C" w:rsidR="00615E2D" w:rsidRDefault="00C83E46">
            <w:pPr>
              <w:pStyle w:val="P68B1DB1-Normal15"/>
              <w:spacing w:line="240" w:lineRule="auto"/>
              <w:rPr>
                <w:noProof/>
              </w:rPr>
            </w:pPr>
            <w:r>
              <w:rPr>
                <w:noProof/>
              </w:rPr>
              <w:t>Ulaganjem se poboljšava kvaliteta pokrivenosti 5G mrežom (osim već uvedenih kriterija pokrivenosti utvrđenih uvjetima aukcije frekvencije 5G) na udaljenosti od najmanje 86 km na sljedećim željezničkim koridorima: Prag – Česká Třebová – Ostrava, Česká Třebová – Brno</w:t>
            </w:r>
          </w:p>
          <w:p w14:paraId="7A2AA937" w14:textId="4A967E71" w:rsidR="00615E2D" w:rsidRDefault="00C83E46">
            <w:pPr>
              <w:pStyle w:val="P68B1DB1-Normal15"/>
              <w:spacing w:line="240" w:lineRule="auto"/>
              <w:rPr>
                <w:noProof/>
                <w:color w:val="006100"/>
              </w:rPr>
            </w:pPr>
            <w:r>
              <w:rPr>
                <w:noProof/>
              </w:rPr>
              <w:t> </w:t>
            </w:r>
          </w:p>
        </w:tc>
      </w:tr>
      <w:tr w:rsidR="00615E2D" w14:paraId="3AF15FAF" w14:textId="77777777">
        <w:trPr>
          <w:trHeight w:val="945"/>
          <w:jc w:val="center"/>
        </w:trPr>
        <w:tc>
          <w:tcPr>
            <w:tcW w:w="619" w:type="dxa"/>
            <w:shd w:val="clear" w:color="auto" w:fill="C6EFCE"/>
            <w:vAlign w:val="center"/>
          </w:tcPr>
          <w:p w14:paraId="17C7D07B" w14:textId="77777777" w:rsidR="00615E2D" w:rsidRDefault="00C83E46">
            <w:pPr>
              <w:pStyle w:val="P68B1DB1-Normal15"/>
              <w:spacing w:line="240" w:lineRule="auto"/>
              <w:jc w:val="center"/>
              <w:rPr>
                <w:noProof/>
                <w:color w:val="006100"/>
              </w:rPr>
            </w:pPr>
            <w:r>
              <w:rPr>
                <w:noProof/>
              </w:rPr>
              <w:t>41 </w:t>
            </w:r>
          </w:p>
        </w:tc>
        <w:tc>
          <w:tcPr>
            <w:tcW w:w="1295" w:type="dxa"/>
            <w:shd w:val="clear" w:color="auto" w:fill="C6EFCE"/>
            <w:vAlign w:val="center"/>
          </w:tcPr>
          <w:p w14:paraId="6795B5AE" w14:textId="77777777" w:rsidR="00615E2D" w:rsidRDefault="00C83E46">
            <w:pPr>
              <w:pStyle w:val="P68B1DB1-Normal15"/>
              <w:spacing w:line="240" w:lineRule="auto"/>
              <w:rPr>
                <w:noProof/>
                <w:color w:val="006100"/>
              </w:rPr>
            </w:pPr>
            <w:r>
              <w:rPr>
                <w:noProof/>
              </w:rPr>
              <w:t>Ulaganje 2: Obuhvaćanje 5G koridora i promicanje razvoja mreže 5G </w:t>
            </w:r>
          </w:p>
        </w:tc>
        <w:tc>
          <w:tcPr>
            <w:tcW w:w="1077" w:type="dxa"/>
            <w:shd w:val="clear" w:color="auto" w:fill="C6EFCE"/>
            <w:vAlign w:val="center"/>
          </w:tcPr>
          <w:p w14:paraId="7567BA7C" w14:textId="77777777" w:rsidR="00615E2D" w:rsidRDefault="00C83E46">
            <w:pPr>
              <w:pStyle w:val="P68B1DB1-Normal15"/>
              <w:spacing w:line="240" w:lineRule="auto"/>
              <w:rPr>
                <w:noProof/>
                <w:color w:val="006100"/>
              </w:rPr>
            </w:pPr>
            <w:r>
              <w:rPr>
                <w:noProof/>
              </w:rPr>
              <w:t>Ciljna </w:t>
            </w:r>
          </w:p>
        </w:tc>
        <w:tc>
          <w:tcPr>
            <w:tcW w:w="1516" w:type="dxa"/>
            <w:shd w:val="clear" w:color="auto" w:fill="C6EFCE"/>
            <w:vAlign w:val="center"/>
          </w:tcPr>
          <w:p w14:paraId="276A24EE" w14:textId="080C07B9" w:rsidR="00615E2D" w:rsidRDefault="00C83E46">
            <w:pPr>
              <w:pStyle w:val="P68B1DB1-Normal15"/>
              <w:spacing w:line="240" w:lineRule="auto"/>
              <w:rPr>
                <w:noProof/>
                <w:color w:val="006100"/>
              </w:rPr>
            </w:pPr>
            <w:r>
              <w:rPr>
                <w:noProof/>
              </w:rPr>
              <w:t>Dovršetak osiguravanja pokrivenosti mobilnim signalom željezničkih vagona</w:t>
            </w:r>
          </w:p>
        </w:tc>
        <w:tc>
          <w:tcPr>
            <w:tcW w:w="1145" w:type="dxa"/>
            <w:shd w:val="clear" w:color="auto" w:fill="C6EFCE"/>
            <w:vAlign w:val="center"/>
          </w:tcPr>
          <w:p w14:paraId="2E1777EF" w14:textId="77777777" w:rsidR="00615E2D" w:rsidRDefault="00615E2D">
            <w:pPr>
              <w:spacing w:line="240" w:lineRule="auto"/>
              <w:rPr>
                <w:rFonts w:eastAsia="Times New Roman"/>
                <w:noProof/>
                <w:color w:val="006100"/>
                <w:sz w:val="18"/>
              </w:rPr>
            </w:pPr>
          </w:p>
        </w:tc>
        <w:tc>
          <w:tcPr>
            <w:tcW w:w="1417" w:type="dxa"/>
            <w:shd w:val="clear" w:color="auto" w:fill="C6EFCE"/>
            <w:vAlign w:val="center"/>
          </w:tcPr>
          <w:p w14:paraId="5560CB83" w14:textId="77777777" w:rsidR="00615E2D" w:rsidRDefault="00C83E46">
            <w:pPr>
              <w:pStyle w:val="P68B1DB1-Normal15"/>
              <w:spacing w:line="240" w:lineRule="auto"/>
              <w:rPr>
                <w:noProof/>
                <w:color w:val="006100"/>
              </w:rPr>
            </w:pPr>
            <w:r>
              <w:rPr>
                <w:noProof/>
              </w:rPr>
              <w:t>Broj </w:t>
            </w:r>
          </w:p>
        </w:tc>
        <w:tc>
          <w:tcPr>
            <w:tcW w:w="1021" w:type="dxa"/>
            <w:shd w:val="clear" w:color="auto" w:fill="C6EFCE"/>
            <w:vAlign w:val="center"/>
          </w:tcPr>
          <w:p w14:paraId="7D6C4990" w14:textId="77777777" w:rsidR="00615E2D" w:rsidRDefault="00C83E46">
            <w:pPr>
              <w:pStyle w:val="P68B1DB1-Normal11"/>
              <w:spacing w:line="240" w:lineRule="auto"/>
              <w:jc w:val="center"/>
              <w:rPr>
                <w:noProof/>
              </w:rPr>
            </w:pPr>
            <w:r>
              <w:rPr>
                <w:noProof/>
              </w:rPr>
              <w:t>0</w:t>
            </w:r>
          </w:p>
        </w:tc>
        <w:tc>
          <w:tcPr>
            <w:tcW w:w="1021" w:type="dxa"/>
            <w:shd w:val="clear" w:color="auto" w:fill="C6EFCE"/>
            <w:vAlign w:val="center"/>
          </w:tcPr>
          <w:p w14:paraId="3E4F0582" w14:textId="77777777" w:rsidR="00615E2D" w:rsidRDefault="00C83E46">
            <w:pPr>
              <w:pStyle w:val="P68B1DB1-Normal11"/>
              <w:spacing w:line="240" w:lineRule="auto"/>
              <w:jc w:val="center"/>
              <w:rPr>
                <w:noProof/>
              </w:rPr>
            </w:pPr>
            <w:r>
              <w:rPr>
                <w:noProof/>
              </w:rPr>
              <w:t>350</w:t>
            </w:r>
          </w:p>
        </w:tc>
        <w:tc>
          <w:tcPr>
            <w:tcW w:w="863" w:type="dxa"/>
            <w:shd w:val="clear" w:color="auto" w:fill="C6EFCE"/>
            <w:vAlign w:val="center"/>
          </w:tcPr>
          <w:p w14:paraId="78933127" w14:textId="77777777" w:rsidR="00615E2D" w:rsidRDefault="00C83E46">
            <w:pPr>
              <w:pStyle w:val="P68B1DB1-Normal15"/>
              <w:spacing w:line="240" w:lineRule="auto"/>
              <w:jc w:val="center"/>
              <w:rPr>
                <w:noProof/>
                <w:color w:val="006100"/>
              </w:rPr>
            </w:pPr>
            <w:r>
              <w:rPr>
                <w:noProof/>
              </w:rPr>
              <w:t>ČETVRTO TROMJESEČJE </w:t>
            </w:r>
          </w:p>
        </w:tc>
        <w:tc>
          <w:tcPr>
            <w:tcW w:w="850" w:type="dxa"/>
            <w:shd w:val="clear" w:color="auto" w:fill="C6EFCE"/>
            <w:vAlign w:val="center"/>
          </w:tcPr>
          <w:p w14:paraId="41D198B5" w14:textId="77777777" w:rsidR="00615E2D" w:rsidRDefault="00C83E46">
            <w:pPr>
              <w:pStyle w:val="P68B1DB1-Normal15"/>
              <w:spacing w:line="240" w:lineRule="auto"/>
              <w:jc w:val="center"/>
              <w:rPr>
                <w:noProof/>
                <w:color w:val="006100"/>
              </w:rPr>
            </w:pPr>
            <w:r>
              <w:rPr>
                <w:noProof/>
              </w:rPr>
              <w:t>2025 </w:t>
            </w:r>
          </w:p>
        </w:tc>
        <w:tc>
          <w:tcPr>
            <w:tcW w:w="3969" w:type="dxa"/>
            <w:shd w:val="clear" w:color="auto" w:fill="C6EFCE"/>
            <w:vAlign w:val="center"/>
          </w:tcPr>
          <w:p w14:paraId="20DC3531" w14:textId="0D6F778C" w:rsidR="00615E2D" w:rsidRDefault="00C83E46">
            <w:pPr>
              <w:pStyle w:val="P68B1DB1-Normal15"/>
              <w:spacing w:line="240" w:lineRule="auto"/>
              <w:rPr>
                <w:noProof/>
                <w:color w:val="006100"/>
              </w:rPr>
            </w:pPr>
            <w:r>
              <w:rPr>
                <w:noProof/>
              </w:rPr>
              <w:t>Pokrivenost željezničkih vagona osigurat će se visokokvalitetnim pokretnim signalima ili pasivnim zidovima za 5G signale.</w:t>
            </w:r>
          </w:p>
        </w:tc>
      </w:tr>
      <w:tr w:rsidR="00615E2D" w14:paraId="4B48FD63" w14:textId="77777777">
        <w:trPr>
          <w:trHeight w:val="945"/>
          <w:jc w:val="center"/>
        </w:trPr>
        <w:tc>
          <w:tcPr>
            <w:tcW w:w="619" w:type="dxa"/>
            <w:shd w:val="clear" w:color="auto" w:fill="C6EFCE"/>
            <w:vAlign w:val="center"/>
          </w:tcPr>
          <w:p w14:paraId="58F08FF8" w14:textId="77777777" w:rsidR="00615E2D" w:rsidRDefault="00C83E46">
            <w:pPr>
              <w:pStyle w:val="P68B1DB1-Normal15"/>
              <w:spacing w:line="240" w:lineRule="auto"/>
              <w:jc w:val="center"/>
              <w:rPr>
                <w:noProof/>
                <w:color w:val="006100"/>
              </w:rPr>
            </w:pPr>
            <w:r>
              <w:rPr>
                <w:noProof/>
              </w:rPr>
              <w:t>42 </w:t>
            </w:r>
          </w:p>
        </w:tc>
        <w:tc>
          <w:tcPr>
            <w:tcW w:w="1295" w:type="dxa"/>
            <w:shd w:val="clear" w:color="auto" w:fill="C6EFCE"/>
            <w:vAlign w:val="center"/>
          </w:tcPr>
          <w:p w14:paraId="1FCFFD4E" w14:textId="77777777" w:rsidR="00615E2D" w:rsidRDefault="00C83E46">
            <w:pPr>
              <w:pStyle w:val="P68B1DB1-Normal15"/>
              <w:spacing w:line="240" w:lineRule="auto"/>
              <w:rPr>
                <w:noProof/>
                <w:color w:val="006100"/>
              </w:rPr>
            </w:pPr>
            <w:r>
              <w:rPr>
                <w:noProof/>
              </w:rPr>
              <w:t>Ulaganje 2: Obuhvaćanje 5G koridora i promicanje razvoja mreže 5G </w:t>
            </w:r>
          </w:p>
        </w:tc>
        <w:tc>
          <w:tcPr>
            <w:tcW w:w="1077" w:type="dxa"/>
            <w:shd w:val="clear" w:color="auto" w:fill="C6EFCE"/>
            <w:vAlign w:val="center"/>
          </w:tcPr>
          <w:p w14:paraId="09355582" w14:textId="77777777" w:rsidR="00615E2D" w:rsidRDefault="00C83E46">
            <w:pPr>
              <w:pStyle w:val="P68B1DB1-Normal15"/>
              <w:spacing w:line="240" w:lineRule="auto"/>
              <w:rPr>
                <w:noProof/>
                <w:color w:val="006100"/>
              </w:rPr>
            </w:pPr>
            <w:r>
              <w:rPr>
                <w:noProof/>
              </w:rPr>
              <w:t>Prekretnica </w:t>
            </w:r>
          </w:p>
        </w:tc>
        <w:tc>
          <w:tcPr>
            <w:tcW w:w="1516" w:type="dxa"/>
            <w:shd w:val="clear" w:color="auto" w:fill="C6EFCE"/>
            <w:vAlign w:val="center"/>
          </w:tcPr>
          <w:p w14:paraId="5E1E0A3B" w14:textId="77777777" w:rsidR="00615E2D" w:rsidRDefault="00C83E46">
            <w:pPr>
              <w:pStyle w:val="P68B1DB1-Normal15"/>
              <w:spacing w:after="0" w:line="240" w:lineRule="auto"/>
              <w:rPr>
                <w:noProof/>
                <w:color w:val="006100"/>
              </w:rPr>
            </w:pPr>
            <w:r>
              <w:rPr>
                <w:noProof/>
              </w:rPr>
              <w:t>Ugradnja i ispitivanje uvođenja inteligentnog prometnog sustava (C-ITS). </w:t>
            </w:r>
          </w:p>
        </w:tc>
        <w:tc>
          <w:tcPr>
            <w:tcW w:w="1145" w:type="dxa"/>
            <w:shd w:val="clear" w:color="auto" w:fill="C6EFCE"/>
            <w:vAlign w:val="center"/>
          </w:tcPr>
          <w:p w14:paraId="417B6781" w14:textId="77777777" w:rsidR="00615E2D" w:rsidRDefault="00C83E46">
            <w:pPr>
              <w:pStyle w:val="P68B1DB1-Normal15"/>
              <w:spacing w:line="240" w:lineRule="auto"/>
              <w:rPr>
                <w:noProof/>
              </w:rPr>
            </w:pPr>
            <w:r>
              <w:rPr>
                <w:noProof/>
              </w:rPr>
              <w:t xml:space="preserve">Dovršetak ugradnje i ispitivanje sustava C-ITS-a </w:t>
            </w:r>
          </w:p>
        </w:tc>
        <w:tc>
          <w:tcPr>
            <w:tcW w:w="1417" w:type="dxa"/>
            <w:shd w:val="clear" w:color="auto" w:fill="C6EFCE"/>
            <w:vAlign w:val="center"/>
          </w:tcPr>
          <w:p w14:paraId="363E932F" w14:textId="77777777" w:rsidR="00615E2D" w:rsidRDefault="00615E2D">
            <w:pPr>
              <w:spacing w:line="240" w:lineRule="auto"/>
              <w:rPr>
                <w:rFonts w:eastAsia="Times New Roman"/>
                <w:noProof/>
                <w:color w:val="006100"/>
                <w:sz w:val="18"/>
              </w:rPr>
            </w:pPr>
          </w:p>
        </w:tc>
        <w:tc>
          <w:tcPr>
            <w:tcW w:w="1021" w:type="dxa"/>
            <w:shd w:val="clear" w:color="auto" w:fill="C6EFCE"/>
            <w:vAlign w:val="center"/>
          </w:tcPr>
          <w:p w14:paraId="19A14B51" w14:textId="77777777" w:rsidR="00615E2D" w:rsidRDefault="00615E2D">
            <w:pPr>
              <w:spacing w:line="240" w:lineRule="auto"/>
              <w:rPr>
                <w:rFonts w:eastAsia="Times New Roman"/>
                <w:noProof/>
                <w:color w:val="006100"/>
                <w:sz w:val="18"/>
              </w:rPr>
            </w:pPr>
          </w:p>
        </w:tc>
        <w:tc>
          <w:tcPr>
            <w:tcW w:w="1021" w:type="dxa"/>
            <w:shd w:val="clear" w:color="auto" w:fill="C6EFCE"/>
            <w:vAlign w:val="center"/>
          </w:tcPr>
          <w:p w14:paraId="5BD322B6" w14:textId="77777777" w:rsidR="00615E2D" w:rsidRDefault="00615E2D">
            <w:pPr>
              <w:spacing w:line="240" w:lineRule="auto"/>
              <w:jc w:val="center"/>
              <w:rPr>
                <w:rFonts w:eastAsia="Times New Roman"/>
                <w:noProof/>
                <w:color w:val="006100"/>
                <w:sz w:val="18"/>
              </w:rPr>
            </w:pPr>
          </w:p>
        </w:tc>
        <w:tc>
          <w:tcPr>
            <w:tcW w:w="863" w:type="dxa"/>
            <w:shd w:val="clear" w:color="auto" w:fill="C6EFCE"/>
            <w:vAlign w:val="center"/>
          </w:tcPr>
          <w:p w14:paraId="4DE79A79" w14:textId="77777777" w:rsidR="00615E2D" w:rsidRDefault="00C83E46">
            <w:pPr>
              <w:pStyle w:val="P68B1DB1-Normal15"/>
              <w:spacing w:line="240" w:lineRule="auto"/>
              <w:jc w:val="center"/>
              <w:rPr>
                <w:noProof/>
                <w:color w:val="006100"/>
              </w:rPr>
            </w:pPr>
            <w:r>
              <w:rPr>
                <w:noProof/>
              </w:rPr>
              <w:t>ČETVRTO TROMJESEČJE </w:t>
            </w:r>
          </w:p>
        </w:tc>
        <w:tc>
          <w:tcPr>
            <w:tcW w:w="850" w:type="dxa"/>
            <w:shd w:val="clear" w:color="auto" w:fill="C6EFCE"/>
            <w:vAlign w:val="center"/>
          </w:tcPr>
          <w:p w14:paraId="491E058C" w14:textId="77777777" w:rsidR="00615E2D" w:rsidRDefault="00C83E46">
            <w:pPr>
              <w:pStyle w:val="P68B1DB1-Normal15"/>
              <w:spacing w:line="240" w:lineRule="auto"/>
              <w:jc w:val="center"/>
              <w:rPr>
                <w:noProof/>
                <w:color w:val="006100"/>
              </w:rPr>
            </w:pPr>
            <w:r>
              <w:rPr>
                <w:noProof/>
              </w:rPr>
              <w:t>2025 </w:t>
            </w:r>
          </w:p>
        </w:tc>
        <w:tc>
          <w:tcPr>
            <w:tcW w:w="3969" w:type="dxa"/>
            <w:shd w:val="clear" w:color="auto" w:fill="C6EFCE"/>
            <w:vAlign w:val="center"/>
          </w:tcPr>
          <w:p w14:paraId="1FC7B3CA" w14:textId="77777777" w:rsidR="00615E2D" w:rsidRDefault="00C83E46">
            <w:pPr>
              <w:pStyle w:val="P68B1DB1-Normal15"/>
              <w:spacing w:line="240" w:lineRule="auto"/>
              <w:rPr>
                <w:noProof/>
              </w:rPr>
            </w:pPr>
            <w:r>
              <w:rPr>
                <w:noProof/>
              </w:rPr>
              <w:t>Potpora aplikacijama ekosustava 5G u koridorima podrazumijeva izgradnju i ispitivanje inteligentnog prometnog sustava za željezničke koridore (C-ITS). Izvješće o rezultatima ovog projekta objavljuje Ministarstvo industrije i trgovine zajedno s Ministarstvom prometa.</w:t>
            </w:r>
          </w:p>
        </w:tc>
      </w:tr>
      <w:tr w:rsidR="00615E2D" w14:paraId="3DA9F526" w14:textId="77777777">
        <w:trPr>
          <w:trHeight w:val="486"/>
          <w:jc w:val="center"/>
        </w:trPr>
        <w:tc>
          <w:tcPr>
            <w:tcW w:w="619" w:type="dxa"/>
            <w:shd w:val="clear" w:color="auto" w:fill="C6EFCE"/>
            <w:vAlign w:val="center"/>
          </w:tcPr>
          <w:p w14:paraId="4A2D90DC" w14:textId="77777777" w:rsidR="00615E2D" w:rsidRDefault="00C83E46">
            <w:pPr>
              <w:pStyle w:val="P68B1DB1-Normal15"/>
              <w:spacing w:line="240" w:lineRule="auto"/>
              <w:jc w:val="center"/>
              <w:rPr>
                <w:noProof/>
                <w:color w:val="006100"/>
              </w:rPr>
            </w:pPr>
            <w:r>
              <w:rPr>
                <w:noProof/>
              </w:rPr>
              <w:t>43 </w:t>
            </w:r>
          </w:p>
        </w:tc>
        <w:tc>
          <w:tcPr>
            <w:tcW w:w="1295" w:type="dxa"/>
            <w:shd w:val="clear" w:color="auto" w:fill="C6EFCE"/>
            <w:vAlign w:val="center"/>
          </w:tcPr>
          <w:p w14:paraId="511B3637" w14:textId="77777777" w:rsidR="00615E2D" w:rsidRDefault="00C83E46">
            <w:pPr>
              <w:pStyle w:val="P68B1DB1-Normal15"/>
              <w:spacing w:line="240" w:lineRule="auto"/>
              <w:rPr>
                <w:noProof/>
                <w:color w:val="006100"/>
              </w:rPr>
            </w:pPr>
            <w:r>
              <w:rPr>
                <w:noProof/>
              </w:rPr>
              <w:t>Ulaganje 3: Potpora razvoju mobilne infrastrukture 5G u bijelim područjima s velikom potrošnjom u ruralnim područjima </w:t>
            </w:r>
          </w:p>
        </w:tc>
        <w:tc>
          <w:tcPr>
            <w:tcW w:w="1077" w:type="dxa"/>
            <w:shd w:val="clear" w:color="auto" w:fill="C6EFCE"/>
            <w:vAlign w:val="center"/>
          </w:tcPr>
          <w:p w14:paraId="1BFBC435" w14:textId="77777777" w:rsidR="00615E2D" w:rsidRDefault="00C83E46">
            <w:pPr>
              <w:pStyle w:val="P68B1DB1-Normal15"/>
              <w:spacing w:line="240" w:lineRule="auto"/>
              <w:rPr>
                <w:noProof/>
                <w:color w:val="006100"/>
              </w:rPr>
            </w:pPr>
            <w:r>
              <w:rPr>
                <w:noProof/>
              </w:rPr>
              <w:t>Prekretnica </w:t>
            </w:r>
          </w:p>
        </w:tc>
        <w:tc>
          <w:tcPr>
            <w:tcW w:w="1516" w:type="dxa"/>
            <w:shd w:val="clear" w:color="auto" w:fill="C6EFCE"/>
            <w:vAlign w:val="center"/>
          </w:tcPr>
          <w:p w14:paraId="24A2F222" w14:textId="77777777" w:rsidR="00615E2D" w:rsidRDefault="00C83E46">
            <w:pPr>
              <w:pStyle w:val="P68B1DB1-Normal15"/>
              <w:spacing w:line="240" w:lineRule="auto"/>
              <w:rPr>
                <w:noProof/>
                <w:color w:val="006100"/>
              </w:rPr>
            </w:pPr>
            <w:r>
              <w:rPr>
                <w:noProof/>
              </w:rPr>
              <w:t>Dodjela svih odluka o dodjeli bespovratnih sredstava za povezivanje općina s vezama velikog kapaciteta </w:t>
            </w:r>
          </w:p>
        </w:tc>
        <w:tc>
          <w:tcPr>
            <w:tcW w:w="1145" w:type="dxa"/>
            <w:shd w:val="clear" w:color="auto" w:fill="C6EFCE"/>
            <w:vAlign w:val="center"/>
          </w:tcPr>
          <w:p w14:paraId="1A2FC3C4" w14:textId="77777777" w:rsidR="00615E2D" w:rsidRDefault="00C83E46">
            <w:pPr>
              <w:pStyle w:val="P68B1DB1-Normal15"/>
              <w:spacing w:line="240" w:lineRule="auto"/>
              <w:rPr>
                <w:noProof/>
                <w:color w:val="006100"/>
              </w:rPr>
            </w:pPr>
            <w:r>
              <w:rPr>
                <w:noProof/>
              </w:rPr>
              <w:t>Obavijest Ministarstva industrije i trgovine o dodjeli svih odluka o dodjeli bespovratnih sredstava za povezivanje općina s visokim kapacitetom </w:t>
            </w:r>
          </w:p>
        </w:tc>
        <w:tc>
          <w:tcPr>
            <w:tcW w:w="1417" w:type="dxa"/>
            <w:shd w:val="clear" w:color="auto" w:fill="C6EFCE"/>
            <w:vAlign w:val="center"/>
          </w:tcPr>
          <w:p w14:paraId="3575FFA2" w14:textId="77777777" w:rsidR="00615E2D" w:rsidRDefault="00615E2D">
            <w:pPr>
              <w:spacing w:line="240" w:lineRule="auto"/>
              <w:rPr>
                <w:rFonts w:eastAsia="Times New Roman"/>
                <w:noProof/>
                <w:color w:val="006100"/>
                <w:sz w:val="18"/>
              </w:rPr>
            </w:pPr>
          </w:p>
        </w:tc>
        <w:tc>
          <w:tcPr>
            <w:tcW w:w="1021" w:type="dxa"/>
            <w:shd w:val="clear" w:color="auto" w:fill="C6EFCE"/>
            <w:vAlign w:val="center"/>
          </w:tcPr>
          <w:p w14:paraId="0ADCC3FE" w14:textId="77777777" w:rsidR="00615E2D" w:rsidRDefault="00C83E46">
            <w:pPr>
              <w:pStyle w:val="P68B1DB1-Normal15"/>
              <w:spacing w:line="240" w:lineRule="auto"/>
              <w:rPr>
                <w:noProof/>
                <w:color w:val="006100"/>
              </w:rPr>
            </w:pPr>
            <w:r>
              <w:rPr>
                <w:noProof/>
              </w:rPr>
              <w:t> </w:t>
            </w:r>
          </w:p>
        </w:tc>
        <w:tc>
          <w:tcPr>
            <w:tcW w:w="1021" w:type="dxa"/>
            <w:shd w:val="clear" w:color="auto" w:fill="C6EFCE"/>
            <w:vAlign w:val="center"/>
          </w:tcPr>
          <w:p w14:paraId="5257AE74" w14:textId="77777777" w:rsidR="00615E2D" w:rsidRDefault="00615E2D">
            <w:pPr>
              <w:spacing w:line="240" w:lineRule="auto"/>
              <w:rPr>
                <w:rFonts w:eastAsia="Times New Roman"/>
                <w:noProof/>
                <w:color w:val="006100"/>
                <w:sz w:val="18"/>
              </w:rPr>
            </w:pPr>
          </w:p>
        </w:tc>
        <w:tc>
          <w:tcPr>
            <w:tcW w:w="863" w:type="dxa"/>
            <w:shd w:val="clear" w:color="auto" w:fill="C6EFCE"/>
            <w:vAlign w:val="center"/>
          </w:tcPr>
          <w:p w14:paraId="08CC876A" w14:textId="77777777" w:rsidR="00615E2D" w:rsidRDefault="00C83E46">
            <w:pPr>
              <w:pStyle w:val="P68B1DB1-Normal15"/>
              <w:spacing w:line="240" w:lineRule="auto"/>
              <w:jc w:val="center"/>
              <w:rPr>
                <w:noProof/>
                <w:color w:val="006100"/>
              </w:rPr>
            </w:pPr>
            <w:r>
              <w:rPr>
                <w:noProof/>
              </w:rPr>
              <w:t>ČETVRTO TROMJESEČJE </w:t>
            </w:r>
          </w:p>
        </w:tc>
        <w:tc>
          <w:tcPr>
            <w:tcW w:w="850" w:type="dxa"/>
            <w:shd w:val="clear" w:color="auto" w:fill="C6EFCE"/>
            <w:vAlign w:val="center"/>
          </w:tcPr>
          <w:p w14:paraId="297396DF" w14:textId="77777777" w:rsidR="00615E2D" w:rsidRDefault="00C83E46">
            <w:pPr>
              <w:pStyle w:val="P68B1DB1-Normal15"/>
              <w:spacing w:line="240" w:lineRule="auto"/>
              <w:jc w:val="center"/>
              <w:rPr>
                <w:noProof/>
                <w:color w:val="006100"/>
              </w:rPr>
            </w:pPr>
            <w:r>
              <w:rPr>
                <w:noProof/>
              </w:rPr>
              <w:t>2024 </w:t>
            </w:r>
          </w:p>
        </w:tc>
        <w:tc>
          <w:tcPr>
            <w:tcW w:w="3969" w:type="dxa"/>
            <w:shd w:val="clear" w:color="auto" w:fill="C6EFCE"/>
            <w:vAlign w:val="center"/>
          </w:tcPr>
          <w:p w14:paraId="526FA6AD" w14:textId="0849F028" w:rsidR="00615E2D" w:rsidRDefault="00C83E46">
            <w:pPr>
              <w:pStyle w:val="P68B1DB1-Normal15"/>
              <w:spacing w:line="240" w:lineRule="auto"/>
              <w:rPr>
                <w:noProof/>
              </w:rPr>
            </w:pPr>
            <w:r>
              <w:rPr>
                <w:noProof/>
              </w:rPr>
              <w:t xml:space="preserve">Obavijest Ministarstva industrije i trgovine o dodjeli svih odluka o dodjeli bespovratnih sredstava za povezivanje općina s visokim kapacitetom Pozivi na podnošenje ponuda uključuju definiciju prihvatljivih rashoda, modele ocjenjivanja i kriterije za odabir i evaluaciju projekata, pravila za podnositelje zahtjeva i korisnike te smjernice o veleprodajnim ponudama. Među ostalim, kriteriji odabira moraju biti u skladu sa Smjernicama BEREC-a o mrežama vrlo velikog kapaciteta. </w:t>
            </w:r>
          </w:p>
          <w:p w14:paraId="205A277F" w14:textId="77777777" w:rsidR="00615E2D" w:rsidRDefault="00C83E46">
            <w:pPr>
              <w:pStyle w:val="P68B1DB1-Normal15"/>
              <w:spacing w:line="240" w:lineRule="auto"/>
              <w:rPr>
                <w:noProof/>
              </w:rPr>
            </w:pPr>
            <w:r>
              <w:rPr>
                <w:noProof/>
              </w:rPr>
              <w:t>Općine se nalaze isključivo u područjima koja nikad nisu bila pokrivena mobilnim signalom višim od 3G i za koja se može pretpostaviti da u budućnosti neće biti pokrivena 5G osnovnim mrežama zbog niske očekivane profitabilnosti ulaganja. Ta se područja definiraju u skladu s važećim pravilima o državnim potporama i Nacionalnim planom za razvoj VHC mreža.</w:t>
            </w:r>
          </w:p>
        </w:tc>
      </w:tr>
      <w:tr w:rsidR="00615E2D" w14:paraId="0B172610" w14:textId="77777777">
        <w:trPr>
          <w:trHeight w:val="945"/>
          <w:jc w:val="center"/>
        </w:trPr>
        <w:tc>
          <w:tcPr>
            <w:tcW w:w="619" w:type="dxa"/>
            <w:shd w:val="clear" w:color="auto" w:fill="C6EFCE"/>
            <w:vAlign w:val="center"/>
          </w:tcPr>
          <w:p w14:paraId="3C2E8D9E" w14:textId="77777777" w:rsidR="00615E2D" w:rsidRDefault="00C83E46">
            <w:pPr>
              <w:pStyle w:val="P68B1DB1-Normal15"/>
              <w:spacing w:line="240" w:lineRule="auto"/>
              <w:jc w:val="center"/>
              <w:rPr>
                <w:noProof/>
              </w:rPr>
            </w:pPr>
            <w:r>
              <w:rPr>
                <w:noProof/>
              </w:rPr>
              <w:t>44 </w:t>
            </w:r>
          </w:p>
        </w:tc>
        <w:tc>
          <w:tcPr>
            <w:tcW w:w="1295" w:type="dxa"/>
            <w:shd w:val="clear" w:color="auto" w:fill="C6EFCE"/>
            <w:vAlign w:val="center"/>
          </w:tcPr>
          <w:p w14:paraId="60FBC5EE" w14:textId="77777777" w:rsidR="00615E2D" w:rsidRDefault="00C83E46">
            <w:pPr>
              <w:pStyle w:val="P68B1DB1-Normal15"/>
              <w:spacing w:line="240" w:lineRule="auto"/>
              <w:rPr>
                <w:noProof/>
              </w:rPr>
            </w:pPr>
            <w:r>
              <w:rPr>
                <w:noProof/>
              </w:rPr>
              <w:t>Ulaganje 3: Potpora razvoju mobilne infrastrukture 5G u bijelim područjima s velikom potrošnjom u ruralnim područjima </w:t>
            </w:r>
          </w:p>
        </w:tc>
        <w:tc>
          <w:tcPr>
            <w:tcW w:w="1077" w:type="dxa"/>
            <w:shd w:val="clear" w:color="auto" w:fill="C6EFCE"/>
            <w:vAlign w:val="center"/>
          </w:tcPr>
          <w:p w14:paraId="35E52C01" w14:textId="77777777" w:rsidR="00615E2D" w:rsidRDefault="00C83E46">
            <w:pPr>
              <w:pStyle w:val="P68B1DB1-Normal15"/>
              <w:spacing w:line="240" w:lineRule="auto"/>
              <w:rPr>
                <w:noProof/>
              </w:rPr>
            </w:pPr>
            <w:r>
              <w:rPr>
                <w:noProof/>
              </w:rPr>
              <w:t>Ciljna </w:t>
            </w:r>
          </w:p>
        </w:tc>
        <w:tc>
          <w:tcPr>
            <w:tcW w:w="1516" w:type="dxa"/>
            <w:shd w:val="clear" w:color="auto" w:fill="C6EFCE"/>
            <w:vAlign w:val="center"/>
          </w:tcPr>
          <w:p w14:paraId="33D5F576" w14:textId="77777777" w:rsidR="00615E2D" w:rsidRDefault="00C83E46">
            <w:pPr>
              <w:pStyle w:val="P68B1DB1-Normal15"/>
              <w:spacing w:line="240" w:lineRule="auto"/>
              <w:rPr>
                <w:noProof/>
              </w:rPr>
            </w:pPr>
            <w:r>
              <w:rPr>
                <w:noProof/>
              </w:rPr>
              <w:t xml:space="preserve">Završetak baznih postaja za 5G signale </w:t>
            </w:r>
          </w:p>
        </w:tc>
        <w:tc>
          <w:tcPr>
            <w:tcW w:w="1145" w:type="dxa"/>
            <w:shd w:val="clear" w:color="auto" w:fill="C6EFCE"/>
            <w:vAlign w:val="center"/>
          </w:tcPr>
          <w:p w14:paraId="32367434" w14:textId="77777777" w:rsidR="00615E2D" w:rsidRDefault="00615E2D">
            <w:pPr>
              <w:spacing w:line="240" w:lineRule="auto"/>
              <w:rPr>
                <w:rFonts w:eastAsia="Times New Roman"/>
                <w:noProof/>
                <w:color w:val="004300"/>
                <w:sz w:val="18"/>
              </w:rPr>
            </w:pPr>
          </w:p>
        </w:tc>
        <w:tc>
          <w:tcPr>
            <w:tcW w:w="1417" w:type="dxa"/>
            <w:shd w:val="clear" w:color="auto" w:fill="C6EFCE"/>
            <w:vAlign w:val="center"/>
          </w:tcPr>
          <w:p w14:paraId="6E14BB8A" w14:textId="77777777" w:rsidR="00615E2D" w:rsidRDefault="00C83E46">
            <w:pPr>
              <w:pStyle w:val="P68B1DB1-Normal15"/>
              <w:spacing w:line="240" w:lineRule="auto"/>
              <w:rPr>
                <w:noProof/>
              </w:rPr>
            </w:pPr>
            <w:r>
              <w:rPr>
                <w:noProof/>
              </w:rPr>
              <w:t>Broj </w:t>
            </w:r>
          </w:p>
        </w:tc>
        <w:tc>
          <w:tcPr>
            <w:tcW w:w="1021" w:type="dxa"/>
            <w:shd w:val="clear" w:color="auto" w:fill="C6EFCE"/>
            <w:vAlign w:val="center"/>
          </w:tcPr>
          <w:p w14:paraId="2C6B965E" w14:textId="77777777" w:rsidR="00615E2D" w:rsidRDefault="00C83E46">
            <w:pPr>
              <w:pStyle w:val="P68B1DB1-Normal15"/>
              <w:spacing w:line="240" w:lineRule="auto"/>
              <w:jc w:val="center"/>
              <w:rPr>
                <w:noProof/>
              </w:rPr>
            </w:pPr>
            <w:r>
              <w:rPr>
                <w:noProof/>
              </w:rPr>
              <w:t>0</w:t>
            </w:r>
          </w:p>
        </w:tc>
        <w:tc>
          <w:tcPr>
            <w:tcW w:w="1021" w:type="dxa"/>
            <w:shd w:val="clear" w:color="auto" w:fill="C6EFCE"/>
            <w:vAlign w:val="center"/>
          </w:tcPr>
          <w:p w14:paraId="36746A18" w14:textId="178EEE26" w:rsidR="00615E2D" w:rsidRDefault="00C83E46">
            <w:pPr>
              <w:pStyle w:val="P68B1DB1-Normal15"/>
              <w:spacing w:line="240" w:lineRule="auto"/>
              <w:jc w:val="center"/>
              <w:rPr>
                <w:noProof/>
              </w:rPr>
            </w:pPr>
            <w:r>
              <w:rPr>
                <w:noProof/>
              </w:rPr>
              <w:t>55</w:t>
            </w:r>
          </w:p>
        </w:tc>
        <w:tc>
          <w:tcPr>
            <w:tcW w:w="863" w:type="dxa"/>
            <w:shd w:val="clear" w:color="auto" w:fill="C6EFCE"/>
            <w:vAlign w:val="center"/>
          </w:tcPr>
          <w:p w14:paraId="2B16DB4F" w14:textId="77777777" w:rsidR="00615E2D" w:rsidRDefault="00C83E46">
            <w:pPr>
              <w:pStyle w:val="P68B1DB1-Normal15"/>
              <w:spacing w:line="240" w:lineRule="auto"/>
              <w:jc w:val="center"/>
              <w:rPr>
                <w:noProof/>
              </w:rPr>
            </w:pPr>
            <w:r>
              <w:rPr>
                <w:noProof/>
              </w:rPr>
              <w:t>TROMJESEČJE </w:t>
            </w:r>
          </w:p>
        </w:tc>
        <w:tc>
          <w:tcPr>
            <w:tcW w:w="850" w:type="dxa"/>
            <w:shd w:val="clear" w:color="auto" w:fill="C6EFCE"/>
            <w:vAlign w:val="center"/>
          </w:tcPr>
          <w:p w14:paraId="26E82F35" w14:textId="77777777" w:rsidR="00615E2D" w:rsidRDefault="00C83E46">
            <w:pPr>
              <w:pStyle w:val="P68B1DB1-Normal15"/>
              <w:spacing w:line="240" w:lineRule="auto"/>
              <w:jc w:val="center"/>
              <w:rPr>
                <w:noProof/>
              </w:rPr>
            </w:pPr>
            <w:r>
              <w:rPr>
                <w:noProof/>
              </w:rPr>
              <w:t>2026 </w:t>
            </w:r>
          </w:p>
        </w:tc>
        <w:tc>
          <w:tcPr>
            <w:tcW w:w="3969" w:type="dxa"/>
            <w:shd w:val="clear" w:color="auto" w:fill="C6EFCE"/>
            <w:vAlign w:val="center"/>
          </w:tcPr>
          <w:p w14:paraId="3467BF00" w14:textId="6152E372" w:rsidR="00615E2D" w:rsidRDefault="00C83E46">
            <w:pPr>
              <w:pStyle w:val="P68B1DB1-Normal15"/>
              <w:spacing w:line="240" w:lineRule="auto"/>
              <w:rPr>
                <w:noProof/>
              </w:rPr>
            </w:pPr>
            <w:r>
              <w:rPr>
                <w:noProof/>
              </w:rPr>
              <w:t xml:space="preserve">Infrastruktura, uključujući 55 baznih stanica, mora biti izgrađena i operativna kako bi se njome obuhvatile općine u ruralnim područjima s intenzivnim ulaganjima utvrđenima u ulaganju 3.  </w:t>
            </w:r>
          </w:p>
        </w:tc>
      </w:tr>
      <w:tr w:rsidR="00615E2D" w14:paraId="4E8C2E3E" w14:textId="77777777">
        <w:trPr>
          <w:trHeight w:val="945"/>
          <w:jc w:val="center"/>
        </w:trPr>
        <w:tc>
          <w:tcPr>
            <w:tcW w:w="619" w:type="dxa"/>
            <w:shd w:val="clear" w:color="auto" w:fill="C6EFCE"/>
            <w:vAlign w:val="center"/>
          </w:tcPr>
          <w:p w14:paraId="121BFD18" w14:textId="77777777" w:rsidR="00615E2D" w:rsidRDefault="00C83E46">
            <w:pPr>
              <w:pStyle w:val="P68B1DB1-Normal15"/>
              <w:spacing w:line="240" w:lineRule="auto"/>
              <w:jc w:val="center"/>
              <w:rPr>
                <w:noProof/>
              </w:rPr>
            </w:pPr>
            <w:r>
              <w:rPr>
                <w:noProof/>
              </w:rPr>
              <w:t>45</w:t>
            </w:r>
          </w:p>
        </w:tc>
        <w:tc>
          <w:tcPr>
            <w:tcW w:w="1295" w:type="dxa"/>
            <w:shd w:val="clear" w:color="auto" w:fill="C6EFCE"/>
            <w:vAlign w:val="center"/>
          </w:tcPr>
          <w:p w14:paraId="56C94DEB" w14:textId="77777777" w:rsidR="00615E2D" w:rsidRDefault="00C83E46">
            <w:pPr>
              <w:pStyle w:val="P68B1DB1-Normal15"/>
              <w:spacing w:line="240" w:lineRule="auto"/>
              <w:rPr>
                <w:noProof/>
              </w:rPr>
            </w:pPr>
            <w:r>
              <w:rPr>
                <w:noProof/>
              </w:rPr>
              <w:t>Ulaganje 4: Znanstveno-istraživačke aktivnosti povezane s razvojem 5G mreža i usluga </w:t>
            </w:r>
          </w:p>
        </w:tc>
        <w:tc>
          <w:tcPr>
            <w:tcW w:w="1077" w:type="dxa"/>
            <w:shd w:val="clear" w:color="auto" w:fill="C6EFCE"/>
            <w:vAlign w:val="center"/>
          </w:tcPr>
          <w:p w14:paraId="03BF262A" w14:textId="77777777" w:rsidR="00615E2D" w:rsidRDefault="00C83E46">
            <w:pPr>
              <w:pStyle w:val="P68B1DB1-Normal15"/>
              <w:spacing w:line="240" w:lineRule="auto"/>
              <w:rPr>
                <w:noProof/>
              </w:rPr>
            </w:pPr>
            <w:r>
              <w:rPr>
                <w:noProof/>
              </w:rPr>
              <w:t>Prekretnica </w:t>
            </w:r>
          </w:p>
        </w:tc>
        <w:tc>
          <w:tcPr>
            <w:tcW w:w="1516" w:type="dxa"/>
            <w:shd w:val="clear" w:color="auto" w:fill="C6EFCE"/>
            <w:vAlign w:val="center"/>
          </w:tcPr>
          <w:p w14:paraId="5727BB0D" w14:textId="77777777" w:rsidR="00615E2D" w:rsidRDefault="00C83E46">
            <w:pPr>
              <w:pStyle w:val="P68B1DB1-Normal15"/>
              <w:spacing w:line="240" w:lineRule="auto"/>
              <w:rPr>
                <w:noProof/>
              </w:rPr>
            </w:pPr>
            <w:r>
              <w:rPr>
                <w:noProof/>
              </w:rPr>
              <w:t>Dodjela svih odluka o dodjeli bespovratnih sredstava za znanstveno-istraživačke projekte povezane s 5G mrežama </w:t>
            </w:r>
          </w:p>
        </w:tc>
        <w:tc>
          <w:tcPr>
            <w:tcW w:w="1145" w:type="dxa"/>
            <w:shd w:val="clear" w:color="auto" w:fill="C6EFCE"/>
            <w:vAlign w:val="center"/>
          </w:tcPr>
          <w:p w14:paraId="2A3FB87E" w14:textId="77777777" w:rsidR="00615E2D" w:rsidRDefault="00C83E46">
            <w:pPr>
              <w:pStyle w:val="P68B1DB1-Normal15"/>
              <w:spacing w:line="240" w:lineRule="auto"/>
              <w:rPr>
                <w:noProof/>
              </w:rPr>
            </w:pPr>
            <w:r>
              <w:rPr>
                <w:noProof/>
              </w:rPr>
              <w:t>Obavijest Ministarstva industrije i trgovine o dodjeli svih odluka o dodjeli bespovratnih sredstava za znanstveno-istraživačke projekte povezane s 5G mrežama </w:t>
            </w:r>
          </w:p>
        </w:tc>
        <w:tc>
          <w:tcPr>
            <w:tcW w:w="1417" w:type="dxa"/>
            <w:shd w:val="clear" w:color="auto" w:fill="C6EFCE"/>
            <w:vAlign w:val="center"/>
          </w:tcPr>
          <w:p w14:paraId="69957A49" w14:textId="77777777" w:rsidR="00615E2D" w:rsidRDefault="00615E2D">
            <w:pPr>
              <w:spacing w:line="240" w:lineRule="auto"/>
              <w:rPr>
                <w:rFonts w:eastAsia="Times New Roman"/>
                <w:noProof/>
                <w:color w:val="004300"/>
                <w:sz w:val="18"/>
              </w:rPr>
            </w:pPr>
          </w:p>
        </w:tc>
        <w:tc>
          <w:tcPr>
            <w:tcW w:w="1021" w:type="dxa"/>
            <w:shd w:val="clear" w:color="auto" w:fill="C6EFCE"/>
            <w:vAlign w:val="center"/>
          </w:tcPr>
          <w:p w14:paraId="26812B6C" w14:textId="77777777" w:rsidR="00615E2D" w:rsidRDefault="00615E2D">
            <w:pPr>
              <w:spacing w:line="240" w:lineRule="auto"/>
              <w:rPr>
                <w:rFonts w:eastAsia="Times New Roman"/>
                <w:noProof/>
                <w:color w:val="004300"/>
                <w:sz w:val="18"/>
              </w:rPr>
            </w:pPr>
          </w:p>
        </w:tc>
        <w:tc>
          <w:tcPr>
            <w:tcW w:w="1021" w:type="dxa"/>
            <w:shd w:val="clear" w:color="auto" w:fill="C6EFCE"/>
            <w:vAlign w:val="center"/>
          </w:tcPr>
          <w:p w14:paraId="446B8D19" w14:textId="77777777" w:rsidR="00615E2D" w:rsidRDefault="00615E2D">
            <w:pPr>
              <w:spacing w:line="240" w:lineRule="auto"/>
              <w:rPr>
                <w:rFonts w:eastAsia="Times New Roman"/>
                <w:noProof/>
                <w:color w:val="004300"/>
                <w:sz w:val="18"/>
              </w:rPr>
            </w:pPr>
          </w:p>
        </w:tc>
        <w:tc>
          <w:tcPr>
            <w:tcW w:w="863" w:type="dxa"/>
            <w:shd w:val="clear" w:color="auto" w:fill="C6EFCE"/>
            <w:vAlign w:val="center"/>
          </w:tcPr>
          <w:p w14:paraId="6D10E121" w14:textId="77777777" w:rsidR="00615E2D" w:rsidRDefault="00C83E46">
            <w:pPr>
              <w:pStyle w:val="P68B1DB1-Normal15"/>
              <w:spacing w:line="240" w:lineRule="auto"/>
              <w:jc w:val="center"/>
              <w:rPr>
                <w:noProof/>
              </w:rPr>
            </w:pPr>
            <w:r>
              <w:rPr>
                <w:noProof/>
              </w:rPr>
              <w:t>ČETVRTO TROMJESEČJE </w:t>
            </w:r>
          </w:p>
        </w:tc>
        <w:tc>
          <w:tcPr>
            <w:tcW w:w="850" w:type="dxa"/>
            <w:shd w:val="clear" w:color="auto" w:fill="C6EFCE"/>
            <w:vAlign w:val="center"/>
          </w:tcPr>
          <w:p w14:paraId="3B99A227" w14:textId="77777777" w:rsidR="00615E2D" w:rsidRDefault="00C83E46">
            <w:pPr>
              <w:pStyle w:val="P68B1DB1-Normal15"/>
              <w:spacing w:line="240" w:lineRule="auto"/>
              <w:jc w:val="center"/>
              <w:rPr>
                <w:noProof/>
              </w:rPr>
            </w:pPr>
            <w:r>
              <w:rPr>
                <w:noProof/>
              </w:rPr>
              <w:t>2024 </w:t>
            </w:r>
          </w:p>
        </w:tc>
        <w:tc>
          <w:tcPr>
            <w:tcW w:w="3969" w:type="dxa"/>
            <w:shd w:val="clear" w:color="auto" w:fill="C6EFCE"/>
            <w:vAlign w:val="center"/>
          </w:tcPr>
          <w:p w14:paraId="0FEE930E" w14:textId="77777777" w:rsidR="00615E2D" w:rsidRDefault="00C83E46">
            <w:pPr>
              <w:pStyle w:val="P68B1DB1-Normal15"/>
              <w:spacing w:line="240" w:lineRule="auto"/>
              <w:rPr>
                <w:noProof/>
              </w:rPr>
            </w:pPr>
            <w:r>
              <w:rPr>
                <w:noProof/>
              </w:rPr>
              <w:t xml:space="preserve">Obavijest Ministarstva industrije i trgovine o dodjeli svih odluka o dodjeli bespovratnih sredstava za znanstveno-istraživačke projekte povezane s 5G mrežama. Projekti su usmjereni na upotrebu 5G aplikacija u industriji i uslugama, posebno na iskorištavanje novih tehnologija u proizvodnim procesima automobilske industrije i drugih ključnih sektora, uzimajući u obzir načela kružnog gospodarstva nabavom sekundarnih sirovina. Potpora je usmjerena i na projekte kojima se potiču razvoj i širenje automatizacije, robotizacije, umjetne inteligencije i virtualne ili proširene stvarnosti. Potencijalni korisnici uključuju poduzeća ili javne istraživačke organizacije. </w:t>
            </w:r>
          </w:p>
        </w:tc>
      </w:tr>
      <w:tr w:rsidR="00615E2D" w14:paraId="7701490C" w14:textId="77777777">
        <w:trPr>
          <w:trHeight w:val="345"/>
          <w:jc w:val="center"/>
        </w:trPr>
        <w:tc>
          <w:tcPr>
            <w:tcW w:w="619" w:type="dxa"/>
            <w:shd w:val="clear" w:color="auto" w:fill="C6EFCE"/>
            <w:vAlign w:val="center"/>
          </w:tcPr>
          <w:p w14:paraId="72D6D62A" w14:textId="77777777" w:rsidR="00615E2D" w:rsidRDefault="00C83E46">
            <w:pPr>
              <w:pStyle w:val="P68B1DB1-Normal15"/>
              <w:spacing w:line="240" w:lineRule="auto"/>
              <w:jc w:val="center"/>
              <w:rPr>
                <w:noProof/>
              </w:rPr>
            </w:pPr>
            <w:r>
              <w:rPr>
                <w:noProof/>
              </w:rPr>
              <w:t>46</w:t>
            </w:r>
          </w:p>
        </w:tc>
        <w:tc>
          <w:tcPr>
            <w:tcW w:w="1295" w:type="dxa"/>
            <w:shd w:val="clear" w:color="auto" w:fill="C6EFCE"/>
            <w:vAlign w:val="center"/>
          </w:tcPr>
          <w:p w14:paraId="36E2FAB3" w14:textId="77777777" w:rsidR="00615E2D" w:rsidRDefault="00C83E46">
            <w:pPr>
              <w:pStyle w:val="P68B1DB1-Normal15"/>
              <w:spacing w:line="240" w:lineRule="auto"/>
              <w:rPr>
                <w:noProof/>
              </w:rPr>
            </w:pPr>
            <w:r>
              <w:rPr>
                <w:noProof/>
              </w:rPr>
              <w:t>Ulaganje 4: Znanstveno-istraživačke aktivnosti povezane s razvojem 5G mreža i usluga </w:t>
            </w:r>
          </w:p>
        </w:tc>
        <w:tc>
          <w:tcPr>
            <w:tcW w:w="1077" w:type="dxa"/>
            <w:shd w:val="clear" w:color="auto" w:fill="C6EFCE"/>
            <w:vAlign w:val="center"/>
          </w:tcPr>
          <w:p w14:paraId="3CB87F2B" w14:textId="77777777" w:rsidR="00615E2D" w:rsidRDefault="00C83E46">
            <w:pPr>
              <w:pStyle w:val="P68B1DB1-Normal15"/>
              <w:spacing w:line="240" w:lineRule="auto"/>
              <w:rPr>
                <w:noProof/>
              </w:rPr>
            </w:pPr>
            <w:r>
              <w:rPr>
                <w:noProof/>
              </w:rPr>
              <w:t>Ciljna</w:t>
            </w:r>
          </w:p>
        </w:tc>
        <w:tc>
          <w:tcPr>
            <w:tcW w:w="1516" w:type="dxa"/>
            <w:shd w:val="clear" w:color="auto" w:fill="C6EFCE"/>
            <w:vAlign w:val="center"/>
          </w:tcPr>
          <w:p w14:paraId="0CF35BCE" w14:textId="77777777" w:rsidR="00615E2D" w:rsidRDefault="00C83E46">
            <w:pPr>
              <w:pStyle w:val="P68B1DB1-Normal15"/>
              <w:spacing w:line="240" w:lineRule="auto"/>
              <w:rPr>
                <w:noProof/>
              </w:rPr>
            </w:pPr>
            <w:r>
              <w:rPr>
                <w:noProof/>
              </w:rPr>
              <w:t>Završetak znanstvenih istraživačkih projekata povezanih s 5G mrežama</w:t>
            </w:r>
          </w:p>
        </w:tc>
        <w:tc>
          <w:tcPr>
            <w:tcW w:w="1145" w:type="dxa"/>
            <w:shd w:val="clear" w:color="auto" w:fill="C6EFCE"/>
            <w:vAlign w:val="center"/>
          </w:tcPr>
          <w:p w14:paraId="6F15B6BD" w14:textId="77777777" w:rsidR="00615E2D" w:rsidRDefault="00615E2D">
            <w:pPr>
              <w:spacing w:line="240" w:lineRule="auto"/>
              <w:rPr>
                <w:rFonts w:eastAsia="Times New Roman"/>
                <w:noProof/>
                <w:color w:val="004300"/>
                <w:sz w:val="18"/>
              </w:rPr>
            </w:pPr>
          </w:p>
        </w:tc>
        <w:tc>
          <w:tcPr>
            <w:tcW w:w="1417" w:type="dxa"/>
            <w:shd w:val="clear" w:color="auto" w:fill="C6EFCE"/>
            <w:vAlign w:val="center"/>
          </w:tcPr>
          <w:p w14:paraId="2F1066C0" w14:textId="77777777" w:rsidR="00615E2D" w:rsidRDefault="00C83E46">
            <w:pPr>
              <w:pStyle w:val="P68B1DB1-Normal15"/>
              <w:spacing w:line="240" w:lineRule="auto"/>
              <w:rPr>
                <w:noProof/>
              </w:rPr>
            </w:pPr>
            <w:r>
              <w:rPr>
                <w:noProof/>
              </w:rPr>
              <w:t>Broj projekata za koje je dodijeljena potpora</w:t>
            </w:r>
          </w:p>
        </w:tc>
        <w:tc>
          <w:tcPr>
            <w:tcW w:w="1021" w:type="dxa"/>
            <w:shd w:val="clear" w:color="auto" w:fill="C6EFCE"/>
            <w:vAlign w:val="center"/>
          </w:tcPr>
          <w:p w14:paraId="2342916B" w14:textId="77777777" w:rsidR="00615E2D" w:rsidRDefault="00C83E46">
            <w:pPr>
              <w:pStyle w:val="P68B1DB1-Normal15"/>
              <w:spacing w:line="240" w:lineRule="auto"/>
              <w:jc w:val="center"/>
              <w:rPr>
                <w:noProof/>
              </w:rPr>
            </w:pPr>
            <w:r>
              <w:rPr>
                <w:noProof/>
              </w:rPr>
              <w:t>0</w:t>
            </w:r>
          </w:p>
        </w:tc>
        <w:tc>
          <w:tcPr>
            <w:tcW w:w="1021" w:type="dxa"/>
            <w:shd w:val="clear" w:color="auto" w:fill="C6EFCE"/>
            <w:vAlign w:val="center"/>
          </w:tcPr>
          <w:p w14:paraId="4BD17C27" w14:textId="43EC7CBB" w:rsidR="00615E2D" w:rsidRDefault="00C83E46">
            <w:pPr>
              <w:pStyle w:val="P68B1DB1-Normal15"/>
              <w:spacing w:line="240" w:lineRule="auto"/>
              <w:jc w:val="center"/>
              <w:rPr>
                <w:noProof/>
              </w:rPr>
            </w:pPr>
            <w:r>
              <w:rPr>
                <w:noProof/>
              </w:rPr>
              <w:t>22</w:t>
            </w:r>
          </w:p>
        </w:tc>
        <w:tc>
          <w:tcPr>
            <w:tcW w:w="863" w:type="dxa"/>
            <w:shd w:val="clear" w:color="auto" w:fill="C6EFCE"/>
            <w:vAlign w:val="center"/>
          </w:tcPr>
          <w:p w14:paraId="3E94CC8B" w14:textId="77777777" w:rsidR="00615E2D" w:rsidRDefault="00C83E46">
            <w:pPr>
              <w:pStyle w:val="P68B1DB1-Normal15"/>
              <w:spacing w:line="240" w:lineRule="auto"/>
              <w:jc w:val="center"/>
              <w:rPr>
                <w:noProof/>
              </w:rPr>
            </w:pPr>
            <w:r>
              <w:rPr>
                <w:noProof/>
              </w:rPr>
              <w:t>ČETVRTO TROMJESEČJE</w:t>
            </w:r>
          </w:p>
        </w:tc>
        <w:tc>
          <w:tcPr>
            <w:tcW w:w="850" w:type="dxa"/>
            <w:shd w:val="clear" w:color="auto" w:fill="C6EFCE"/>
            <w:vAlign w:val="center"/>
          </w:tcPr>
          <w:p w14:paraId="6D77CB4F" w14:textId="77777777" w:rsidR="00615E2D" w:rsidRDefault="00C83E46">
            <w:pPr>
              <w:pStyle w:val="P68B1DB1-Normal15"/>
              <w:spacing w:line="240" w:lineRule="auto"/>
              <w:jc w:val="center"/>
              <w:rPr>
                <w:noProof/>
              </w:rPr>
            </w:pPr>
            <w:r>
              <w:rPr>
                <w:noProof/>
              </w:rPr>
              <w:t>2025</w:t>
            </w:r>
          </w:p>
        </w:tc>
        <w:tc>
          <w:tcPr>
            <w:tcW w:w="3969" w:type="dxa"/>
            <w:shd w:val="clear" w:color="auto" w:fill="C6EFCE"/>
            <w:vAlign w:val="center"/>
          </w:tcPr>
          <w:p w14:paraId="27BF753C" w14:textId="7BF1EA1B" w:rsidR="00615E2D" w:rsidRDefault="00C83E46">
            <w:pPr>
              <w:pStyle w:val="P68B1DB1-Normal15"/>
              <w:spacing w:line="240" w:lineRule="auto"/>
              <w:rPr>
                <w:noProof/>
              </w:rPr>
            </w:pPr>
            <w:r>
              <w:rPr>
                <w:noProof/>
              </w:rPr>
              <w:t>Najmanje 22 od prethodno odabranih znanstvenih istraživačkih projekata o mogućem daljnjem razvoju 5G mreža i usluga moraju biti dovršena. Dobivene studije objavljuje Ministarstvo industrije i trgovine.</w:t>
            </w:r>
          </w:p>
        </w:tc>
      </w:tr>
    </w:tbl>
    <w:p w14:paraId="075C51CA" w14:textId="77777777" w:rsidR="00615E2D" w:rsidRDefault="00615E2D">
      <w:pPr>
        <w:spacing w:line="240" w:lineRule="auto"/>
        <w:rPr>
          <w:b/>
          <w:smallCaps/>
          <w:noProof/>
        </w:rPr>
        <w:sectPr w:rsidR="00615E2D" w:rsidSect="001932DE">
          <w:headerReference w:type="even" r:id="rId72"/>
          <w:headerReference w:type="default" r:id="rId73"/>
          <w:footerReference w:type="even" r:id="rId74"/>
          <w:footerReference w:type="default" r:id="rId75"/>
          <w:headerReference w:type="first" r:id="rId76"/>
          <w:footerReference w:type="first" r:id="rId77"/>
          <w:pgSz w:w="16839" w:h="11907" w:orient="landscape"/>
          <w:pgMar w:top="1134" w:right="1134" w:bottom="1134" w:left="1134" w:header="567" w:footer="567" w:gutter="0"/>
          <w:cols w:space="720"/>
          <w:docGrid w:linePitch="360"/>
        </w:sectPr>
      </w:pPr>
    </w:p>
    <w:p w14:paraId="7BBA72BE" w14:textId="77777777" w:rsidR="00615E2D" w:rsidRDefault="00C83E46">
      <w:pPr>
        <w:pStyle w:val="P68B1DB1-Normal2"/>
        <w:keepNext/>
        <w:tabs>
          <w:tab w:val="left" w:pos="850"/>
        </w:tabs>
        <w:spacing w:line="240" w:lineRule="auto"/>
        <w:jc w:val="both"/>
        <w:outlineLvl w:val="0"/>
        <w:rPr>
          <w:noProof/>
        </w:rPr>
      </w:pPr>
      <w:r>
        <w:rPr>
          <w:noProof/>
        </w:rPr>
        <w:t>D. SASTAVNI DIO 1.4.: Digitalno gospodarstvo i društvo, Inovativan početak i nova tehnologija</w:t>
      </w:r>
    </w:p>
    <w:p w14:paraId="3AD0E45A" w14:textId="77777777" w:rsidR="00615E2D" w:rsidRDefault="00C83E46">
      <w:pPr>
        <w:spacing w:line="240" w:lineRule="auto"/>
        <w:jc w:val="both"/>
        <w:rPr>
          <w:noProof/>
        </w:rPr>
      </w:pPr>
      <w:r>
        <w:rPr>
          <w:noProof/>
        </w:rPr>
        <w:t>Ta komponenta češkog plana za oporavak i otpornost pridonosi suočavanju s izazovom olakšavanja digitalizacije i usvajanja novih tehnologija u poduzećima, uključujući MSP-ove. Cilj mu je i osnivanje tijela za koordinaciju projekata usmjerenih na digitalnu transformaciju gospodarstva, podupiranje razvoja i prihvaćanja odabranih strateških tehnologija, uključujući umjetnu inteligenciju, te poboljšanje inovacijskog ekosustava, posebno za novoosnovana poduzeća, među ostalim poboljšanim vezama između akademske zajednice i poduzeća. Očekuje se da će se planiranim ulaganjima potaknuti pristup financiranju za inovativna novoosnovana poduzeća i MSP-ove, među ostalim putem financijskih tehnologija i rješenja za financiranje u ranoj fazi, kao i pristup osposobljavanju i objektima za ispitivanje kako bi se doprinijelo prihvaćanju novih digitalnih tehnologija. Komponenta ima sinergije s sastavnicama 1.3 [digitalne mreže visokog kapaciteta] i 1.5 [Digitalna transformacija poduzeća] češkog plana, koje pridonose rješavanju pitanja pristupa mrežama visokog kapaciteta i digitalizaciji poslovanja.</w:t>
      </w:r>
    </w:p>
    <w:p w14:paraId="7AD517F3" w14:textId="77777777" w:rsidR="00615E2D" w:rsidRDefault="00C83E46">
      <w:pPr>
        <w:spacing w:line="240" w:lineRule="auto"/>
        <w:jc w:val="both"/>
        <w:rPr>
          <w:rFonts w:eastAsia="Times New Roman"/>
          <w:noProof/>
        </w:rPr>
      </w:pPr>
      <w:r>
        <w:rPr>
          <w:rFonts w:eastAsia="Times New Roman"/>
          <w:noProof/>
          <w:color w:val="000000"/>
        </w:rPr>
        <w:t xml:space="preserve">Komponentom se </w:t>
      </w:r>
      <w:r>
        <w:rPr>
          <w:rFonts w:eastAsia="Times New Roman"/>
          <w:noProof/>
        </w:rPr>
        <w:t xml:space="preserve">podupire odgovor </w:t>
      </w:r>
      <w:r>
        <w:rPr>
          <w:noProof/>
        </w:rPr>
        <w:t xml:space="preserve">na preporuku za pojedinu zemlju 3. </w:t>
      </w:r>
      <w:r>
        <w:rPr>
          <w:rFonts w:eastAsia="Times New Roman"/>
          <w:noProof/>
        </w:rPr>
        <w:t xml:space="preserve">2019., u skladu s kojom će Češka </w:t>
      </w:r>
      <w:r>
        <w:rPr>
          <w:noProof/>
        </w:rPr>
        <w:t>usmjeriti investicijsku politiku na digitalnu infrastrukturu i ukloniti prepreke koje ometaju razvoj potpuno funkcionalnog inovacijskog ekosustava</w:t>
      </w:r>
      <w:r>
        <w:rPr>
          <w:rFonts w:eastAsia="Times New Roman"/>
          <w:noProof/>
          <w:color w:val="000000"/>
        </w:rPr>
        <w:t xml:space="preserve"> te </w:t>
      </w:r>
      <w:r>
        <w:rPr>
          <w:noProof/>
        </w:rPr>
        <w:t xml:space="preserve">preporuku za pojedinu zemlju br. 3 </w:t>
      </w:r>
      <w:r>
        <w:rPr>
          <w:rFonts w:eastAsia="Times New Roman"/>
          <w:noProof/>
        </w:rPr>
        <w:t>2020., u</w:t>
      </w:r>
      <w:r>
        <w:rPr>
          <w:rFonts w:eastAsia="Times New Roman"/>
          <w:noProof/>
          <w:color w:val="000000"/>
        </w:rPr>
        <w:t>skladu s kojom Češka pruža</w:t>
      </w:r>
      <w:r>
        <w:rPr>
          <w:i/>
          <w:noProof/>
          <w:color w:val="000000"/>
        </w:rPr>
        <w:t xml:space="preserve"> </w:t>
      </w:r>
      <w:r>
        <w:rPr>
          <w:noProof/>
        </w:rPr>
        <w:t>potporu malim i srednjim</w:t>
      </w:r>
      <w:r>
        <w:rPr>
          <w:rFonts w:eastAsia="Times New Roman"/>
          <w:noProof/>
        </w:rPr>
        <w:t xml:space="preserve"> poduzećima većom upotrebom financijskih instrumenata kako bi osigurala potporu likvidnosti, usmjerila ulaganja u digitalnu tranziciju, posebno u digitalnu infrastrukturu i tehnologiju velikog kapaciteta, te kako bi inovativnim poduzećima osigurala pristup financiranju i poboljšala javno-privatnu suradnju u području istraživanja i razvoja.</w:t>
      </w:r>
    </w:p>
    <w:p w14:paraId="5C04BB83" w14:textId="78415B2A" w:rsidR="00615E2D" w:rsidRDefault="00C83E46">
      <w:pPr>
        <w:pStyle w:val="P68B1DB1-Normal3"/>
        <w:spacing w:line="240" w:lineRule="auto"/>
        <w:jc w:val="both"/>
        <w:rPr>
          <w:noProof/>
        </w:rPr>
      </w:pPr>
      <w:r>
        <w:rPr>
          <w:noProof/>
        </w:rPr>
        <w:t>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 Konkretno, rezultati postupka istraživanja i inovacija moraju biti tehnološki neutralni na razini njihove primjene (tj. primjenjuju se na sve dostupne tehnologije, uključujući tehnologije s malim učinkom), a mjera ex ante isključuje istraživanja i inovacije posvećene elementima „istraživanja i inovacija” (tj. ugljen, lignit, naftu/nafta, prirodni plin koji nije obuhvaćen Prilogom III. Tehničkim smjernicama o nenanošenja bitne štete, plavi i sivi vodik, spalionice i odlagališta otpada).</w:t>
      </w:r>
    </w:p>
    <w:p w14:paraId="3C9A82B5" w14:textId="77777777" w:rsidR="00615E2D" w:rsidRDefault="00615E2D">
      <w:pPr>
        <w:spacing w:line="240" w:lineRule="auto"/>
        <w:jc w:val="both"/>
        <w:rPr>
          <w:noProof/>
        </w:rPr>
      </w:pPr>
    </w:p>
    <w:p w14:paraId="0E9525BC" w14:textId="77777777" w:rsidR="00615E2D" w:rsidRDefault="00C83E46">
      <w:pPr>
        <w:pStyle w:val="P68B1DB1-Normal5"/>
        <w:spacing w:line="240" w:lineRule="auto"/>
        <w:jc w:val="both"/>
        <w:rPr>
          <w:noProof/>
        </w:rPr>
      </w:pPr>
      <w:r>
        <w:rPr>
          <w:noProof/>
        </w:rPr>
        <w:t xml:space="preserve">D.1. </w:t>
      </w:r>
      <w:r>
        <w:rPr>
          <w:noProof/>
        </w:rPr>
        <w:tab/>
        <w:t>Opis reformi i ulaganja za programe bespovratne financijske potpore</w:t>
      </w:r>
    </w:p>
    <w:p w14:paraId="0AD557D2" w14:textId="77777777" w:rsidR="00615E2D" w:rsidRDefault="00C83E46">
      <w:pPr>
        <w:pStyle w:val="P68B1DB1-Normal7"/>
        <w:spacing w:line="240" w:lineRule="auto"/>
        <w:jc w:val="both"/>
        <w:rPr>
          <w:rFonts w:eastAsia="Times New Roman"/>
          <w:noProof/>
        </w:rPr>
      </w:pPr>
      <w:r>
        <w:rPr>
          <w:noProof/>
        </w:rPr>
        <w:t xml:space="preserve">Reforma 1.: </w:t>
      </w:r>
      <w:r>
        <w:rPr>
          <w:rFonts w:eastAsia="Times New Roman"/>
          <w:noProof/>
        </w:rPr>
        <w:t>Institucionalna reforma sustava upravljanja za digitalnu transformaciju, uključujući strategiju RIS 3</w:t>
      </w:r>
    </w:p>
    <w:p w14:paraId="3596C172" w14:textId="3352C31D" w:rsidR="00615E2D" w:rsidRDefault="00C83E46">
      <w:pPr>
        <w:spacing w:line="240" w:lineRule="auto"/>
        <w:jc w:val="both"/>
        <w:rPr>
          <w:rFonts w:eastAsia="Times New Roman"/>
          <w:noProof/>
        </w:rPr>
      </w:pPr>
      <w:r>
        <w:rPr>
          <w:noProof/>
        </w:rPr>
        <w:t xml:space="preserve">Cilj je institucionalne reforme pojednostavniti organizacijsku strukturu koja nadzire digitalnu transformaciju. Novoosnovani Odbor za digitalnu transformaciju blisko surađuje s </w:t>
      </w:r>
      <w:r>
        <w:rPr>
          <w:rFonts w:eastAsia="Times New Roman"/>
          <w:noProof/>
        </w:rPr>
        <w:t xml:space="preserve">nacionalnim inovacijskim strategijama za pametnu specijalizaciju koji utvrđuju i šire ključne tehnologije i relevantna područja istraživanja i inovacija. Osigurava povezivost i koordinaciju među akterima u cijelom digitalnom ekosustavu i uključuje zastupljenost privatnih i javnih dionika. Također podiže svijest među poduzećima i građanima o mogućnostima primjene novih digitalnih tehnologija. </w:t>
      </w:r>
    </w:p>
    <w:p w14:paraId="7388080E" w14:textId="4FFA1971" w:rsidR="00615E2D" w:rsidRDefault="00C83E46">
      <w:pPr>
        <w:pStyle w:val="P68B1DB1-Normal3"/>
        <w:spacing w:line="240" w:lineRule="auto"/>
        <w:jc w:val="both"/>
        <w:rPr>
          <w:noProof/>
        </w:rPr>
      </w:pPr>
      <w:r>
        <w:rPr>
          <w:noProof/>
        </w:rPr>
        <w:t>Daljnje poboljšanje digitalnog i inovacijskog ekosustava (uključujući novoosnovana poduzeća, izdvojena poduzeća i strateške tehnologije) uključuje uspostavu koordinacijskog tijela, u okviru Odbora za digitalnu transformaciju, odgovornog za provedbu programa potpore poduzećima u okviru te komponente u skladu sa standardom EU-a Start-up Nations u cilju davanja preporuka i savjeta o provedbi reforme i povezanih ulaganja. Reformom se uspostavlja suradnja između javnog i privatnog sektora te podupiru tri pilot-investicijska fonda, programi potpore poduzetništvu i poduzećima, aktivnosti za poboljšanje internacionalizacije novoosnovanih poduzeća i regulatorna izolirana okruženja u kojima se u praksi ispituju inovativna rješenja, kako je predloženo u okviru ove komponente.</w:t>
      </w:r>
    </w:p>
    <w:p w14:paraId="44A9F287" w14:textId="77777777" w:rsidR="00615E2D" w:rsidRDefault="00C83E46">
      <w:pPr>
        <w:pStyle w:val="P68B1DB1-Normal3"/>
        <w:spacing w:line="240" w:lineRule="auto"/>
        <w:jc w:val="both"/>
        <w:rPr>
          <w:noProof/>
        </w:rPr>
      </w:pPr>
      <w:r>
        <w:rPr>
          <w:noProof/>
        </w:rPr>
        <w:t>Reforma se provodi do 31. prosinca 2025.</w:t>
      </w:r>
    </w:p>
    <w:p w14:paraId="46C9FF2E" w14:textId="77777777" w:rsidR="00615E2D" w:rsidRDefault="00C83E46">
      <w:pPr>
        <w:pStyle w:val="P68B1DB1-Normal7"/>
        <w:spacing w:line="240" w:lineRule="auto"/>
        <w:jc w:val="both"/>
        <w:rPr>
          <w:rFonts w:eastAsia="Times New Roman"/>
          <w:noProof/>
          <w:color w:val="000000"/>
        </w:rPr>
      </w:pPr>
      <w:r>
        <w:rPr>
          <w:noProof/>
        </w:rPr>
        <w:t xml:space="preserve">Reforma br. 2: </w:t>
      </w:r>
      <w:r>
        <w:rPr>
          <w:rFonts w:eastAsia="Times New Roman"/>
          <w:noProof/>
          <w:color w:val="000000"/>
        </w:rPr>
        <w:t>Zajednička skupina za potporu strateškim tehnologijama i certificiranje s Odborom za strateške tehnologije</w:t>
      </w:r>
    </w:p>
    <w:p w14:paraId="4E4F7541" w14:textId="60C9F280" w:rsidR="00615E2D" w:rsidRDefault="00C83E46">
      <w:pPr>
        <w:pStyle w:val="P68B1DB1-Normal4"/>
        <w:spacing w:line="240" w:lineRule="auto"/>
        <w:jc w:val="both"/>
        <w:rPr>
          <w:noProof/>
        </w:rPr>
      </w:pPr>
      <w:r>
        <w:rPr>
          <w:noProof/>
        </w:rPr>
        <w:t>Cilj je reforme razviti akreditirana tijela za upravljanje kvalitetom i certifikaciju proizvoda te osigurati mrežu akreditiranih laboratorija s dostatnim kapacitetima za ispitivanje i certifikaciju te razmjenjivati najbolje prakse, posebno u strateškim sektorima kao što su zrakoplovno-svemirska industrija i industrija medicinskih proizvoda, čime će se poboljšati kvaliteta proizvoda i konkurentnost čeških poduzeća. Reformom se podupiru aktivnosti kao što su: olakšavanje akreditacijskih postupaka i kupnja opreme s naglaskom na: napredni materijali i tehnologije (kompoziti, aditivna proizvodnja, laserska primjena); zelene tehnologije (hibridni/električni pogon, dekarbonizacija, smanjenje buke, biogoriva, održivost zračnog prijevoza); automatizacija i digitalizacija; Bespilotni zrakoplovni sustavi (UAV)/bespilotni zrakoplovni sustavi (UAS); Gradska zračna mobilnost (UAM); softverske aplikacije; Industrija 4.0 u zrakoplovno-svemirskoj industriji (AI, IoT, Big Data). Komponenta također uključuje savjetodavne i savjetodavne usluge poduzećima u pripremi za dobivanje certifikata i širenje proizvodne prakse. Reforma uključuje i osmišljavanje obrazovnih tečajeva dostupnih dionicima o postupku certificiranja.</w:t>
      </w:r>
    </w:p>
    <w:p w14:paraId="59522DE1" w14:textId="77777777" w:rsidR="00615E2D" w:rsidRDefault="00C83E46">
      <w:pPr>
        <w:pStyle w:val="P68B1DB1-Normal4"/>
        <w:spacing w:line="240" w:lineRule="auto"/>
        <w:jc w:val="both"/>
        <w:rPr>
          <w:noProof/>
        </w:rPr>
      </w:pPr>
      <w:r>
        <w:rPr>
          <w:noProof/>
        </w:rPr>
        <w:t>Reforma se provodi do 31. prosinca 2024.</w:t>
      </w:r>
    </w:p>
    <w:p w14:paraId="4D6887B6" w14:textId="77777777" w:rsidR="00615E2D" w:rsidRDefault="00C83E46">
      <w:pPr>
        <w:pStyle w:val="P68B1DB1-Normal7"/>
        <w:spacing w:line="240" w:lineRule="auto"/>
        <w:jc w:val="both"/>
        <w:rPr>
          <w:noProof/>
        </w:rPr>
      </w:pPr>
      <w:r>
        <w:rPr>
          <w:noProof/>
        </w:rPr>
        <w:t>Ulaganje 2: Europski opservatorij za digitalne medije (EDMO)</w:t>
      </w:r>
    </w:p>
    <w:p w14:paraId="3E2B379F" w14:textId="332B2EC0" w:rsidR="00615E2D" w:rsidRDefault="00C83E46">
      <w:pPr>
        <w:spacing w:line="240" w:lineRule="auto"/>
        <w:jc w:val="both"/>
        <w:rPr>
          <w:noProof/>
        </w:rPr>
      </w:pPr>
      <w:r>
        <w:rPr>
          <w:noProof/>
        </w:rPr>
        <w:t>Tim se ulaganjem uspostavlja Srednjoeuropski opservatorij za digitalne medije (CEDMO), regionalna institucija koju vodi Karlovo sveučilište u partnerstvu s Češkim tehničkim sveučilištem u Pragu (ČVUT) i internetske stranice za provjeru činjenica demagog.cz. CEDMO je povezan s Europskim opservatorijem za digitalne medije i slijedi Akcijski plan za borbu protiv dezinformiranja koji su objavili Europska komisija i Visoki predstavnik Unije za vanjske poslove i sigurnosnu politiku. Osigurava alate i metodologiju umjetne inteligencije za nepristrano suzbijanje manipulacije informacijama, uključujući dezinformacije u digitalnom prostoru, te osigurava metodologiju za otkrivanje, analizu i objavljivanje kampanja dezinformiranja na nacionalnoj, transnacionalnoj i europskoj razini te analizira učinak kampanja dezinformiranja na društvo i demokraciju; podupirati medijsku pismenost i pratiti pravila internetskih platformi i digitalnog medijskog ekosustava u suradnji s nacionalnim tijelima. Ulaganje će uključivati i dugoročne istraživačke projekte u kojima se objavljuju rezultati kao što su digitalna i medijska pismenost, dezinformacije i pogrešne informacije u Češkoj o utjecaju umjetne inteligencije na medije.</w:t>
      </w:r>
    </w:p>
    <w:p w14:paraId="1B0194D2" w14:textId="77777777" w:rsidR="00615E2D" w:rsidRDefault="00C83E46">
      <w:pPr>
        <w:pStyle w:val="P68B1DB1-Normal3"/>
        <w:spacing w:line="240" w:lineRule="auto"/>
        <w:jc w:val="both"/>
        <w:rPr>
          <w:noProof/>
        </w:rPr>
      </w:pPr>
      <w:r>
        <w:rPr>
          <w:noProof/>
        </w:rPr>
        <w:t>Ulaganje se provodi do 31. prosinca 2025.</w:t>
      </w:r>
    </w:p>
    <w:p w14:paraId="11369E3C" w14:textId="77777777" w:rsidR="00615E2D" w:rsidRDefault="00C83E46">
      <w:pPr>
        <w:pStyle w:val="P68B1DB1-Normal7"/>
        <w:spacing w:line="240" w:lineRule="auto"/>
        <w:jc w:val="both"/>
        <w:rPr>
          <w:noProof/>
        </w:rPr>
      </w:pPr>
      <w:r>
        <w:rPr>
          <w:noProof/>
        </w:rPr>
        <w:t>Ulaganje 5: Europska infrastruktura za usluge lanca blokova (EBSI)</w:t>
      </w:r>
    </w:p>
    <w:p w14:paraId="776112D9" w14:textId="59EA5D5C" w:rsidR="00615E2D" w:rsidRDefault="00C83E46">
      <w:pPr>
        <w:pStyle w:val="P68B1DB1-Normal3"/>
        <w:spacing w:line="240" w:lineRule="auto"/>
        <w:jc w:val="both"/>
        <w:rPr>
          <w:rFonts w:ascii="Calibri" w:hAnsi="Calibri"/>
          <w:noProof/>
          <w:sz w:val="22"/>
        </w:rPr>
      </w:pPr>
      <w:r>
        <w:rPr>
          <w:noProof/>
        </w:rPr>
        <w:t xml:space="preserve">Planirano ulaganje u europsku infrastrukturu usluga lanca blokova (EBSI) obuhvaćeno je Europskim partnerstvom za lance blokova (EBP). Mjerom se podupire provedba scenarija upotrebe EBSI-ja/EBP-a usmjerenog na stvaranje paneuropske (tehnologija decentraliziranog vođenja evidencije transakcija) DLT za financiranje zaduživanjem MSP-ova. Projekt doprinosi lakšem pristupu financiranju MSP-ova, smanjenju troškova i povećanju transparentnosti. </w:t>
      </w:r>
    </w:p>
    <w:p w14:paraId="103E195D" w14:textId="266D7558" w:rsidR="00615E2D" w:rsidRDefault="00C83E46">
      <w:pPr>
        <w:pStyle w:val="P68B1DB1-Normal13"/>
        <w:spacing w:line="240" w:lineRule="auto"/>
        <w:jc w:val="both"/>
        <w:rPr>
          <w:noProof/>
        </w:rPr>
      </w:pPr>
      <w:r>
        <w:rPr>
          <w:noProof/>
        </w:rPr>
        <w:t xml:space="preserve">Ulaganje mora biti dovršeno do 30. lipnja 2024. </w:t>
      </w:r>
    </w:p>
    <w:p w14:paraId="395FC3E0" w14:textId="77777777" w:rsidR="00615E2D" w:rsidRDefault="00C83E46">
      <w:pPr>
        <w:pStyle w:val="P68B1DB1-Normal7"/>
        <w:spacing w:line="240" w:lineRule="auto"/>
        <w:jc w:val="both"/>
        <w:rPr>
          <w:noProof/>
        </w:rPr>
      </w:pPr>
      <w:r>
        <w:rPr>
          <w:noProof/>
        </w:rPr>
        <w:t>Ulaganje 6: Demonstracijski projekti prijave za 5G mreže za gradove i industrijska područja</w:t>
      </w:r>
    </w:p>
    <w:p w14:paraId="29EA3FF8" w14:textId="77777777" w:rsidR="00615E2D" w:rsidRDefault="00C83E46">
      <w:pPr>
        <w:pStyle w:val="P68B1DB1-Normal3"/>
        <w:spacing w:line="240" w:lineRule="auto"/>
        <w:jc w:val="both"/>
        <w:rPr>
          <w:rFonts w:ascii="Calibri" w:hAnsi="Calibri"/>
          <w:noProof/>
          <w:sz w:val="22"/>
        </w:rPr>
      </w:pPr>
      <w:r>
        <w:rPr>
          <w:noProof/>
        </w:rPr>
        <w:t xml:space="preserve">Tom se mjerom financira razvoj najmanje 52 projekta kojima se dokazuje primjena digitalne infrastrukture i 5G tehnologije. Projekti su obuhvaćeni dvjema različitim inicijativama, a to su: </w:t>
      </w:r>
    </w:p>
    <w:p w14:paraId="1AA4CD89" w14:textId="77777777" w:rsidR="00615E2D" w:rsidRDefault="00C83E46">
      <w:pPr>
        <w:pStyle w:val="P68B1DB1-Normal3"/>
        <w:numPr>
          <w:ilvl w:val="0"/>
          <w:numId w:val="195"/>
        </w:numPr>
        <w:spacing w:line="240" w:lineRule="auto"/>
        <w:ind w:left="360"/>
        <w:jc w:val="both"/>
        <w:rPr>
          <w:rFonts w:ascii="Calibri" w:hAnsi="Calibri"/>
          <w:noProof/>
          <w:sz w:val="22"/>
        </w:rPr>
      </w:pPr>
      <w:r>
        <w:rPr>
          <w:noProof/>
        </w:rPr>
        <w:t xml:space="preserve">Pametni gradovi, čiji je cilj pokazati upotrebu 5G mreža u gradskim mrežama, uključujući, među ostalim, inteligentne prometne sustave, uličnu rasvjetu, gospodarenje otpadom/kružnim otpadom, javni prijevoz, upravljanje parkirališnim mjestima, koncepte smanjenja zločina u gradovima; and </w:t>
      </w:r>
    </w:p>
    <w:p w14:paraId="3F6DBC56" w14:textId="77777777" w:rsidR="00615E2D" w:rsidRDefault="00C83E46">
      <w:pPr>
        <w:pStyle w:val="P68B1DB1-Normal3"/>
        <w:numPr>
          <w:ilvl w:val="0"/>
          <w:numId w:val="195"/>
        </w:numPr>
        <w:spacing w:line="240" w:lineRule="auto"/>
        <w:ind w:left="360"/>
        <w:jc w:val="both"/>
        <w:rPr>
          <w:rFonts w:ascii="Calibri" w:hAnsi="Calibri"/>
          <w:noProof/>
          <w:sz w:val="22"/>
        </w:rPr>
      </w:pPr>
      <w:r>
        <w:rPr>
          <w:noProof/>
        </w:rPr>
        <w:t xml:space="preserve">Demonstracijski projekti industrije 4.0 u kojima se predstavlja primjena digitaliziranih proizvodnih linija ili robotiziranih sustava (izgrađenih na rutinskoj upotrebi umjetne inteligencije) i izravna međusobna komunikacija korisnika mobilne opreme (komunikacija između uređaja, D2D). </w:t>
      </w:r>
    </w:p>
    <w:p w14:paraId="6FDF1897" w14:textId="77777777" w:rsidR="00615E2D" w:rsidRDefault="00C83E46">
      <w:pPr>
        <w:pStyle w:val="P68B1DB1-Normal13"/>
        <w:spacing w:line="240" w:lineRule="auto"/>
        <w:jc w:val="both"/>
        <w:rPr>
          <w:noProof/>
        </w:rPr>
      </w:pPr>
      <w:r>
        <w:rPr>
          <w:noProof/>
        </w:rPr>
        <w:t xml:space="preserve">Ulaganje mora biti dovršeno do 31. prosinca 2025. </w:t>
      </w:r>
    </w:p>
    <w:p w14:paraId="5CBF4187" w14:textId="77777777" w:rsidR="00615E2D" w:rsidRDefault="00C83E46">
      <w:pPr>
        <w:pStyle w:val="P68B1DB1-Normal7"/>
        <w:spacing w:line="240" w:lineRule="auto"/>
        <w:jc w:val="both"/>
        <w:rPr>
          <w:noProof/>
        </w:rPr>
      </w:pPr>
      <w:r>
        <w:rPr>
          <w:noProof/>
        </w:rPr>
        <w:t>Ulaganje 7: Češki programi za rast</w:t>
      </w:r>
    </w:p>
    <w:p w14:paraId="3041CECE" w14:textId="126F30BE" w:rsidR="00615E2D" w:rsidRDefault="00C83E46">
      <w:pPr>
        <w:pStyle w:val="P68B1DB1-Normal3"/>
        <w:spacing w:line="240" w:lineRule="auto"/>
        <w:jc w:val="both"/>
        <w:rPr>
          <w:rFonts w:ascii="Calibri" w:hAnsi="Calibri"/>
          <w:noProof/>
          <w:sz w:val="22"/>
        </w:rPr>
      </w:pPr>
      <w:r>
        <w:rPr>
          <w:noProof/>
        </w:rPr>
        <w:t>Češki program „Rise-Up” bavi se gospodarskim i socijalnim posljedicama pandemije i uključuje dva odvojena poziva na podnošenje projekata: prvi poziv otvoren je za projektne prijedloge usmjerene na projekte medicinskog istraživanja i razvoja povezane s bolešću COVID-19, koji su dosegli zrelost gotovog dovršetka, certifikacije ili pravne zaštite. Drugi poziv otvoren je za projekte usmjerene na digitalna tehnološka rješenja za suočavanje s gospodarskim i socijalnim posljedicama krize uzrokovane bolešću COVID-19, posebno u području zdravstva, obrazovanja, audiovizualnog sektora, digitalne transformacije tradicionalnih poduzeća i sektora.</w:t>
      </w:r>
    </w:p>
    <w:p w14:paraId="67A78ADA" w14:textId="77777777" w:rsidR="00615E2D" w:rsidRDefault="00C83E46">
      <w:pPr>
        <w:pStyle w:val="P68B1DB1-Normal13"/>
        <w:spacing w:line="240" w:lineRule="auto"/>
        <w:jc w:val="both"/>
        <w:rPr>
          <w:noProof/>
        </w:rPr>
      </w:pPr>
      <w:r>
        <w:rPr>
          <w:noProof/>
        </w:rPr>
        <w:t xml:space="preserve">Ulaganje mora biti dovršeno do 31. prosinca 2023. </w:t>
      </w:r>
    </w:p>
    <w:p w14:paraId="2186BB1E" w14:textId="77777777" w:rsidR="00615E2D" w:rsidRDefault="00C83E46">
      <w:pPr>
        <w:pStyle w:val="P68B1DB1-Normal7"/>
        <w:spacing w:line="240" w:lineRule="auto"/>
        <w:jc w:val="both"/>
        <w:rPr>
          <w:rFonts w:eastAsia="Times New Roman"/>
          <w:noProof/>
          <w:color w:val="000000"/>
        </w:rPr>
      </w:pPr>
      <w:r>
        <w:rPr>
          <w:noProof/>
        </w:rPr>
        <w:t xml:space="preserve">Ulaganje 8: </w:t>
      </w:r>
      <w:r>
        <w:rPr>
          <w:rFonts w:eastAsia="Times New Roman"/>
          <w:noProof/>
          <w:color w:val="000000"/>
        </w:rPr>
        <w:t>Poticanje poduzetništva i inovativnih poduzeća</w:t>
      </w:r>
    </w:p>
    <w:p w14:paraId="48C53348" w14:textId="77777777" w:rsidR="00615E2D" w:rsidRDefault="00C83E46">
      <w:pPr>
        <w:pStyle w:val="P68B1DB1-Normal3"/>
        <w:spacing w:line="240" w:lineRule="auto"/>
        <w:jc w:val="both"/>
        <w:rPr>
          <w:rFonts w:ascii="Calibri" w:hAnsi="Calibri"/>
          <w:noProof/>
          <w:color w:val="000000"/>
          <w:sz w:val="22"/>
        </w:rPr>
      </w:pPr>
      <w:r>
        <w:rPr>
          <w:noProof/>
        </w:rPr>
        <w:t xml:space="preserve">Cilj je te mjere potaknuti poduzetništvo i poduprijeti uspješno pokretanje novih poduzeća u cijeloj Češkoj. Mjera uključuje savjetodavne, savjetodavne i mentorske usluge koje se putem regionalnih inovacijskih i poslovnih središta pružaju novoosnovanim poslovnim inicijativama i novoosnovanim poduzećima. Mjera uključuje i kampanje za podizanje svijesti radi promicanja poduzetništva. </w:t>
      </w:r>
    </w:p>
    <w:p w14:paraId="504D32A3" w14:textId="77777777" w:rsidR="00615E2D" w:rsidRDefault="00C83E46">
      <w:pPr>
        <w:pStyle w:val="P68B1DB1-Normal13"/>
        <w:spacing w:line="240" w:lineRule="auto"/>
        <w:jc w:val="both"/>
        <w:rPr>
          <w:noProof/>
        </w:rPr>
      </w:pPr>
      <w:r>
        <w:rPr>
          <w:noProof/>
        </w:rPr>
        <w:t xml:space="preserve">Ulaganje mora biti dovršeno do 31. prosinca 2024. </w:t>
      </w:r>
    </w:p>
    <w:p w14:paraId="3C9C7D1E" w14:textId="779E520C" w:rsidR="00615E2D" w:rsidRDefault="00C83E46">
      <w:pPr>
        <w:pStyle w:val="P68B1DB1-Normal7"/>
        <w:spacing w:line="240" w:lineRule="auto"/>
        <w:jc w:val="both"/>
        <w:rPr>
          <w:noProof/>
        </w:rPr>
      </w:pPr>
      <w:r>
        <w:rPr>
          <w:noProof/>
        </w:rPr>
        <w:t xml:space="preserve">Ulaganje 9: Sredstva za razvoj prethodno učeničkih ulaganja, strateških digitalnih tehnologija i izdvojenih poduzeća na sveučilištima </w:t>
      </w:r>
    </w:p>
    <w:p w14:paraId="4FF83F5A" w14:textId="7F17C584" w:rsidR="00615E2D" w:rsidRDefault="00C83E46">
      <w:pPr>
        <w:pStyle w:val="P68B1DB1-Normal3"/>
        <w:spacing w:line="240" w:lineRule="auto"/>
        <w:jc w:val="both"/>
        <w:rPr>
          <w:noProof/>
        </w:rPr>
      </w:pPr>
      <w:r>
        <w:rPr>
          <w:noProof/>
        </w:rPr>
        <w:t xml:space="preserve">Cilj je mjere poduprijeti razvoj poduzetničkog kapitala i digitalnu transformaciju gospodarstva ulaganjem u inovativna novoosnovana poduzeća. Sastoji se od tri pilot-fonda: i. fond za zajedničko ulaganje prije sjemena; fond za strateške digitalne tehnologije; i iii. izdvojeni fond za umjetnu inteligenciju. Cilj je triju fondova ulagati, primjerice, u projekte u ranoj fazi i novoosnovana tehnološka poduzeća; u strateškim digitalnim tehnologijama kao što su umjetna inteligencija, lanci blokova, financijske tehnologije i 5G aplikacije; te u projektima istraživačkih organizacija i sveučilišta za prijenos i komercijalizaciju njihovih rezultata istraživanja u poslovnoj praksi. Potpora se pruža iz fondova, kao dio fonda fondova kojim upravlja Europski investicijski fond (EIF). </w:t>
      </w:r>
    </w:p>
    <w:p w14:paraId="01A3502B" w14:textId="77777777" w:rsidR="00615E2D" w:rsidRDefault="00C83E46">
      <w:pPr>
        <w:pStyle w:val="P68B1DB1-Normal3"/>
        <w:spacing w:line="240" w:lineRule="auto"/>
        <w:jc w:val="both"/>
        <w:rPr>
          <w:noProof/>
        </w:rPr>
      </w:pPr>
      <w:r>
        <w:rPr>
          <w:noProof/>
        </w:rPr>
        <w:t>Kako bi se osiguralo da je mjera u skladu s Tehničkim smjernicama o nenanošenju bitne štete (2021/C58/01), pravnim sporazumom između Češke i EIF-a i naknadnom politikom ulaganja financijskog instrumenta zahtijeva se primjena tehničkih smjernica Komisije o provjeri održivosti za fond InvestEU; i isključiti sljedeći popis djelatnosti i imovine iz prihvatljivosti: (i) djelatnosti i imovina povezani s fosilnim gorivima, uključujući uporabu na kraju proizvodnog lanca</w:t>
      </w:r>
      <w:r>
        <w:rPr>
          <w:noProof/>
        </w:rPr>
        <w:footnoteReference w:id="4"/>
      </w:r>
      <w:r>
        <w:rPr>
          <w:noProof/>
        </w:rPr>
        <w:t>; ii. aktivnosti i imovina u okviru sustava EU-a za trgovanje emisijama (ETS) kojima se postižu predviđene emisije stakleničkih plinova koje nisu niže od relevantnih referentnih vrijednosti</w:t>
      </w:r>
      <w:r>
        <w:rPr>
          <w:noProof/>
        </w:rPr>
        <w:footnoteReference w:id="5"/>
      </w:r>
      <w:r>
        <w:rPr>
          <w:noProof/>
        </w:rPr>
        <w:t>; iii. aktivnosti i sredstva povezana s odlagalištima otpada, spalionicama</w:t>
      </w:r>
      <w:r>
        <w:rPr>
          <w:noProof/>
        </w:rPr>
        <w:footnoteReference w:id="6"/>
      </w:r>
      <w:r>
        <w:rPr>
          <w:noProof/>
        </w:rPr>
        <w:t xml:space="preserve"> i postrojenjima za mehaničko-biološku obradu</w:t>
      </w:r>
      <w:r>
        <w:rPr>
          <w:noProof/>
        </w:rPr>
        <w:footnoteReference w:id="7"/>
      </w:r>
      <w:r>
        <w:rPr>
          <w:noProof/>
        </w:rPr>
        <w:t xml:space="preserve">; i iv. djelatnosti i sredstva u kojima dugoročno odlaganje otpada može naštetiti okolišu; i zahtijevati provjeru pravne usklađenosti projekata s relevantnim zakonodavstvom EU-a i nacionalnim zakonodavstvom u području okoliša od strane ovlaštenog subjekta ili financijskog posrednika za sve transakcije, uključujući one izuzete od provjere održivosti </w:t>
      </w:r>
    </w:p>
    <w:p w14:paraId="2716D185" w14:textId="170D13D7" w:rsidR="00615E2D" w:rsidRDefault="00C83E46">
      <w:pPr>
        <w:pStyle w:val="P68B1DB1-Normal3"/>
        <w:spacing w:line="240" w:lineRule="auto"/>
        <w:jc w:val="both"/>
        <w:rPr>
          <w:noProof/>
        </w:rPr>
      </w:pPr>
      <w:r>
        <w:rPr>
          <w:noProof/>
        </w:rPr>
        <w:t>Ulaganje mora biti dovršeno do 30. lipnja 2026.</w:t>
      </w:r>
    </w:p>
    <w:p w14:paraId="3170AF89" w14:textId="77777777" w:rsidR="00615E2D" w:rsidRDefault="00C83E46">
      <w:pPr>
        <w:pStyle w:val="P68B1DB1-Normal7"/>
        <w:spacing w:line="240" w:lineRule="auto"/>
        <w:jc w:val="both"/>
        <w:rPr>
          <w:rFonts w:eastAsia="Times New Roman"/>
          <w:noProof/>
          <w:color w:val="000000"/>
        </w:rPr>
      </w:pPr>
      <w:r>
        <w:rPr>
          <w:noProof/>
        </w:rPr>
        <w:t xml:space="preserve">Ulaganje 10: </w:t>
      </w:r>
      <w:r>
        <w:rPr>
          <w:rFonts w:eastAsia="Times New Roman"/>
          <w:noProof/>
          <w:color w:val="000000"/>
        </w:rPr>
        <w:t>Internacionalizacija novoosnovanih poduzeća</w:t>
      </w:r>
    </w:p>
    <w:p w14:paraId="4B0AFAE7" w14:textId="77777777" w:rsidR="00615E2D" w:rsidRDefault="00C83E46">
      <w:pPr>
        <w:pStyle w:val="P68B1DB1-Normal3"/>
        <w:spacing w:line="240" w:lineRule="auto"/>
        <w:jc w:val="both"/>
        <w:rPr>
          <w:rFonts w:ascii="Calibri" w:hAnsi="Calibri"/>
          <w:noProof/>
          <w:sz w:val="22"/>
        </w:rPr>
      </w:pPr>
      <w:r>
        <w:rPr>
          <w:noProof/>
        </w:rPr>
        <w:t>Cilj je ove mjere pružiti češkim MSP-ovima i novoosnovanim poduzećima usluge osposobljavanja, savjetovanja i savjetovanja stručnjaka u području upravljačkih vještina i prijenosa najboljih poslovnih praksi, kao što su: pregovore; znanje i iskustvo stranih tržišta; upotreba novih digitalnih alata i prilagodba novim digitalnim trendovima; validacija proizvoda za strana tržišta; pristup poduzetničkom kapitalu; programi Akceleratora i mentorstvo. Program provodi društvo CzechInvest u okviru inovacijske strategije Češke Republike do 2030. i programa za zemlju budućnosti.</w:t>
      </w:r>
    </w:p>
    <w:p w14:paraId="7F484B7A" w14:textId="14EE78BE" w:rsidR="00615E2D" w:rsidRDefault="00C83E46">
      <w:pPr>
        <w:spacing w:line="240" w:lineRule="auto"/>
        <w:jc w:val="both"/>
        <w:rPr>
          <w:noProof/>
          <w:color w:val="000000"/>
        </w:rPr>
      </w:pPr>
      <w:r>
        <w:rPr>
          <w:noProof/>
          <w:color w:val="000000"/>
        </w:rPr>
        <w:t xml:space="preserve">Ulaganje mora biti dovršeno </w:t>
      </w:r>
      <w:r>
        <w:rPr>
          <w:rFonts w:eastAsia="Times New Roman"/>
          <w:noProof/>
        </w:rPr>
        <w:t>do 31. prosinca 2025.</w:t>
      </w:r>
    </w:p>
    <w:p w14:paraId="1384862D" w14:textId="0A251C98" w:rsidR="00615E2D" w:rsidRDefault="00C83E46">
      <w:pPr>
        <w:pStyle w:val="P68B1DB1-Normal7"/>
        <w:pageBreakBefore/>
        <w:spacing w:line="240" w:lineRule="auto"/>
        <w:jc w:val="both"/>
        <w:rPr>
          <w:noProof/>
        </w:rPr>
      </w:pPr>
      <w:r>
        <w:rPr>
          <w:noProof/>
        </w:rPr>
        <w:t>Ulaganje 11: Digitalno regulatorno izolirano okruženje u skladu s prioritetima EU-a</w:t>
      </w:r>
    </w:p>
    <w:p w14:paraId="5E1C33C1" w14:textId="77ADE51A" w:rsidR="00615E2D" w:rsidRDefault="00C83E46">
      <w:pPr>
        <w:pStyle w:val="P68B1DB1-Normal3"/>
        <w:spacing w:line="240" w:lineRule="auto"/>
        <w:jc w:val="both"/>
        <w:rPr>
          <w:rFonts w:ascii="Calibri" w:hAnsi="Calibri"/>
          <w:noProof/>
          <w:sz w:val="22"/>
        </w:rPr>
      </w:pPr>
      <w:r>
        <w:rPr>
          <w:noProof/>
        </w:rPr>
        <w:t xml:space="preserve">Ta se mjera sastoji od pokretanja i početnog funkcioniranja krovnog digitalnog regulatornog izoliranog okruženja. Izolirano okruženje uspostavlja se u suradnji s relevantnim tijelima, regulatornim tijelima i partnerima iz odgovarajućeg sektora, a cilj mu je osigurati odgovarajuće tehničko i regulatorno okruženje za ispitivanje novih tehnologija kao što su financijska rješenja. Dostupni su MSP-ovima i novoosnovanim poduzećima te drugim poduzećima. </w:t>
      </w:r>
    </w:p>
    <w:p w14:paraId="7AFA50EC" w14:textId="730068B9" w:rsidR="00615E2D" w:rsidRDefault="00C83E46">
      <w:pPr>
        <w:spacing w:line="240" w:lineRule="auto"/>
        <w:jc w:val="both"/>
        <w:rPr>
          <w:noProof/>
          <w:color w:val="000000"/>
        </w:rPr>
      </w:pPr>
      <w:r>
        <w:rPr>
          <w:noProof/>
          <w:color w:val="000000"/>
        </w:rPr>
        <w:t xml:space="preserve">Ulaganje mora biti dovršeno </w:t>
      </w:r>
      <w:r>
        <w:rPr>
          <w:noProof/>
        </w:rPr>
        <w:t>do 30. lipnja 2025.</w:t>
      </w:r>
    </w:p>
    <w:p w14:paraId="6FFF5775" w14:textId="77777777" w:rsidR="00615E2D" w:rsidRDefault="00C83E46">
      <w:pPr>
        <w:pStyle w:val="P68B1DB1-Normal7"/>
        <w:spacing w:line="240" w:lineRule="auto"/>
        <w:jc w:val="both"/>
        <w:rPr>
          <w:noProof/>
        </w:rPr>
      </w:pPr>
      <w:r>
        <w:rPr>
          <w:noProof/>
        </w:rPr>
        <w:t>Ulaganje 12: Izgradnja kvantne komunikacijske infrastrukture</w:t>
      </w:r>
    </w:p>
    <w:p w14:paraId="31CB08BC" w14:textId="77777777" w:rsidR="00615E2D" w:rsidRDefault="00C83E46">
      <w:pPr>
        <w:pStyle w:val="P68B1DB1-Normal3"/>
        <w:spacing w:line="240" w:lineRule="auto"/>
        <w:jc w:val="both"/>
        <w:rPr>
          <w:rFonts w:ascii="Calibri" w:hAnsi="Calibri"/>
          <w:noProof/>
          <w:sz w:val="22"/>
        </w:rPr>
      </w:pPr>
      <w:r>
        <w:rPr>
          <w:noProof/>
        </w:rPr>
        <w:t>Cilj je ulaganja izgradnja optičke kvantne komunikacijske mreže u Češkoj u skladu s prioritetima programa Digitalna Europa. To uključuje stvaranje mrežne okosnice i povezanih sekundarnih grana, povezivanje kritične i sigurnosne infrastrukture, kao i testiranje i osposobljavanje stručnjaka. Mreža mora biti sposobna za brz prijenos i obradu podataka, koja povezuje najvažnije dionike utvrđene u fazi planiranja i može se povezati sa sličnom infrastrukturom u susjednim zemljama.</w:t>
      </w:r>
    </w:p>
    <w:p w14:paraId="551AD70F" w14:textId="77777777" w:rsidR="00615E2D" w:rsidRDefault="00C83E46">
      <w:pPr>
        <w:pStyle w:val="P68B1DB1-Normal3"/>
        <w:spacing w:line="240" w:lineRule="auto"/>
        <w:jc w:val="both"/>
        <w:rPr>
          <w:noProof/>
        </w:rPr>
      </w:pPr>
      <w:r>
        <w:rPr>
          <w:noProof/>
        </w:rPr>
        <w:t>Ulaganje se zaključuje završenim ispitivanjem i pilot-operativnom fazom do 31. prosinca 2025. i uključuje barem veze između Praga, Brna i Ostrave, ukupne optičke duljine 400 km i 6 kvantne distribucije ključeva (QKD); provedba dviju sekundarnih velegradskih grana koje se temelje na komercijalnoj opremi QKD-a i dvije dodatne podružnice koje se temelje na eksperimentalnom QKD-u i ispitivanju njihove primjene.</w:t>
      </w:r>
    </w:p>
    <w:p w14:paraId="01B92E39" w14:textId="77777777" w:rsidR="00615E2D" w:rsidRDefault="00C83E46">
      <w:pPr>
        <w:pStyle w:val="P68B1DB1-Normal3"/>
        <w:spacing w:line="240" w:lineRule="auto"/>
        <w:jc w:val="both"/>
        <w:rPr>
          <w:noProof/>
        </w:rPr>
      </w:pPr>
      <w:r>
        <w:rPr>
          <w:noProof/>
        </w:rPr>
        <w:t>Ulaganje mora biti dovršeno do 31. prosinca 2025.</w:t>
      </w:r>
    </w:p>
    <w:p w14:paraId="5B395FDB" w14:textId="77777777" w:rsidR="00615E2D" w:rsidRDefault="00615E2D">
      <w:pPr>
        <w:spacing w:line="240" w:lineRule="auto"/>
        <w:jc w:val="both"/>
        <w:rPr>
          <w:b/>
          <w:noProof/>
        </w:rPr>
      </w:pPr>
    </w:p>
    <w:p w14:paraId="229F4645" w14:textId="77777777" w:rsidR="00615E2D" w:rsidRDefault="00615E2D">
      <w:pPr>
        <w:spacing w:line="240" w:lineRule="auto"/>
        <w:jc w:val="both"/>
        <w:rPr>
          <w:noProof/>
          <w:u w:val="single"/>
        </w:rPr>
        <w:sectPr w:rsidR="00615E2D" w:rsidSect="001932DE">
          <w:headerReference w:type="even" r:id="rId78"/>
          <w:headerReference w:type="default" r:id="rId79"/>
          <w:footerReference w:type="even" r:id="rId80"/>
          <w:footerReference w:type="default" r:id="rId81"/>
          <w:headerReference w:type="first" r:id="rId82"/>
          <w:footerReference w:type="first" r:id="rId83"/>
          <w:pgSz w:w="11907" w:h="16839"/>
          <w:pgMar w:top="1134" w:right="1134" w:bottom="1134" w:left="1134" w:header="567" w:footer="567" w:gutter="0"/>
          <w:cols w:space="720"/>
          <w:docGrid w:linePitch="360"/>
        </w:sectPr>
      </w:pPr>
    </w:p>
    <w:p w14:paraId="5DC97D64" w14:textId="5D69AA38" w:rsidR="00615E2D" w:rsidRDefault="00C83E46">
      <w:pPr>
        <w:pStyle w:val="P68B1DB1-Normal5"/>
        <w:spacing w:line="240" w:lineRule="auto"/>
        <w:jc w:val="both"/>
        <w:rPr>
          <w:noProof/>
        </w:rPr>
      </w:pPr>
      <w:r>
        <w:rPr>
          <w:noProof/>
        </w:rPr>
        <w:t>D.2. Ključne etape, ciljne vrijednosti i vremenski raspored za praćenje i provedbu programa bespovratne financijske potpore</w:t>
      </w:r>
    </w:p>
    <w:tbl>
      <w:tblPr>
        <w:tblW w:w="15021" w:type="dxa"/>
        <w:jc w:val="center"/>
        <w:tblLayout w:type="fixed"/>
        <w:tblLook w:val="0400" w:firstRow="0" w:lastRow="0" w:firstColumn="0" w:lastColumn="0" w:noHBand="0" w:noVBand="1"/>
      </w:tblPr>
      <w:tblGrid>
        <w:gridCol w:w="632"/>
        <w:gridCol w:w="1554"/>
        <w:gridCol w:w="1093"/>
        <w:gridCol w:w="1479"/>
        <w:gridCol w:w="1719"/>
        <w:gridCol w:w="998"/>
        <w:gridCol w:w="998"/>
        <w:gridCol w:w="998"/>
        <w:gridCol w:w="985"/>
        <w:gridCol w:w="636"/>
        <w:gridCol w:w="3929"/>
      </w:tblGrid>
      <w:tr w:rsidR="00615E2D" w14:paraId="6DAEA2D4" w14:textId="77777777">
        <w:trPr>
          <w:trHeight w:val="672"/>
          <w:tblHeader/>
          <w:jc w:val="center"/>
        </w:trPr>
        <w:tc>
          <w:tcPr>
            <w:tcW w:w="6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5DC4C5C" w14:textId="77777777" w:rsidR="00615E2D" w:rsidRDefault="00C83E46">
            <w:pPr>
              <w:pStyle w:val="P68B1DB1-Normal9"/>
              <w:spacing w:before="0" w:after="0" w:line="240" w:lineRule="auto"/>
              <w:jc w:val="center"/>
              <w:rPr>
                <w:noProof/>
              </w:rPr>
            </w:pPr>
            <w:r>
              <w:rPr>
                <w:noProof/>
              </w:rPr>
              <w:t>Sljedeće NUM.</w:t>
            </w:r>
          </w:p>
        </w:tc>
        <w:tc>
          <w:tcPr>
            <w:tcW w:w="16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6A0F88"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E2B164" w14:textId="77777777" w:rsidR="00615E2D" w:rsidRDefault="00C83E46">
            <w:pPr>
              <w:pStyle w:val="P68B1DB1-Normal9"/>
              <w:spacing w:before="0" w:after="0" w:line="240" w:lineRule="auto"/>
              <w:jc w:val="center"/>
              <w:rPr>
                <w:noProof/>
              </w:rPr>
            </w:pPr>
            <w:r>
              <w:rPr>
                <w:noProof/>
              </w:rPr>
              <w:t>Ključna etapa/ciljna vrijednost</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BC3321" w14:textId="77777777" w:rsidR="00615E2D" w:rsidRDefault="00C83E46">
            <w:pPr>
              <w:pStyle w:val="P68B1DB1-Normal9"/>
              <w:spacing w:before="0" w:after="0" w:line="240" w:lineRule="auto"/>
              <w:jc w:val="center"/>
              <w:rPr>
                <w:noProof/>
              </w:rPr>
            </w:pPr>
            <w:r>
              <w:rPr>
                <w:noProof/>
              </w:rPr>
              <w:t>Ime</w:t>
            </w:r>
          </w:p>
        </w:tc>
        <w:tc>
          <w:tcPr>
            <w:tcW w:w="17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8023EC0"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3102"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DD7EE"/>
            <w:vAlign w:val="center"/>
            <w:hideMark/>
          </w:tcPr>
          <w:p w14:paraId="792E0358"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311" w:type="dxa"/>
            <w:gridSpan w:val="2"/>
            <w:tcBorders>
              <w:top w:val="single" w:sz="4" w:space="0" w:color="000000" w:themeColor="text1"/>
              <w:left w:val="nil"/>
              <w:bottom w:val="single" w:sz="4" w:space="0" w:color="000000" w:themeColor="text1"/>
              <w:right w:val="single" w:sz="4" w:space="0" w:color="auto"/>
            </w:tcBorders>
            <w:shd w:val="clear" w:color="auto" w:fill="BDD7EE"/>
            <w:vAlign w:val="center"/>
            <w:hideMark/>
          </w:tcPr>
          <w:p w14:paraId="75433EA0"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1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FC6837A"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6697D6A9" w14:textId="77777777">
        <w:trPr>
          <w:trHeight w:val="458"/>
          <w:tblHeader/>
          <w:jc w:val="center"/>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5FA9921B" w14:textId="77777777" w:rsidR="00615E2D" w:rsidRDefault="00615E2D">
            <w:pPr>
              <w:spacing w:before="0" w:after="0" w:line="240" w:lineRule="auto"/>
              <w:rPr>
                <w:rFonts w:eastAsia="Times New Roman"/>
                <w:b/>
                <w:noProof/>
                <w:sz w:val="18"/>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14:paraId="0756EFA7" w14:textId="77777777" w:rsidR="00615E2D" w:rsidRDefault="00615E2D">
            <w:pPr>
              <w:spacing w:before="0" w:after="0" w:line="240" w:lineRule="auto"/>
              <w:rPr>
                <w:rFonts w:eastAsia="Times New Roman"/>
                <w:b/>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3484FA" w14:textId="77777777" w:rsidR="00615E2D" w:rsidRDefault="00615E2D">
            <w:pPr>
              <w:spacing w:before="0" w:after="0" w:line="240" w:lineRule="auto"/>
              <w:rPr>
                <w:rFonts w:eastAsia="Times New Roman"/>
                <w:b/>
                <w:noProof/>
                <w:sz w:val="18"/>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52DE4435" w14:textId="77777777" w:rsidR="00615E2D" w:rsidRDefault="00615E2D">
            <w:pPr>
              <w:spacing w:before="0" w:after="0" w:line="240" w:lineRule="auto"/>
              <w:rPr>
                <w:rFonts w:eastAsia="Times New Roman"/>
                <w:b/>
                <w:noProof/>
                <w:sz w:val="18"/>
              </w:rPr>
            </w:pPr>
          </w:p>
        </w:tc>
        <w:tc>
          <w:tcPr>
            <w:tcW w:w="1789" w:type="dxa"/>
            <w:vMerge/>
            <w:tcBorders>
              <w:top w:val="single" w:sz="4" w:space="0" w:color="auto"/>
              <w:left w:val="single" w:sz="4" w:space="0" w:color="auto"/>
              <w:bottom w:val="single" w:sz="4" w:space="0" w:color="auto"/>
            </w:tcBorders>
            <w:vAlign w:val="center"/>
            <w:hideMark/>
          </w:tcPr>
          <w:p w14:paraId="33EB99D8" w14:textId="77777777" w:rsidR="00615E2D" w:rsidRDefault="00615E2D">
            <w:pPr>
              <w:spacing w:before="0" w:after="0" w:line="240" w:lineRule="auto"/>
              <w:rPr>
                <w:rFonts w:eastAsia="Times New Roman"/>
                <w:b/>
                <w:noProof/>
                <w:sz w:val="18"/>
              </w:rPr>
            </w:pPr>
          </w:p>
        </w:tc>
        <w:tc>
          <w:tcPr>
            <w:tcW w:w="1034" w:type="dxa"/>
            <w:tcBorders>
              <w:top w:val="nil"/>
              <w:left w:val="single" w:sz="4" w:space="0" w:color="auto"/>
              <w:bottom w:val="single" w:sz="4" w:space="0" w:color="000000" w:themeColor="text1"/>
              <w:right w:val="single" w:sz="4" w:space="0" w:color="000000" w:themeColor="text1"/>
            </w:tcBorders>
            <w:shd w:val="clear" w:color="auto" w:fill="BDD7EE"/>
            <w:vAlign w:val="center"/>
            <w:hideMark/>
          </w:tcPr>
          <w:p w14:paraId="7079BF38" w14:textId="77777777" w:rsidR="00615E2D" w:rsidRDefault="00C83E46">
            <w:pPr>
              <w:pStyle w:val="P68B1DB1-Normal9"/>
              <w:spacing w:before="0" w:after="0" w:line="240" w:lineRule="auto"/>
              <w:jc w:val="center"/>
              <w:rPr>
                <w:noProof/>
              </w:rPr>
            </w:pPr>
            <w:r>
              <w:rPr>
                <w:noProof/>
              </w:rPr>
              <w:t>Jedinica mjere</w:t>
            </w:r>
          </w:p>
        </w:tc>
        <w:tc>
          <w:tcPr>
            <w:tcW w:w="1034" w:type="dxa"/>
            <w:tcBorders>
              <w:top w:val="nil"/>
              <w:left w:val="nil"/>
              <w:bottom w:val="single" w:sz="4" w:space="0" w:color="000000" w:themeColor="text1"/>
              <w:right w:val="single" w:sz="4" w:space="0" w:color="000000" w:themeColor="text1"/>
            </w:tcBorders>
            <w:shd w:val="clear" w:color="auto" w:fill="BDD7EE"/>
            <w:vAlign w:val="center"/>
            <w:hideMark/>
          </w:tcPr>
          <w:p w14:paraId="09A9B9B0" w14:textId="77777777" w:rsidR="00615E2D" w:rsidRDefault="00C83E46">
            <w:pPr>
              <w:pStyle w:val="P68B1DB1-Normal9"/>
              <w:spacing w:before="0" w:after="0" w:line="240" w:lineRule="auto"/>
              <w:jc w:val="center"/>
              <w:rPr>
                <w:noProof/>
              </w:rPr>
            </w:pPr>
            <w:r>
              <w:rPr>
                <w:noProof/>
              </w:rPr>
              <w:t xml:space="preserve">Osnovna vrijednost </w:t>
            </w:r>
          </w:p>
        </w:tc>
        <w:tc>
          <w:tcPr>
            <w:tcW w:w="1034" w:type="dxa"/>
            <w:tcBorders>
              <w:top w:val="nil"/>
              <w:left w:val="nil"/>
              <w:bottom w:val="single" w:sz="4" w:space="0" w:color="000000" w:themeColor="text1"/>
              <w:right w:val="single" w:sz="4" w:space="0" w:color="000000" w:themeColor="text1"/>
            </w:tcBorders>
            <w:shd w:val="clear" w:color="auto" w:fill="BDD7EE"/>
            <w:vAlign w:val="center"/>
            <w:hideMark/>
          </w:tcPr>
          <w:p w14:paraId="4F454F9B" w14:textId="77777777" w:rsidR="00615E2D" w:rsidRDefault="00C83E46">
            <w:pPr>
              <w:pStyle w:val="P68B1DB1-Normal9"/>
              <w:spacing w:before="0" w:after="0" w:line="240" w:lineRule="auto"/>
              <w:jc w:val="center"/>
              <w:rPr>
                <w:noProof/>
              </w:rPr>
            </w:pPr>
            <w:r>
              <w:rPr>
                <w:noProof/>
              </w:rPr>
              <w:t xml:space="preserve">Cilj </w:t>
            </w:r>
          </w:p>
        </w:tc>
        <w:tc>
          <w:tcPr>
            <w:tcW w:w="1021" w:type="dxa"/>
            <w:tcBorders>
              <w:top w:val="nil"/>
              <w:left w:val="nil"/>
              <w:bottom w:val="single" w:sz="4" w:space="0" w:color="000000" w:themeColor="text1"/>
              <w:right w:val="single" w:sz="4" w:space="0" w:color="000000" w:themeColor="text1"/>
            </w:tcBorders>
            <w:shd w:val="clear" w:color="auto" w:fill="BDD7EE"/>
            <w:vAlign w:val="center"/>
            <w:hideMark/>
          </w:tcPr>
          <w:p w14:paraId="310BCFC4" w14:textId="77777777" w:rsidR="00615E2D" w:rsidRDefault="00C83E46">
            <w:pPr>
              <w:pStyle w:val="P68B1DB1-Normal9"/>
              <w:spacing w:before="0" w:after="0" w:line="240" w:lineRule="auto"/>
              <w:jc w:val="center"/>
              <w:rPr>
                <w:noProof/>
              </w:rPr>
            </w:pPr>
            <w:r>
              <w:rPr>
                <w:noProof/>
              </w:rPr>
              <w:t>Tromjesečje</w:t>
            </w:r>
          </w:p>
        </w:tc>
        <w:tc>
          <w:tcPr>
            <w:tcW w:w="655" w:type="dxa"/>
            <w:tcBorders>
              <w:top w:val="nil"/>
              <w:left w:val="nil"/>
              <w:bottom w:val="single" w:sz="4" w:space="0" w:color="000000" w:themeColor="text1"/>
              <w:right w:val="single" w:sz="4" w:space="0" w:color="auto"/>
            </w:tcBorders>
            <w:shd w:val="clear" w:color="auto" w:fill="BDD7EE"/>
            <w:vAlign w:val="center"/>
            <w:hideMark/>
          </w:tcPr>
          <w:p w14:paraId="2D2E5F9B" w14:textId="77777777" w:rsidR="00615E2D" w:rsidRDefault="00C83E46">
            <w:pPr>
              <w:pStyle w:val="P68B1DB1-Normal9"/>
              <w:spacing w:before="0" w:after="0" w:line="240" w:lineRule="auto"/>
              <w:jc w:val="center"/>
              <w:rPr>
                <w:noProof/>
              </w:rPr>
            </w:pPr>
            <w:r>
              <w:rPr>
                <w:noProof/>
              </w:rPr>
              <w:t>Godina</w:t>
            </w:r>
          </w:p>
        </w:tc>
        <w:tc>
          <w:tcPr>
            <w:tcW w:w="4104" w:type="dxa"/>
            <w:vMerge/>
            <w:tcBorders>
              <w:bottom w:val="single" w:sz="4" w:space="0" w:color="auto"/>
              <w:right w:val="single" w:sz="4" w:space="0" w:color="auto"/>
            </w:tcBorders>
            <w:vAlign w:val="center"/>
            <w:hideMark/>
          </w:tcPr>
          <w:p w14:paraId="67168922" w14:textId="77777777" w:rsidR="00615E2D" w:rsidRDefault="00615E2D">
            <w:pPr>
              <w:spacing w:before="0" w:after="0" w:line="240" w:lineRule="auto"/>
              <w:rPr>
                <w:rFonts w:eastAsia="Times New Roman"/>
                <w:b/>
                <w:noProof/>
                <w:sz w:val="18"/>
              </w:rPr>
            </w:pPr>
          </w:p>
        </w:tc>
      </w:tr>
      <w:tr w:rsidR="00615E2D" w14:paraId="72D7ED4D" w14:textId="77777777">
        <w:trPr>
          <w:trHeight w:val="309"/>
          <w:jc w:val="center"/>
        </w:trPr>
        <w:tc>
          <w:tcPr>
            <w:tcW w:w="65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6A12EE27" w14:textId="77777777" w:rsidR="00615E2D" w:rsidRDefault="00C83E46">
            <w:pPr>
              <w:pStyle w:val="P68B1DB1-Normal15"/>
              <w:spacing w:before="0" w:after="0" w:line="240" w:lineRule="auto"/>
              <w:jc w:val="center"/>
              <w:rPr>
                <w:noProof/>
              </w:rPr>
            </w:pPr>
            <w:r>
              <w:rPr>
                <w:noProof/>
              </w:rPr>
              <w:t>47</w:t>
            </w:r>
          </w:p>
        </w:tc>
        <w:tc>
          <w:tcPr>
            <w:tcW w:w="1617" w:type="dxa"/>
            <w:tcBorders>
              <w:top w:val="single" w:sz="4" w:space="0" w:color="auto"/>
              <w:left w:val="nil"/>
              <w:bottom w:val="single" w:sz="4" w:space="0" w:color="000000" w:themeColor="text1"/>
              <w:right w:val="single" w:sz="4" w:space="0" w:color="000000" w:themeColor="text1"/>
            </w:tcBorders>
            <w:shd w:val="clear" w:color="auto" w:fill="C6EFCE"/>
            <w:vAlign w:val="center"/>
            <w:hideMark/>
          </w:tcPr>
          <w:p w14:paraId="7347496C" w14:textId="77777777" w:rsidR="00615E2D" w:rsidRDefault="00C83E46">
            <w:pPr>
              <w:pStyle w:val="P68B1DB1-Normal15"/>
              <w:spacing w:before="0" w:after="0" w:line="240" w:lineRule="auto"/>
              <w:rPr>
                <w:noProof/>
              </w:rPr>
            </w:pPr>
            <w:r>
              <w:rPr>
                <w:noProof/>
              </w:rPr>
              <w:t>Reforma 1.: Institucionalna reforma sustava koordinacije i potpore za digitalnu transformaciju gospodarstva (uključujući RIS 3)</w:t>
            </w:r>
          </w:p>
        </w:tc>
        <w:tc>
          <w:tcPr>
            <w:tcW w:w="1134" w:type="dxa"/>
            <w:tcBorders>
              <w:top w:val="single" w:sz="4" w:space="0" w:color="auto"/>
              <w:left w:val="nil"/>
              <w:bottom w:val="single" w:sz="4" w:space="0" w:color="000000" w:themeColor="text1"/>
              <w:right w:val="single" w:sz="4" w:space="0" w:color="000000" w:themeColor="text1"/>
            </w:tcBorders>
            <w:shd w:val="clear" w:color="auto" w:fill="C6EFCE"/>
            <w:vAlign w:val="center"/>
            <w:hideMark/>
          </w:tcPr>
          <w:p w14:paraId="10D8ACB9" w14:textId="77777777" w:rsidR="00615E2D" w:rsidRDefault="00C83E46">
            <w:pPr>
              <w:pStyle w:val="P68B1DB1-Normal15"/>
              <w:spacing w:before="0" w:after="0" w:line="240" w:lineRule="auto"/>
              <w:rPr>
                <w:noProof/>
              </w:rPr>
            </w:pPr>
            <w:r>
              <w:rPr>
                <w:noProof/>
              </w:rPr>
              <w:t>Prekretnica</w:t>
            </w:r>
          </w:p>
        </w:tc>
        <w:tc>
          <w:tcPr>
            <w:tcW w:w="1538" w:type="dxa"/>
            <w:tcBorders>
              <w:top w:val="single" w:sz="4" w:space="0" w:color="auto"/>
              <w:left w:val="nil"/>
              <w:bottom w:val="single" w:sz="4" w:space="0" w:color="000000" w:themeColor="text1"/>
              <w:right w:val="single" w:sz="4" w:space="0" w:color="000000" w:themeColor="text1"/>
            </w:tcBorders>
            <w:shd w:val="clear" w:color="auto" w:fill="C6EFCE"/>
            <w:vAlign w:val="center"/>
            <w:hideMark/>
          </w:tcPr>
          <w:p w14:paraId="6366EBAE" w14:textId="77777777" w:rsidR="00615E2D" w:rsidRDefault="00C83E46">
            <w:pPr>
              <w:pStyle w:val="P68B1DB1-Normal15"/>
              <w:spacing w:before="0" w:after="0" w:line="240" w:lineRule="auto"/>
              <w:rPr>
                <w:noProof/>
              </w:rPr>
            </w:pPr>
            <w:r>
              <w:rPr>
                <w:noProof/>
              </w:rPr>
              <w:t>Provedba organizacijskih promjena radi reforme strukture javnih tijela koja nadziru digitalnu transformaciju gospodarstva</w:t>
            </w:r>
          </w:p>
        </w:tc>
        <w:tc>
          <w:tcPr>
            <w:tcW w:w="1789" w:type="dxa"/>
            <w:tcBorders>
              <w:top w:val="single" w:sz="4" w:space="0" w:color="auto"/>
              <w:left w:val="nil"/>
              <w:bottom w:val="single" w:sz="4" w:space="0" w:color="000000" w:themeColor="text1"/>
              <w:right w:val="single" w:sz="4" w:space="0" w:color="000000" w:themeColor="text1"/>
            </w:tcBorders>
            <w:shd w:val="clear" w:color="auto" w:fill="C6EFCE"/>
            <w:vAlign w:val="center"/>
            <w:hideMark/>
          </w:tcPr>
          <w:p w14:paraId="7E6C4E12" w14:textId="77777777" w:rsidR="00615E2D" w:rsidRDefault="00C83E46">
            <w:pPr>
              <w:pStyle w:val="P68B1DB1-Normal15"/>
              <w:spacing w:before="0" w:after="0" w:line="240" w:lineRule="auto"/>
              <w:rPr>
                <w:noProof/>
              </w:rPr>
            </w:pPr>
            <w:r>
              <w:rPr>
                <w:noProof/>
              </w:rPr>
              <w:t xml:space="preserve">Uspostava Odbora (i povezane radne skupine) odgovorne za koordinaciju nacionalnih dionika radi pripreme projekata za digitalnu transformaciju češkog gospodarstva </w:t>
            </w: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1BFBFCE8"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2D220735" w14:textId="77777777"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0D7B3534" w14:textId="77777777" w:rsidR="00615E2D" w:rsidRDefault="00615E2D">
            <w:pPr>
              <w:spacing w:before="0" w:after="0" w:line="240" w:lineRule="auto"/>
              <w:jc w:val="center"/>
              <w:rPr>
                <w:rFonts w:eastAsia="Times New Roman"/>
                <w:noProof/>
                <w:color w:val="004300"/>
                <w:sz w:val="18"/>
              </w:rPr>
            </w:pP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4AB4C12A" w14:textId="77777777" w:rsidR="00615E2D" w:rsidRDefault="00C83E46">
            <w:pPr>
              <w:pStyle w:val="P68B1DB1-Normal15"/>
              <w:spacing w:before="0" w:after="0" w:line="240" w:lineRule="auto"/>
              <w:jc w:val="center"/>
              <w:rPr>
                <w:noProof/>
              </w:rPr>
            </w:pPr>
            <w:r>
              <w:rPr>
                <w:noProof/>
              </w:rPr>
              <w:t>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136347B8" w14:textId="77777777" w:rsidR="00615E2D" w:rsidRDefault="00C83E46">
            <w:pPr>
              <w:pStyle w:val="P68B1DB1-Normal15"/>
              <w:spacing w:before="0" w:after="0" w:line="240" w:lineRule="auto"/>
              <w:jc w:val="center"/>
              <w:rPr>
                <w:noProof/>
              </w:rPr>
            </w:pPr>
            <w:r>
              <w:rPr>
                <w:noProof/>
              </w:rPr>
              <w:t>2025</w:t>
            </w:r>
          </w:p>
        </w:tc>
        <w:tc>
          <w:tcPr>
            <w:tcW w:w="4104" w:type="dxa"/>
            <w:tcBorders>
              <w:top w:val="single" w:sz="4" w:space="0" w:color="auto"/>
              <w:left w:val="nil"/>
              <w:bottom w:val="single" w:sz="4" w:space="0" w:color="000000" w:themeColor="text1"/>
              <w:right w:val="single" w:sz="4" w:space="0" w:color="000000" w:themeColor="text1"/>
            </w:tcBorders>
            <w:shd w:val="clear" w:color="auto" w:fill="C6EFCE"/>
            <w:vAlign w:val="center"/>
            <w:hideMark/>
          </w:tcPr>
          <w:p w14:paraId="62C3210D" w14:textId="39B401D5" w:rsidR="00615E2D" w:rsidRDefault="00C83E46">
            <w:pPr>
              <w:pStyle w:val="P68B1DB1-Normal15"/>
              <w:spacing w:before="0" w:after="0" w:line="240" w:lineRule="auto"/>
              <w:rPr>
                <w:noProof/>
              </w:rPr>
            </w:pPr>
            <w:r>
              <w:rPr>
                <w:noProof/>
              </w:rPr>
              <w:t xml:space="preserve">Odbor za digitalnu transformaciju, uključujući zastupljenost javnih i privatnih dionika, koordinira provedbu reformi i ulaganja u okviru sastavnica 1.4. i 1.5. To uključuje i posebnu savjetodavnu radnu skupinu/radnu skupinu stručnjaka koja nadzire provedbu standarda EU-a za novoosnovana poduzeća u okviru ove komponente te daje stručno mišljenje o odabiru metoda provedbe. Smatra se da je ta ključna etapa ostvarena nakon što Odbor i radna skupina započnu s radom. </w:t>
            </w:r>
          </w:p>
        </w:tc>
      </w:tr>
      <w:tr w:rsidR="00615E2D" w14:paraId="6598B3FE"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60B78D4B" w14:textId="77777777" w:rsidR="00615E2D" w:rsidRDefault="00C83E46">
            <w:pPr>
              <w:pStyle w:val="P68B1DB1-Normal15"/>
              <w:spacing w:before="0" w:after="0" w:line="240" w:lineRule="auto"/>
              <w:jc w:val="center"/>
              <w:rPr>
                <w:noProof/>
              </w:rPr>
            </w:pPr>
            <w:r>
              <w:rPr>
                <w:noProof/>
              </w:rPr>
              <w:t>48</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7CB46CDB" w14:textId="77777777" w:rsidR="00615E2D" w:rsidRDefault="00C83E46">
            <w:pPr>
              <w:pStyle w:val="P68B1DB1-Normal15"/>
              <w:spacing w:before="0" w:after="0" w:line="240" w:lineRule="auto"/>
              <w:rPr>
                <w:noProof/>
              </w:rPr>
            </w:pPr>
            <w:r>
              <w:rPr>
                <w:noProof/>
              </w:rPr>
              <w:t>Reforma br. 2: Zajednička skupina za potporu strateškim tehnologijama i certificiranje s Odborom za strateške tehnologije</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30C0FC01" w14:textId="77777777" w:rsidR="00615E2D" w:rsidRDefault="00C83E46">
            <w:pPr>
              <w:pStyle w:val="P68B1DB1-Normal15"/>
              <w:spacing w:before="0" w:after="0" w:line="240" w:lineRule="auto"/>
              <w:rPr>
                <w:noProof/>
              </w:rPr>
            </w:pPr>
            <w:r>
              <w:rPr>
                <w:noProof/>
              </w:rPr>
              <w:t>Prekretnica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7690824F" w14:textId="49B719E7" w:rsidR="00615E2D" w:rsidRDefault="00C83E46">
            <w:pPr>
              <w:pStyle w:val="P68B1DB1-Normal15"/>
              <w:spacing w:before="0" w:after="0" w:line="240" w:lineRule="auto"/>
              <w:rPr>
                <w:noProof/>
              </w:rPr>
            </w:pPr>
            <w:r>
              <w:rPr>
                <w:noProof/>
              </w:rPr>
              <w:t xml:space="preserve">Uspostava i imenovanje mreže za certificiranje </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20E409A3" w14:textId="45C00811" w:rsidR="00615E2D" w:rsidRDefault="00C83E46">
            <w:pPr>
              <w:pStyle w:val="P68B1DB1-Normal15"/>
              <w:spacing w:before="0" w:after="0" w:line="240" w:lineRule="auto"/>
              <w:rPr>
                <w:noProof/>
              </w:rPr>
            </w:pPr>
            <w:r>
              <w:rPr>
                <w:noProof/>
              </w:rPr>
              <w:t>Stvaranje mreže certifikacijskih tijela, tehničkih stručnjaka i uključenih poduzeća za strateške sektore.</w:t>
            </w: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67526C48"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6010FD97" w14:textId="77777777"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06DD783B" w14:textId="77777777" w:rsidR="00615E2D" w:rsidRDefault="00615E2D">
            <w:pPr>
              <w:spacing w:before="0" w:after="0" w:line="240" w:lineRule="auto"/>
              <w:jc w:val="center"/>
              <w:rPr>
                <w:rFonts w:eastAsia="Times New Roman"/>
                <w:noProof/>
                <w:color w:val="004300"/>
                <w:sz w:val="18"/>
              </w:rPr>
            </w:pP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795A11E6" w14:textId="10697E60" w:rsidR="00615E2D" w:rsidRDefault="00C83E46">
            <w:pPr>
              <w:pStyle w:val="P68B1DB1-Normal15"/>
              <w:spacing w:before="0" w:after="0" w:line="240" w:lineRule="auto"/>
              <w:jc w:val="center"/>
              <w:rPr>
                <w:noProof/>
              </w:rPr>
            </w:pPr>
            <w:r>
              <w:rPr>
                <w:noProof/>
              </w:rPr>
              <w:t>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0F6D93AD" w14:textId="3350EA72" w:rsidR="00615E2D" w:rsidRDefault="00C83E46">
            <w:pPr>
              <w:pStyle w:val="P68B1DB1-Normal15"/>
              <w:spacing w:before="0" w:after="0" w:line="240" w:lineRule="auto"/>
              <w:jc w:val="center"/>
              <w:rPr>
                <w:noProof/>
              </w:rPr>
            </w:pPr>
            <w:r>
              <w:rPr>
                <w:noProof/>
              </w:rPr>
              <w:t>2023</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79C715B5" w14:textId="3F8DE030" w:rsidR="00615E2D" w:rsidRDefault="00C83E46">
            <w:pPr>
              <w:pStyle w:val="P68B1DB1-Normal15"/>
              <w:spacing w:before="0" w:after="0" w:line="240" w:lineRule="auto"/>
              <w:rPr>
                <w:noProof/>
              </w:rPr>
            </w:pPr>
            <w:r>
              <w:rPr>
                <w:noProof/>
              </w:rPr>
              <w:t>Stvaranje jedinstvene kontaktne točke za razmjenu najboljih praksi, pronalaženje stvarnih informacija o certificiranju, kao što su kvaliteta i dostupnost akreditiranih laboratorija ili prijavljenih tijela, ponude za tehničku potporu.</w:t>
            </w:r>
          </w:p>
        </w:tc>
      </w:tr>
      <w:tr w:rsidR="00615E2D" w14:paraId="4F22C6AF"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2E3DFF33" w14:textId="77777777" w:rsidR="00615E2D" w:rsidRDefault="00C83E46">
            <w:pPr>
              <w:pStyle w:val="P68B1DB1-Normal15"/>
              <w:spacing w:before="0" w:after="0" w:line="240" w:lineRule="auto"/>
              <w:jc w:val="center"/>
              <w:rPr>
                <w:noProof/>
              </w:rPr>
            </w:pPr>
            <w:r>
              <w:rPr>
                <w:noProof/>
              </w:rPr>
              <w:t>49</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1B741EE5" w14:textId="77777777" w:rsidR="00615E2D" w:rsidRDefault="00C83E46">
            <w:pPr>
              <w:pStyle w:val="P68B1DB1-Normal15"/>
              <w:spacing w:before="0" w:after="0" w:line="240" w:lineRule="auto"/>
              <w:rPr>
                <w:noProof/>
              </w:rPr>
            </w:pPr>
            <w:r>
              <w:rPr>
                <w:noProof/>
              </w:rPr>
              <w:t>Reforma br. 2: Zajednička skupina za potporu strateškim tehnologijama i certificiranje s Odborom za strateške tehnologije</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50D20916" w14:textId="77777777" w:rsidR="00615E2D" w:rsidRDefault="00C83E46">
            <w:pPr>
              <w:pStyle w:val="P68B1DB1-Normal15"/>
              <w:spacing w:before="0" w:after="0" w:line="240" w:lineRule="auto"/>
              <w:rPr>
                <w:noProof/>
              </w:rPr>
            </w:pPr>
            <w:r>
              <w:rPr>
                <w:noProof/>
              </w:rPr>
              <w:t> Ciljna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24B37F4A" w14:textId="77777777" w:rsidR="00615E2D" w:rsidRDefault="00C83E46">
            <w:pPr>
              <w:pStyle w:val="P68B1DB1-Normal15"/>
              <w:spacing w:before="0" w:after="0" w:line="240" w:lineRule="auto"/>
              <w:rPr>
                <w:noProof/>
              </w:rPr>
            </w:pPr>
            <w:r>
              <w:rPr>
                <w:noProof/>
              </w:rPr>
              <w:t xml:space="preserve">Broj poduzeća kojima je izdana certifikacija </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1526FBBF"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3949B44" w14:textId="77777777" w:rsidR="00615E2D" w:rsidRDefault="00C83E46">
            <w:pPr>
              <w:pStyle w:val="P68B1DB1-Normal15"/>
              <w:spacing w:before="0" w:after="0" w:line="240" w:lineRule="auto"/>
              <w:rPr>
                <w:noProof/>
              </w:rPr>
            </w:pPr>
            <w:r>
              <w:rPr>
                <w:noProof/>
              </w:rPr>
              <w:t> Broj</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4715411E" w14:textId="77777777" w:rsidR="00615E2D" w:rsidRDefault="00C83E46">
            <w:pPr>
              <w:pStyle w:val="P68B1DB1-Normal15"/>
              <w:spacing w:before="0" w:after="0" w:line="240" w:lineRule="auto"/>
              <w:jc w:val="center"/>
              <w:rPr>
                <w:noProof/>
              </w:rPr>
            </w:pPr>
            <w:r>
              <w:rPr>
                <w:noProof/>
              </w:rPr>
              <w:t>0</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56FE555" w14:textId="77777777" w:rsidR="00615E2D" w:rsidRDefault="00C83E46">
            <w:pPr>
              <w:pStyle w:val="P68B1DB1-Normal15"/>
              <w:spacing w:before="0" w:after="0" w:line="240" w:lineRule="auto"/>
              <w:jc w:val="center"/>
              <w:rPr>
                <w:noProof/>
              </w:rPr>
            </w:pPr>
            <w:r>
              <w:rPr>
                <w:noProof/>
              </w:rPr>
              <w:t>50</w:t>
            </w: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00BDA1A9" w14:textId="40DE6475"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05EF7138" w14:textId="03A03D74" w:rsidR="00615E2D" w:rsidRDefault="00C83E46">
            <w:pPr>
              <w:pStyle w:val="P68B1DB1-Normal15"/>
              <w:spacing w:before="0" w:after="0" w:line="240" w:lineRule="auto"/>
              <w:jc w:val="center"/>
              <w:rPr>
                <w:noProof/>
              </w:rPr>
            </w:pPr>
            <w:r>
              <w:rPr>
                <w:noProof/>
              </w:rPr>
              <w:t>2024</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6E4E6687" w14:textId="339B8E92" w:rsidR="00615E2D" w:rsidRDefault="00C83E46">
            <w:pPr>
              <w:pStyle w:val="P68B1DB1-Normal15"/>
              <w:spacing w:before="0" w:after="0" w:line="240" w:lineRule="auto"/>
              <w:rPr>
                <w:noProof/>
              </w:rPr>
            </w:pPr>
            <w:r>
              <w:rPr>
                <w:noProof/>
              </w:rPr>
              <w:t xml:space="preserve">50 poduzeća dobiva potporu za dobivanje certifikata preko akreditiranih certifikacijskih tijela. </w:t>
            </w:r>
          </w:p>
          <w:p w14:paraId="0501B364" w14:textId="77777777" w:rsidR="00615E2D" w:rsidRDefault="00615E2D">
            <w:pPr>
              <w:spacing w:before="0" w:after="0" w:line="240" w:lineRule="auto"/>
              <w:rPr>
                <w:rFonts w:eastAsia="Times New Roman"/>
                <w:noProof/>
                <w:color w:val="004300"/>
                <w:sz w:val="18"/>
              </w:rPr>
            </w:pPr>
          </w:p>
          <w:p w14:paraId="4DD713E3" w14:textId="4837E433" w:rsidR="00615E2D" w:rsidRDefault="00C83E46">
            <w:pPr>
              <w:pStyle w:val="P68B1DB1-Normal15"/>
              <w:spacing w:before="0" w:after="0" w:line="240" w:lineRule="auto"/>
              <w:rPr>
                <w:noProof/>
              </w:rPr>
            </w:pPr>
            <w:r>
              <w:rPr>
                <w:noProof/>
              </w:rPr>
              <w:t xml:space="preserve">Organiziraju se i stavljaju na raspolaganje obrazovni tečajevi o certificiranju. </w:t>
            </w:r>
          </w:p>
        </w:tc>
      </w:tr>
      <w:tr w:rsidR="00615E2D" w14:paraId="2F91057D"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726034AF" w14:textId="77777777" w:rsidR="00615E2D" w:rsidRDefault="00C83E46">
            <w:pPr>
              <w:pStyle w:val="P68B1DB1-Normal15"/>
              <w:spacing w:before="0" w:after="0" w:line="240" w:lineRule="auto"/>
              <w:jc w:val="center"/>
              <w:rPr>
                <w:noProof/>
              </w:rPr>
            </w:pPr>
            <w:r>
              <w:rPr>
                <w:noProof/>
              </w:rPr>
              <w:t>51</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6FD209EB" w14:textId="77777777" w:rsidR="00615E2D" w:rsidRDefault="00C83E46">
            <w:pPr>
              <w:pStyle w:val="P68B1DB1-Normal15"/>
              <w:spacing w:before="0" w:after="0" w:line="240" w:lineRule="auto"/>
              <w:rPr>
                <w:noProof/>
              </w:rPr>
            </w:pPr>
            <w:r>
              <w:rPr>
                <w:noProof/>
              </w:rPr>
              <w:t>Ulaganje 2: Europski opservatorij za digitalne medije (EDMO)</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67D36F62" w14:textId="77777777" w:rsidR="00615E2D" w:rsidRDefault="00C83E46">
            <w:pPr>
              <w:pStyle w:val="P68B1DB1-Normal15"/>
              <w:spacing w:before="0" w:after="0" w:line="240" w:lineRule="auto"/>
              <w:rPr>
                <w:noProof/>
              </w:rPr>
            </w:pPr>
            <w:r>
              <w:rPr>
                <w:noProof/>
              </w:rPr>
              <w:t>Prekretnica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3564FBE9" w14:textId="77777777" w:rsidR="00615E2D" w:rsidRDefault="00C83E46">
            <w:pPr>
              <w:pStyle w:val="P68B1DB1-Normal15"/>
              <w:spacing w:before="0" w:after="0" w:line="240" w:lineRule="auto"/>
              <w:rPr>
                <w:noProof/>
              </w:rPr>
            </w:pPr>
            <w:r>
              <w:rPr>
                <w:noProof/>
              </w:rPr>
              <w:t>Pokretanje Europskog opservatorija za digitalne medije za srednju i istočnu Europu u Češkoj (CEDMO)</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7E20F667" w14:textId="77777777" w:rsidR="00615E2D" w:rsidRDefault="00C83E46">
            <w:pPr>
              <w:pStyle w:val="P68B1DB1-Normal15"/>
              <w:spacing w:before="0" w:after="0" w:line="240" w:lineRule="auto"/>
              <w:rPr>
                <w:noProof/>
              </w:rPr>
            </w:pPr>
            <w:r>
              <w:rPr>
                <w:noProof/>
              </w:rPr>
              <w:t>Pokretanje centra CEDMO-a koji je izgradio akademski konzorcij sa Sveučilištem Charlesa u Pragu kao vodećim partnerom</w:t>
            </w: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5199C8AD"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13B4670C" w14:textId="77777777"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0AE1F4CE" w14:textId="77777777" w:rsidR="00615E2D" w:rsidRDefault="00615E2D">
            <w:pPr>
              <w:spacing w:before="0" w:after="0" w:line="240" w:lineRule="auto"/>
              <w:jc w:val="center"/>
              <w:rPr>
                <w:rFonts w:eastAsia="Times New Roman"/>
                <w:noProof/>
                <w:color w:val="004300"/>
                <w:sz w:val="18"/>
              </w:rPr>
            </w:pP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19793437" w14:textId="77777777"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59D4F05B" w14:textId="77777777" w:rsidR="00615E2D" w:rsidRDefault="00C83E46">
            <w:pPr>
              <w:pStyle w:val="P68B1DB1-Normal15"/>
              <w:spacing w:before="0" w:after="0" w:line="240" w:lineRule="auto"/>
              <w:jc w:val="center"/>
              <w:rPr>
                <w:noProof/>
              </w:rPr>
            </w:pPr>
            <w:r>
              <w:rPr>
                <w:noProof/>
              </w:rPr>
              <w:t>2021</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5915ACBF" w14:textId="77777777" w:rsidR="00615E2D" w:rsidRDefault="00C83E46">
            <w:pPr>
              <w:pStyle w:val="P68B1DB1-Normal15"/>
              <w:spacing w:before="0" w:after="0" w:line="240" w:lineRule="auto"/>
              <w:rPr>
                <w:noProof/>
              </w:rPr>
            </w:pPr>
            <w:r>
              <w:rPr>
                <w:noProof/>
              </w:rPr>
              <w:t>Centar za digitalne medije kao dio mreže EDMO-a usmjeren je na analizu i suzbijanje širenja lažnih informacija kao što su pogrešne informacije povezane s bolešću COVID-19 ili 5G mrežama.</w:t>
            </w:r>
          </w:p>
        </w:tc>
      </w:tr>
      <w:tr w:rsidR="00615E2D" w14:paraId="5EB01D1D"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tcPr>
          <w:p w14:paraId="34ACAE52" w14:textId="1AAD5AB0" w:rsidR="00615E2D" w:rsidRDefault="00C83E46">
            <w:pPr>
              <w:pStyle w:val="P68B1DB1-Normal15"/>
              <w:spacing w:before="0" w:after="0" w:line="240" w:lineRule="auto"/>
              <w:jc w:val="center"/>
              <w:rPr>
                <w:noProof/>
              </w:rPr>
            </w:pPr>
            <w:r>
              <w:rPr>
                <w:noProof/>
              </w:rPr>
              <w:t>250</w:t>
            </w:r>
          </w:p>
        </w:tc>
        <w:tc>
          <w:tcPr>
            <w:tcW w:w="1617" w:type="dxa"/>
            <w:tcBorders>
              <w:top w:val="nil"/>
              <w:left w:val="nil"/>
              <w:bottom w:val="single" w:sz="4" w:space="0" w:color="000000" w:themeColor="text1"/>
              <w:right w:val="single" w:sz="4" w:space="0" w:color="000000" w:themeColor="text1"/>
            </w:tcBorders>
            <w:shd w:val="clear" w:color="auto" w:fill="C6EFCE"/>
            <w:vAlign w:val="center"/>
          </w:tcPr>
          <w:p w14:paraId="5FA85069" w14:textId="77777777" w:rsidR="00615E2D" w:rsidRDefault="00C83E46">
            <w:pPr>
              <w:pStyle w:val="P68B1DB1-Normal15"/>
              <w:spacing w:before="0" w:after="0" w:line="240" w:lineRule="auto"/>
              <w:rPr>
                <w:noProof/>
              </w:rPr>
            </w:pPr>
            <w:r>
              <w:rPr>
                <w:noProof/>
              </w:rPr>
              <w:t>Ulaganje 2: Europski opservatorij za digitalne medije (EDMO)</w:t>
            </w:r>
          </w:p>
        </w:tc>
        <w:tc>
          <w:tcPr>
            <w:tcW w:w="1134" w:type="dxa"/>
            <w:tcBorders>
              <w:top w:val="nil"/>
              <w:left w:val="nil"/>
              <w:bottom w:val="single" w:sz="4" w:space="0" w:color="000000" w:themeColor="text1"/>
              <w:right w:val="single" w:sz="4" w:space="0" w:color="000000" w:themeColor="text1"/>
            </w:tcBorders>
            <w:shd w:val="clear" w:color="auto" w:fill="C6EFCE"/>
            <w:vAlign w:val="center"/>
          </w:tcPr>
          <w:p w14:paraId="5721B711" w14:textId="77777777" w:rsidR="00615E2D" w:rsidRDefault="00C83E46">
            <w:pPr>
              <w:pStyle w:val="P68B1DB1-Normal15"/>
              <w:spacing w:before="0" w:after="0" w:line="240" w:lineRule="auto"/>
              <w:rPr>
                <w:noProof/>
              </w:rPr>
            </w:pPr>
            <w:r>
              <w:rPr>
                <w:noProof/>
              </w:rPr>
              <w:t>Prekretnica</w:t>
            </w:r>
          </w:p>
        </w:tc>
        <w:tc>
          <w:tcPr>
            <w:tcW w:w="1538" w:type="dxa"/>
            <w:tcBorders>
              <w:top w:val="nil"/>
              <w:left w:val="nil"/>
              <w:bottom w:val="single" w:sz="4" w:space="0" w:color="000000" w:themeColor="text1"/>
              <w:right w:val="single" w:sz="4" w:space="0" w:color="000000" w:themeColor="text1"/>
            </w:tcBorders>
            <w:shd w:val="clear" w:color="auto" w:fill="C6EFCE"/>
            <w:vAlign w:val="center"/>
          </w:tcPr>
          <w:p w14:paraId="4378E8BC" w14:textId="7D28E92C" w:rsidR="00615E2D" w:rsidRDefault="00C83E46">
            <w:pPr>
              <w:pStyle w:val="P68B1DB1-Normal15"/>
              <w:spacing w:before="0" w:after="0" w:line="240" w:lineRule="auto"/>
              <w:rPr>
                <w:noProof/>
              </w:rPr>
            </w:pPr>
            <w:r>
              <w:rPr>
                <w:noProof/>
              </w:rPr>
              <w:t xml:space="preserve">Pokretanje proširenog centra CEDMO-a </w:t>
            </w:r>
          </w:p>
        </w:tc>
        <w:tc>
          <w:tcPr>
            <w:tcW w:w="1789" w:type="dxa"/>
            <w:tcBorders>
              <w:top w:val="nil"/>
              <w:left w:val="nil"/>
              <w:bottom w:val="single" w:sz="4" w:space="0" w:color="000000" w:themeColor="text1"/>
              <w:right w:val="single" w:sz="4" w:space="0" w:color="000000" w:themeColor="text1"/>
            </w:tcBorders>
            <w:shd w:val="clear" w:color="auto" w:fill="C6EFCE"/>
            <w:vAlign w:val="center"/>
          </w:tcPr>
          <w:p w14:paraId="10853ACF" w14:textId="02622704" w:rsidR="00615E2D" w:rsidRDefault="00C83E46">
            <w:pPr>
              <w:pStyle w:val="P68B1DB1-Normal15"/>
              <w:spacing w:before="0" w:after="0" w:line="240" w:lineRule="auto"/>
              <w:rPr>
                <w:noProof/>
              </w:rPr>
            </w:pPr>
            <w:r>
              <w:rPr>
                <w:noProof/>
              </w:rPr>
              <w:t>Potpisivanje ugovora o dodjeli bespovratnih sredstava</w:t>
            </w: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622DC7C0"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11550591" w14:textId="77777777"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05C345F9" w14:textId="77777777" w:rsidR="00615E2D" w:rsidRDefault="00615E2D">
            <w:pPr>
              <w:spacing w:before="0" w:after="0" w:line="240" w:lineRule="auto"/>
              <w:jc w:val="center"/>
              <w:rPr>
                <w:rFonts w:eastAsia="Times New Roman"/>
                <w:noProof/>
                <w:color w:val="004300"/>
                <w:sz w:val="18"/>
              </w:rPr>
            </w:pPr>
          </w:p>
        </w:tc>
        <w:tc>
          <w:tcPr>
            <w:tcW w:w="1021" w:type="dxa"/>
            <w:tcBorders>
              <w:top w:val="nil"/>
              <w:left w:val="nil"/>
              <w:bottom w:val="single" w:sz="4" w:space="0" w:color="000000" w:themeColor="text1"/>
              <w:right w:val="single" w:sz="4" w:space="0" w:color="000000" w:themeColor="text1"/>
            </w:tcBorders>
            <w:shd w:val="clear" w:color="auto" w:fill="C6EFCE"/>
            <w:vAlign w:val="center"/>
          </w:tcPr>
          <w:p w14:paraId="2F602113" w14:textId="77777777" w:rsidR="00615E2D" w:rsidRDefault="00C83E46">
            <w:pPr>
              <w:pStyle w:val="P68B1DB1-Normal15"/>
              <w:spacing w:before="0" w:after="0" w:line="240" w:lineRule="auto"/>
              <w:jc w:val="center"/>
              <w:rPr>
                <w:noProof/>
              </w:rPr>
            </w:pPr>
            <w:r>
              <w:rPr>
                <w:noProof/>
              </w:rPr>
              <w:t>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tcPr>
          <w:p w14:paraId="15E1918C" w14:textId="2D7AF3FB" w:rsidR="00615E2D" w:rsidRDefault="00C83E46">
            <w:pPr>
              <w:pStyle w:val="P68B1DB1-Normal15"/>
              <w:spacing w:before="0" w:after="0" w:line="240" w:lineRule="auto"/>
              <w:jc w:val="center"/>
              <w:rPr>
                <w:noProof/>
              </w:rPr>
            </w:pPr>
            <w:r>
              <w:rPr>
                <w:noProof/>
              </w:rPr>
              <w:t>2024</w:t>
            </w:r>
          </w:p>
        </w:tc>
        <w:tc>
          <w:tcPr>
            <w:tcW w:w="4104" w:type="dxa"/>
            <w:tcBorders>
              <w:top w:val="nil"/>
              <w:left w:val="nil"/>
              <w:bottom w:val="single" w:sz="4" w:space="0" w:color="000000" w:themeColor="text1"/>
              <w:right w:val="single" w:sz="4" w:space="0" w:color="000000" w:themeColor="text1"/>
            </w:tcBorders>
            <w:shd w:val="clear" w:color="auto" w:fill="C6EFCE"/>
            <w:vAlign w:val="center"/>
          </w:tcPr>
          <w:p w14:paraId="099971D1" w14:textId="26E592FF" w:rsidR="00615E2D" w:rsidRDefault="00C83E46">
            <w:pPr>
              <w:pStyle w:val="P68B1DB1-Normal15"/>
              <w:spacing w:before="0" w:after="0" w:line="240" w:lineRule="auto"/>
              <w:rPr>
                <w:noProof/>
              </w:rPr>
            </w:pPr>
            <w:r>
              <w:rPr>
                <w:noProof/>
              </w:rPr>
              <w:t xml:space="preserve">Sporazum o dodjeli bespovratnih sredstava za prošireni centar za digitalne medije kao dio mreže EDMO-a potpisuje se za tri nove aktivnosti koje se podupiru. </w:t>
            </w:r>
          </w:p>
        </w:tc>
      </w:tr>
      <w:tr w:rsidR="00615E2D" w14:paraId="2F291861"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1D67F244" w14:textId="77777777" w:rsidR="00615E2D" w:rsidRDefault="00C83E46">
            <w:pPr>
              <w:pStyle w:val="P68B1DB1-Normal15"/>
              <w:spacing w:before="0" w:after="0" w:line="240" w:lineRule="auto"/>
              <w:jc w:val="center"/>
              <w:rPr>
                <w:noProof/>
              </w:rPr>
            </w:pPr>
            <w:r>
              <w:rPr>
                <w:noProof/>
              </w:rPr>
              <w:t>52</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37C5CA35" w14:textId="77777777" w:rsidR="00615E2D" w:rsidRDefault="00C83E46">
            <w:pPr>
              <w:pStyle w:val="P68B1DB1-Normal15"/>
              <w:spacing w:before="0" w:after="0" w:line="240" w:lineRule="auto"/>
              <w:rPr>
                <w:noProof/>
              </w:rPr>
            </w:pPr>
            <w:r>
              <w:rPr>
                <w:noProof/>
              </w:rPr>
              <w:t>Ulaganje 2: Europski opservatorij za digitalne medije (EDMO)</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39EB333D" w14:textId="77777777" w:rsidR="00615E2D" w:rsidRDefault="00C83E46">
            <w:pPr>
              <w:pStyle w:val="P68B1DB1-Normal15"/>
              <w:spacing w:before="0" w:after="0" w:line="240" w:lineRule="auto"/>
              <w:rPr>
                <w:noProof/>
              </w:rPr>
            </w:pPr>
            <w:r>
              <w:rPr>
                <w:noProof/>
              </w:rPr>
              <w:t>Ciljna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0F1978CA" w14:textId="02B452EC" w:rsidR="00615E2D" w:rsidRDefault="00C83E46">
            <w:pPr>
              <w:pStyle w:val="P68B1DB1-Normal15"/>
              <w:spacing w:before="0" w:after="0" w:line="240" w:lineRule="auto"/>
              <w:rPr>
                <w:noProof/>
              </w:rPr>
            </w:pPr>
            <w:r>
              <w:rPr>
                <w:noProof/>
              </w:rPr>
              <w:t xml:space="preserve">Objava rezultata istraživanja od strane CEDMO-a </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5F3B97C0" w14:textId="5ADDE792"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0C398DB3" w14:textId="48E8DD68" w:rsidR="00615E2D" w:rsidRDefault="00C83E46">
            <w:pPr>
              <w:pStyle w:val="P68B1DB1-Normal15"/>
              <w:spacing w:before="0" w:after="0" w:line="240" w:lineRule="auto"/>
              <w:rPr>
                <w:noProof/>
              </w:rPr>
            </w:pPr>
            <w:r>
              <w:rPr>
                <w:noProof/>
              </w:rPr>
              <w:t>Broj studija</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6FDC38D" w14:textId="2882CC1A"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2043C28E" w14:textId="3CDCDBCF" w:rsidR="00615E2D" w:rsidRDefault="00C83E46">
            <w:pPr>
              <w:pStyle w:val="P68B1DB1-Normal15"/>
              <w:spacing w:before="0" w:after="0" w:line="240" w:lineRule="auto"/>
              <w:jc w:val="center"/>
              <w:rPr>
                <w:noProof/>
              </w:rPr>
            </w:pPr>
            <w:r>
              <w:rPr>
                <w:noProof/>
              </w:rPr>
              <w:t>5</w:t>
            </w: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628B7C41" w14:textId="77777777"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1C2AAC12" w14:textId="77777777" w:rsidR="00615E2D" w:rsidRDefault="00C83E46">
            <w:pPr>
              <w:pStyle w:val="P68B1DB1-Normal15"/>
              <w:spacing w:before="0" w:after="0" w:line="240" w:lineRule="auto"/>
              <w:jc w:val="center"/>
              <w:rPr>
                <w:noProof/>
              </w:rPr>
            </w:pPr>
            <w:r>
              <w:rPr>
                <w:noProof/>
              </w:rPr>
              <w:t>2025</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3A59C45E" w14:textId="764667EE" w:rsidR="00615E2D" w:rsidRDefault="00C83E46">
            <w:pPr>
              <w:pStyle w:val="P68B1DB1-Normal15"/>
              <w:spacing w:before="0" w:after="0" w:line="240" w:lineRule="auto"/>
              <w:rPr>
                <w:noProof/>
              </w:rPr>
            </w:pPr>
            <w:r>
              <w:rPr>
                <w:noProof/>
              </w:rPr>
              <w:t>CEDMO objavljuje rezultate svojih istraživačkih aktivnosti s naglaskom na:</w:t>
            </w:r>
          </w:p>
          <w:p w14:paraId="42EFB1C0" w14:textId="060E0376" w:rsidR="00615E2D" w:rsidRDefault="00C83E46">
            <w:pPr>
              <w:pStyle w:val="P68B1DB1-Normal15"/>
              <w:spacing w:before="0" w:after="0" w:line="240" w:lineRule="auto"/>
              <w:rPr>
                <w:noProof/>
              </w:rPr>
            </w:pPr>
            <w:r>
              <w:rPr>
                <w:noProof/>
              </w:rPr>
              <w:t>— dezinformiranje u srednjoj i istočnoj Europi, na temelju statistički relevantnog uzorka</w:t>
            </w:r>
          </w:p>
          <w:p w14:paraId="39A0BB53" w14:textId="438FCD29" w:rsidR="00615E2D" w:rsidRDefault="00C83E46">
            <w:pPr>
              <w:pStyle w:val="P68B1DB1-Normal15"/>
              <w:spacing w:before="0" w:after="0" w:line="240" w:lineRule="auto"/>
              <w:rPr>
                <w:noProof/>
              </w:rPr>
            </w:pPr>
            <w:r>
              <w:rPr>
                <w:noProof/>
              </w:rPr>
              <w:t xml:space="preserve">primijenjeno istraživanje za razvoj alata umjetne inteligencije </w:t>
            </w:r>
          </w:p>
          <w:p w14:paraId="38DCB2F7" w14:textId="3F05021D" w:rsidR="00615E2D" w:rsidRDefault="00C83E46">
            <w:pPr>
              <w:pStyle w:val="P68B1DB1-Normal15"/>
              <w:spacing w:before="0" w:after="0" w:line="240" w:lineRule="auto"/>
              <w:rPr>
                <w:noProof/>
              </w:rPr>
            </w:pPr>
            <w:r>
              <w:rPr>
                <w:noProof/>
              </w:rPr>
              <w:t>—generativna umjetna inteligencija</w:t>
            </w:r>
          </w:p>
          <w:p w14:paraId="07C166D1" w14:textId="6E34BFBF" w:rsidR="00615E2D" w:rsidRDefault="00C83E46">
            <w:pPr>
              <w:pStyle w:val="P68B1DB1-Normal15"/>
              <w:spacing w:before="0" w:after="0" w:line="240" w:lineRule="auto"/>
              <w:rPr>
                <w:noProof/>
              </w:rPr>
            </w:pPr>
            <w:r>
              <w:rPr>
                <w:noProof/>
              </w:rPr>
              <w:t>Umjetna inteligencija kojom se podupire transformacija medija</w:t>
            </w:r>
          </w:p>
          <w:p w14:paraId="7B295E40" w14:textId="21DB06D6" w:rsidR="00615E2D" w:rsidRDefault="00C83E46">
            <w:pPr>
              <w:pStyle w:val="P68B1DB1-Normal15"/>
              <w:spacing w:before="0" w:after="0" w:line="240" w:lineRule="auto"/>
              <w:rPr>
                <w:noProof/>
              </w:rPr>
            </w:pPr>
            <w:r>
              <w:rPr>
                <w:noProof/>
              </w:rPr>
              <w:t>regulacija upotrebe umjetne inteligencije u medijima</w:t>
            </w:r>
          </w:p>
          <w:p w14:paraId="2C17FBF1" w14:textId="00E925FD" w:rsidR="00615E2D" w:rsidRDefault="00C83E46">
            <w:pPr>
              <w:pStyle w:val="P68B1DB1-Normal15"/>
              <w:spacing w:before="0" w:after="0" w:line="240" w:lineRule="auto"/>
              <w:rPr>
                <w:noProof/>
              </w:rPr>
            </w:pPr>
            <w:r>
              <w:rPr>
                <w:noProof/>
              </w:rPr>
              <w:t xml:space="preserve"> </w:t>
            </w:r>
          </w:p>
        </w:tc>
      </w:tr>
      <w:tr w:rsidR="00615E2D" w14:paraId="59C718D3"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70844975" w14:textId="77777777" w:rsidR="00615E2D" w:rsidRDefault="00C83E46">
            <w:pPr>
              <w:pStyle w:val="P68B1DB1-Normal15"/>
              <w:spacing w:before="0" w:after="0" w:line="240" w:lineRule="auto"/>
              <w:jc w:val="center"/>
              <w:rPr>
                <w:noProof/>
              </w:rPr>
            </w:pPr>
            <w:r>
              <w:rPr>
                <w:noProof/>
              </w:rPr>
              <w:t>55</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1E0301DF" w14:textId="77777777" w:rsidR="00615E2D" w:rsidRDefault="00C83E46">
            <w:pPr>
              <w:pStyle w:val="P68B1DB1-Normal15"/>
              <w:spacing w:before="0" w:after="0" w:line="240" w:lineRule="auto"/>
              <w:rPr>
                <w:noProof/>
              </w:rPr>
            </w:pPr>
            <w:r>
              <w:rPr>
                <w:noProof/>
              </w:rPr>
              <w:t>Ulaganje 5: Europska infrastruktura za usluge lanca blokova (EBSI) – obveznice DLT za financiranje MSP-ova</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746B7EEE" w14:textId="77777777" w:rsidR="00615E2D" w:rsidRDefault="00C83E46">
            <w:pPr>
              <w:pStyle w:val="P68B1DB1-Normal15"/>
              <w:spacing w:before="0" w:after="0" w:line="240" w:lineRule="auto"/>
              <w:rPr>
                <w:noProof/>
              </w:rPr>
            </w:pPr>
            <w:r>
              <w:rPr>
                <w:noProof/>
              </w:rPr>
              <w:t>Prekretnica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5AF17622" w14:textId="0068594A" w:rsidR="00615E2D" w:rsidRDefault="00C83E46">
            <w:pPr>
              <w:pStyle w:val="P68B1DB1-Normal15"/>
              <w:spacing w:before="0" w:after="0" w:line="240" w:lineRule="auto"/>
              <w:rPr>
                <w:noProof/>
              </w:rPr>
            </w:pPr>
            <w:r>
              <w:rPr>
                <w:noProof/>
              </w:rPr>
              <w:t>Ugovor o dodjeli bespovratnih sredstava potpisan s primateljem za provedbu scenarija upotrebe za MSP-ove</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7C4DD1FC" w14:textId="3E362940" w:rsidR="00615E2D" w:rsidRDefault="00C83E46">
            <w:pPr>
              <w:pStyle w:val="P68B1DB1-Normal15"/>
              <w:spacing w:before="0" w:after="0" w:line="240" w:lineRule="auto"/>
              <w:rPr>
                <w:noProof/>
              </w:rPr>
            </w:pPr>
            <w:r>
              <w:rPr>
                <w:noProof/>
              </w:rPr>
              <w:t xml:space="preserve">Potpisivanje ugovora o dodjeli bespovratnih sredstava </w:t>
            </w: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507DB65E"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01CA1DE0" w14:textId="77777777"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41E8D92A" w14:textId="77777777" w:rsidR="00615E2D" w:rsidRDefault="00615E2D">
            <w:pPr>
              <w:spacing w:before="0" w:after="0" w:line="240" w:lineRule="auto"/>
              <w:jc w:val="center"/>
              <w:rPr>
                <w:rFonts w:eastAsia="Times New Roman"/>
                <w:noProof/>
                <w:color w:val="004300"/>
                <w:sz w:val="18"/>
              </w:rPr>
            </w:pP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1CE00258" w14:textId="77777777"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58C6AB88" w14:textId="3ED94D06" w:rsidR="00615E2D" w:rsidRDefault="00C83E46">
            <w:pPr>
              <w:pStyle w:val="P68B1DB1-Normal15"/>
              <w:spacing w:before="0" w:after="0" w:line="240" w:lineRule="auto"/>
              <w:jc w:val="center"/>
              <w:rPr>
                <w:noProof/>
              </w:rPr>
            </w:pPr>
            <w:r>
              <w:rPr>
                <w:noProof/>
              </w:rPr>
              <w:t>2023</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58AF57C5" w14:textId="3410FA55" w:rsidR="00615E2D" w:rsidRDefault="00C83E46">
            <w:pPr>
              <w:pStyle w:val="P68B1DB1-Normal15"/>
              <w:spacing w:before="0" w:after="0" w:line="240" w:lineRule="auto"/>
              <w:rPr>
                <w:noProof/>
              </w:rPr>
            </w:pPr>
            <w:r>
              <w:rPr>
                <w:noProof/>
              </w:rPr>
              <w:t xml:space="preserve">Potpisuje se sporazum o dodjeli bespovratnih sredstava za provedbu slučaja upotrebe malih i srednjih poduzeća. </w:t>
            </w:r>
          </w:p>
        </w:tc>
      </w:tr>
      <w:tr w:rsidR="00615E2D" w14:paraId="750112C5"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461044F2" w14:textId="77777777" w:rsidR="00615E2D" w:rsidRDefault="00C83E46">
            <w:pPr>
              <w:pStyle w:val="P68B1DB1-Normal15"/>
              <w:spacing w:before="0" w:after="0" w:line="240" w:lineRule="auto"/>
              <w:jc w:val="center"/>
              <w:rPr>
                <w:noProof/>
              </w:rPr>
            </w:pPr>
            <w:r>
              <w:rPr>
                <w:noProof/>
              </w:rPr>
              <w:t>56</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7931E023" w14:textId="77777777" w:rsidR="00615E2D" w:rsidRDefault="00C83E46">
            <w:pPr>
              <w:pStyle w:val="P68B1DB1-Normal15"/>
              <w:spacing w:before="0" w:after="0" w:line="240" w:lineRule="auto"/>
              <w:rPr>
                <w:noProof/>
              </w:rPr>
            </w:pPr>
            <w:r>
              <w:rPr>
                <w:noProof/>
              </w:rPr>
              <w:t>Ulaganje 5: Europska infrastruktura za usluge lanca blokova (EBSI) – obveznice DLT za financiranje MSP-ova</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097091F5" w14:textId="77777777" w:rsidR="00615E2D" w:rsidRDefault="00C83E46">
            <w:pPr>
              <w:pStyle w:val="P68B1DB1-Normal15"/>
              <w:spacing w:before="0" w:after="0" w:line="240" w:lineRule="auto"/>
              <w:rPr>
                <w:noProof/>
              </w:rPr>
            </w:pPr>
            <w:r>
              <w:rPr>
                <w:noProof/>
              </w:rPr>
              <w:t>Ciljna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3E9C2591" w14:textId="12D57BD8" w:rsidR="00615E2D" w:rsidRDefault="00C83E46">
            <w:pPr>
              <w:pStyle w:val="P68B1DB1-Normal15"/>
              <w:spacing w:before="0" w:after="0" w:line="240" w:lineRule="auto"/>
              <w:rPr>
                <w:noProof/>
              </w:rPr>
            </w:pPr>
            <w:r>
              <w:rPr>
                <w:noProof/>
              </w:rPr>
              <w:t xml:space="preserve">Broj MSP-ova koji su mogli nuditi digitalne obveznice na temelju EBSI-ja. </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075A030C"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23338EE5" w14:textId="77777777" w:rsidR="00615E2D" w:rsidRDefault="00C83E46">
            <w:pPr>
              <w:pStyle w:val="P68B1DB1-Normal15"/>
              <w:spacing w:before="0" w:after="0" w:line="240" w:lineRule="auto"/>
              <w:rPr>
                <w:noProof/>
              </w:rPr>
            </w:pPr>
            <w:r>
              <w:rPr>
                <w:noProof/>
              </w:rPr>
              <w:t xml:space="preserve">Broj </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0BFDAF20" w14:textId="77777777" w:rsidR="00615E2D" w:rsidRDefault="00C83E46">
            <w:pPr>
              <w:pStyle w:val="P68B1DB1-Normal15"/>
              <w:spacing w:before="0" w:after="0" w:line="240" w:lineRule="auto"/>
              <w:jc w:val="center"/>
              <w:rPr>
                <w:noProof/>
              </w:rPr>
            </w:pPr>
            <w:r>
              <w:rPr>
                <w:noProof/>
              </w:rPr>
              <w:t>0</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E34207D" w14:textId="1F60B991" w:rsidR="00615E2D" w:rsidRDefault="00C83E46">
            <w:pPr>
              <w:pStyle w:val="P68B1DB1-Normal15"/>
              <w:spacing w:before="0" w:after="0" w:line="240" w:lineRule="auto"/>
              <w:jc w:val="center"/>
              <w:rPr>
                <w:noProof/>
              </w:rPr>
            </w:pPr>
            <w:r>
              <w:rPr>
                <w:noProof/>
              </w:rPr>
              <w:t>190</w:t>
            </w: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50CF2849" w14:textId="5CBBB8CE" w:rsidR="00615E2D" w:rsidRDefault="00C83E46">
            <w:pPr>
              <w:pStyle w:val="P68B1DB1-Normal15"/>
              <w:spacing w:before="0" w:after="0" w:line="240" w:lineRule="auto"/>
              <w:jc w:val="center"/>
              <w:rPr>
                <w:noProof/>
              </w:rPr>
            </w:pPr>
            <w:r>
              <w:rPr>
                <w:noProof/>
              </w:rPr>
              <w:t>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3649604C" w14:textId="28AD9B77" w:rsidR="00615E2D" w:rsidRDefault="00C83E46">
            <w:pPr>
              <w:pStyle w:val="P68B1DB1-Normal15"/>
              <w:spacing w:before="0" w:after="0" w:line="240" w:lineRule="auto"/>
              <w:jc w:val="center"/>
              <w:rPr>
                <w:noProof/>
              </w:rPr>
            </w:pPr>
            <w:r>
              <w:rPr>
                <w:noProof/>
              </w:rPr>
              <w:t>2024</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38000D0A" w14:textId="701C542D" w:rsidR="00615E2D" w:rsidRDefault="00C83E46">
            <w:pPr>
              <w:pStyle w:val="P68B1DB1-Normal15"/>
              <w:spacing w:before="0" w:after="0" w:line="240" w:lineRule="auto"/>
              <w:rPr>
                <w:noProof/>
              </w:rPr>
            </w:pPr>
            <w:r>
              <w:rPr>
                <w:noProof/>
              </w:rPr>
              <w:t>Potporom se MSP-ovima omogućuje da ponude obveznice koje se temelje na tehnologiji decentraliziranog vođenja evidencije transakcija, ne dovodeći u pitanje odluku društava sudionika o izdavanju obveznica.</w:t>
            </w:r>
          </w:p>
        </w:tc>
      </w:tr>
      <w:tr w:rsidR="00615E2D" w14:paraId="2C2E7293"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4539FD1D" w14:textId="77777777" w:rsidR="00615E2D" w:rsidRDefault="00C83E46">
            <w:pPr>
              <w:pStyle w:val="P68B1DB1-Normal15"/>
              <w:spacing w:before="0" w:after="0" w:line="240" w:lineRule="auto"/>
              <w:jc w:val="center"/>
              <w:rPr>
                <w:noProof/>
              </w:rPr>
            </w:pPr>
            <w:r>
              <w:rPr>
                <w:noProof/>
              </w:rPr>
              <w:t>57</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5CB00A97" w14:textId="77777777" w:rsidR="00615E2D" w:rsidRDefault="00C83E46">
            <w:pPr>
              <w:pStyle w:val="P68B1DB1-Normal15"/>
              <w:spacing w:before="0" w:after="0" w:line="240" w:lineRule="auto"/>
              <w:rPr>
                <w:noProof/>
              </w:rPr>
            </w:pPr>
            <w:r>
              <w:rPr>
                <w:noProof/>
              </w:rPr>
              <w:t>Ulaganje 6: Demonstracijski projekti prijave za 5G mreže za gradove i industrijska područja</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68932084" w14:textId="77777777" w:rsidR="00615E2D" w:rsidRDefault="00C83E46">
            <w:pPr>
              <w:pStyle w:val="P68B1DB1-Normal15"/>
              <w:spacing w:before="0" w:after="0" w:line="240" w:lineRule="auto"/>
              <w:rPr>
                <w:noProof/>
              </w:rPr>
            </w:pPr>
            <w:r>
              <w:rPr>
                <w:noProof/>
              </w:rPr>
              <w:t>Ciljna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6F5343BD" w14:textId="77777777" w:rsidR="00615E2D" w:rsidRDefault="00C83E46">
            <w:pPr>
              <w:pStyle w:val="P68B1DB1-Normal15"/>
              <w:spacing w:before="0" w:after="0" w:line="240" w:lineRule="auto"/>
              <w:rPr>
                <w:noProof/>
              </w:rPr>
            </w:pPr>
            <w:r>
              <w:rPr>
                <w:noProof/>
              </w:rPr>
              <w:t>Razvoj i rad referentnih aplikacija za pametne gradove</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685A970E"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7661D56A" w14:textId="77777777" w:rsidR="00615E2D" w:rsidRDefault="00C83E46">
            <w:pPr>
              <w:pStyle w:val="P68B1DB1-Normal15"/>
              <w:spacing w:before="0" w:after="0" w:line="240" w:lineRule="auto"/>
              <w:rPr>
                <w:noProof/>
              </w:rPr>
            </w:pPr>
            <w:r>
              <w:rPr>
                <w:noProof/>
              </w:rPr>
              <w:t>Broj</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224541D7" w14:textId="77777777" w:rsidR="00615E2D" w:rsidRDefault="00C83E46">
            <w:pPr>
              <w:pStyle w:val="P68B1DB1-Normal15"/>
              <w:spacing w:before="0" w:after="0" w:line="240" w:lineRule="auto"/>
              <w:jc w:val="center"/>
              <w:rPr>
                <w:noProof/>
              </w:rPr>
            </w:pPr>
            <w:r>
              <w:rPr>
                <w:noProof/>
              </w:rPr>
              <w:t>0</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55FB922C" w14:textId="77777777" w:rsidR="00615E2D" w:rsidRDefault="00C83E46">
            <w:pPr>
              <w:pStyle w:val="P68B1DB1-Normal15"/>
              <w:spacing w:before="0" w:after="0" w:line="240" w:lineRule="auto"/>
              <w:jc w:val="center"/>
              <w:rPr>
                <w:noProof/>
              </w:rPr>
            </w:pPr>
            <w:r>
              <w:rPr>
                <w:noProof/>
              </w:rPr>
              <w:t>5</w:t>
            </w: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2F237D40" w14:textId="77777777"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7F88BCDD" w14:textId="77777777" w:rsidR="00615E2D" w:rsidRDefault="00C83E46">
            <w:pPr>
              <w:pStyle w:val="P68B1DB1-Normal15"/>
              <w:spacing w:before="0" w:after="0" w:line="240" w:lineRule="auto"/>
              <w:jc w:val="center"/>
              <w:rPr>
                <w:noProof/>
              </w:rPr>
            </w:pPr>
            <w:r>
              <w:rPr>
                <w:noProof/>
              </w:rPr>
              <w:t>2022</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3BC26877" w14:textId="77777777" w:rsidR="00615E2D" w:rsidRDefault="00C83E46">
            <w:pPr>
              <w:pStyle w:val="P68B1DB1-Normal15"/>
              <w:spacing w:before="0" w:after="0" w:line="259" w:lineRule="auto"/>
              <w:rPr>
                <w:noProof/>
              </w:rPr>
            </w:pPr>
            <w:r>
              <w:rPr>
                <w:noProof/>
              </w:rPr>
              <w:t>Pet referentnih zahtjeva u okviru programa Pametni gradovi koji će biti dovršen</w:t>
            </w:r>
          </w:p>
        </w:tc>
      </w:tr>
      <w:tr w:rsidR="00615E2D" w14:paraId="3F23D571"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0CEE46F9" w14:textId="77777777" w:rsidR="00615E2D" w:rsidRDefault="00C83E46">
            <w:pPr>
              <w:pStyle w:val="P68B1DB1-Normal15"/>
              <w:spacing w:before="0" w:after="0" w:line="240" w:lineRule="auto"/>
              <w:jc w:val="center"/>
              <w:rPr>
                <w:noProof/>
              </w:rPr>
            </w:pPr>
            <w:r>
              <w:rPr>
                <w:noProof/>
              </w:rPr>
              <w:t>58</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2C258292" w14:textId="77777777" w:rsidR="00615E2D" w:rsidRDefault="00C83E46">
            <w:pPr>
              <w:pStyle w:val="P68B1DB1-Normal15"/>
              <w:spacing w:before="0" w:after="0" w:line="240" w:lineRule="auto"/>
              <w:rPr>
                <w:noProof/>
              </w:rPr>
            </w:pPr>
            <w:r>
              <w:rPr>
                <w:noProof/>
              </w:rPr>
              <w:t>Ulaganje 6: Demonstracijski projekti prijave za 5G mreže za gradove i industrijska područja</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360ED2C9" w14:textId="77777777" w:rsidR="00615E2D" w:rsidRDefault="00C83E46">
            <w:pPr>
              <w:pStyle w:val="P68B1DB1-Normal15"/>
              <w:spacing w:before="0" w:after="0" w:line="240" w:lineRule="auto"/>
              <w:rPr>
                <w:noProof/>
              </w:rPr>
            </w:pPr>
            <w:r>
              <w:rPr>
                <w:noProof/>
              </w:rPr>
              <w:t>Ciljna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71B94840" w14:textId="6BE2AF40" w:rsidR="00615E2D" w:rsidRDefault="00C83E46">
            <w:pPr>
              <w:pStyle w:val="P68B1DB1-Normal15"/>
              <w:spacing w:before="0" w:after="0" w:line="240" w:lineRule="auto"/>
              <w:rPr>
                <w:noProof/>
              </w:rPr>
            </w:pPr>
            <w:r>
              <w:rPr>
                <w:noProof/>
              </w:rPr>
              <w:t>Dovršetak primjera upotrebe za pametne gradove i industriju 4.0</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6C15BA48"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8983FE3" w14:textId="77777777" w:rsidR="00615E2D" w:rsidRDefault="00C83E46">
            <w:pPr>
              <w:pStyle w:val="P68B1DB1-Normal15"/>
              <w:spacing w:before="0" w:after="0" w:line="240" w:lineRule="auto"/>
              <w:rPr>
                <w:noProof/>
              </w:rPr>
            </w:pPr>
            <w:r>
              <w:rPr>
                <w:noProof/>
              </w:rPr>
              <w:t>Broj</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23D7B851" w14:textId="77777777" w:rsidR="00615E2D" w:rsidRDefault="00C83E46">
            <w:pPr>
              <w:pStyle w:val="P68B1DB1-Normal15"/>
              <w:spacing w:before="0" w:after="0" w:line="240" w:lineRule="auto"/>
              <w:jc w:val="center"/>
              <w:rPr>
                <w:noProof/>
              </w:rPr>
            </w:pPr>
            <w:r>
              <w:rPr>
                <w:noProof/>
              </w:rPr>
              <w:t>0</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25C6AE87" w14:textId="6BFD0C21" w:rsidR="00615E2D" w:rsidRDefault="00C83E46">
            <w:pPr>
              <w:pStyle w:val="P68B1DB1-Normal15"/>
              <w:spacing w:before="0" w:after="0" w:line="240" w:lineRule="auto"/>
              <w:jc w:val="center"/>
              <w:rPr>
                <w:noProof/>
              </w:rPr>
            </w:pPr>
            <w:r>
              <w:rPr>
                <w:noProof/>
              </w:rPr>
              <w:t>27 za pametne gradove; 20 za industriju 4.0</w:t>
            </w: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5222463C" w14:textId="77777777"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07ED59CC" w14:textId="77777777" w:rsidR="00615E2D" w:rsidRDefault="00C83E46">
            <w:pPr>
              <w:pStyle w:val="P68B1DB1-Normal15"/>
              <w:spacing w:before="0" w:after="0" w:line="240" w:lineRule="auto"/>
              <w:jc w:val="center"/>
              <w:rPr>
                <w:noProof/>
              </w:rPr>
            </w:pPr>
            <w:r>
              <w:rPr>
                <w:noProof/>
              </w:rPr>
              <w:t>2025</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379A8D19" w14:textId="280A16D4" w:rsidR="00615E2D" w:rsidRDefault="00C83E46">
            <w:pPr>
              <w:pStyle w:val="P68B1DB1-Normal15"/>
              <w:spacing w:before="0" w:after="0" w:line="240" w:lineRule="auto"/>
              <w:rPr>
                <w:noProof/>
              </w:rPr>
            </w:pPr>
            <w:r>
              <w:rPr>
                <w:noProof/>
              </w:rPr>
              <w:t xml:space="preserve">Završetak demonstracijskih aplikacija za upotrebu 5G mreža na druge lokacije, uključujući regije i lokalne općine u okviru programa Pametni gradovi i industrija 4.0 </w:t>
            </w:r>
          </w:p>
        </w:tc>
      </w:tr>
      <w:tr w:rsidR="00615E2D" w14:paraId="57F2C7F8"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5CC03654" w14:textId="77777777" w:rsidR="00615E2D" w:rsidRDefault="00C83E46">
            <w:pPr>
              <w:pStyle w:val="P68B1DB1-Normal15"/>
              <w:spacing w:before="0" w:after="0" w:line="240" w:lineRule="auto"/>
              <w:jc w:val="center"/>
              <w:rPr>
                <w:noProof/>
              </w:rPr>
            </w:pPr>
            <w:r>
              <w:rPr>
                <w:noProof/>
              </w:rPr>
              <w:t>59</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54F10C08" w14:textId="77777777" w:rsidR="00615E2D" w:rsidRDefault="00C83E46">
            <w:pPr>
              <w:pStyle w:val="P68B1DB1-Normal15"/>
              <w:spacing w:before="0" w:after="0" w:line="240" w:lineRule="auto"/>
              <w:rPr>
                <w:noProof/>
              </w:rPr>
            </w:pPr>
            <w:r>
              <w:rPr>
                <w:noProof/>
              </w:rPr>
              <w:t>Ulaganje 7: Češki program Rise-Up</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3E676EBD" w14:textId="77777777" w:rsidR="00615E2D" w:rsidRDefault="00C83E46">
            <w:pPr>
              <w:pStyle w:val="P68B1DB1-Normal15"/>
              <w:spacing w:before="0" w:after="0" w:line="240" w:lineRule="auto"/>
              <w:rPr>
                <w:noProof/>
              </w:rPr>
            </w:pPr>
            <w:r>
              <w:rPr>
                <w:noProof/>
              </w:rPr>
              <w:t>Ciljna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21102EB7" w14:textId="71BB6820" w:rsidR="00615E2D" w:rsidRDefault="00C83E46">
            <w:pPr>
              <w:pStyle w:val="P68B1DB1-Normal15"/>
              <w:spacing w:before="0" w:after="0" w:line="240" w:lineRule="auto"/>
              <w:rPr>
                <w:noProof/>
              </w:rPr>
            </w:pPr>
            <w:r>
              <w:rPr>
                <w:noProof/>
              </w:rPr>
              <w:t xml:space="preserve">Potpora projektima usmjerenima na inovacije u području medicinskih i digitalnih rješenja za suočavanje s posljedicama bolesti COVID-19 i njezinim gospodarskim i socijalnim posljedicama </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04DCE518"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294D8F8E" w14:textId="77777777" w:rsidR="00615E2D" w:rsidRDefault="00C83E46">
            <w:pPr>
              <w:pStyle w:val="P68B1DB1-Normal15"/>
              <w:spacing w:before="0" w:after="0" w:line="240" w:lineRule="auto"/>
              <w:rPr>
                <w:noProof/>
              </w:rPr>
            </w:pPr>
            <w:r>
              <w:rPr>
                <w:noProof/>
              </w:rPr>
              <w:t>Broj</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F88F927" w14:textId="63290FF3" w:rsidR="00615E2D" w:rsidRDefault="00C83E46">
            <w:pPr>
              <w:pStyle w:val="P68B1DB1-Normal15"/>
              <w:spacing w:before="0" w:after="0" w:line="240" w:lineRule="auto"/>
              <w:jc w:val="center"/>
              <w:rPr>
                <w:noProof/>
              </w:rPr>
            </w:pPr>
            <w:r>
              <w:rPr>
                <w:noProof/>
              </w:rPr>
              <w:t>0</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64CB1A58" w14:textId="3955BD7C" w:rsidR="00615E2D" w:rsidRDefault="00C83E46">
            <w:pPr>
              <w:pStyle w:val="P68B1DB1-Normal15"/>
              <w:spacing w:before="0" w:after="0" w:line="240" w:lineRule="auto"/>
              <w:jc w:val="center"/>
              <w:rPr>
                <w:noProof/>
              </w:rPr>
            </w:pPr>
            <w:r>
              <w:rPr>
                <w:noProof/>
              </w:rPr>
              <w:t>30</w:t>
            </w: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5EBE7F41" w14:textId="77777777"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4D24BFEC" w14:textId="77777777" w:rsidR="00615E2D" w:rsidRDefault="00C83E46">
            <w:pPr>
              <w:pStyle w:val="P68B1DB1-Normal15"/>
              <w:spacing w:before="0" w:after="0" w:line="240" w:lineRule="auto"/>
              <w:jc w:val="center"/>
              <w:rPr>
                <w:noProof/>
              </w:rPr>
            </w:pPr>
            <w:r>
              <w:rPr>
                <w:noProof/>
              </w:rPr>
              <w:t>2023</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15E39C60" w14:textId="622362A1" w:rsidR="00615E2D" w:rsidRDefault="00C83E46">
            <w:pPr>
              <w:pStyle w:val="P68B1DB1-Normal15"/>
              <w:spacing w:before="0" w:after="0" w:line="240" w:lineRule="auto"/>
              <w:rPr>
                <w:noProof/>
              </w:rPr>
            </w:pPr>
            <w:r>
              <w:rPr>
                <w:noProof/>
              </w:rPr>
              <w:t>Potpora poduzećima u medicinskim istraživanjima povezanima s bolešću COVID-19 i razvoju projekata i projekata usmjerenih na digitalna rješenja za suočavanje s gospodarskim i socijalnim posljedicama krize u obliku de minimis bespovratnih sredstava. Ugovori se dodjeljuju projektima odabranima u okviru konkurentnih poziva na podnošenje prijedloga navedenih u ovoj ključnoj etapi, u skladu s Tehničkim smjernicama o nenanošenju bitne štete (2021/C58/01) upotrebom popisa za isključenje i zahtjeva usklađenosti s relevantnim zakonodavstvom EU-a i nacionalnim zakonodavstvom u području okoliša.</w:t>
            </w:r>
          </w:p>
        </w:tc>
      </w:tr>
      <w:tr w:rsidR="00615E2D" w14:paraId="04DFDD8D"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17EE5EAC" w14:textId="77777777" w:rsidR="00615E2D" w:rsidRDefault="00C83E46">
            <w:pPr>
              <w:pStyle w:val="P68B1DB1-Normal15"/>
              <w:spacing w:before="0" w:after="0" w:line="240" w:lineRule="auto"/>
              <w:jc w:val="center"/>
              <w:rPr>
                <w:noProof/>
              </w:rPr>
            </w:pPr>
            <w:r>
              <w:rPr>
                <w:noProof/>
              </w:rPr>
              <w:t>60</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2EB29D57" w14:textId="77777777" w:rsidR="00615E2D" w:rsidRDefault="00C83E46">
            <w:pPr>
              <w:pStyle w:val="P68B1DB1-Normal15"/>
              <w:spacing w:before="0" w:after="0" w:line="240" w:lineRule="auto"/>
              <w:rPr>
                <w:noProof/>
              </w:rPr>
            </w:pPr>
            <w:r>
              <w:rPr>
                <w:noProof/>
              </w:rPr>
              <w:t>Ulaganje 8: Poticanje poduzetništva i inovativnih poduzeća</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154AD692" w14:textId="77777777" w:rsidR="00615E2D" w:rsidRDefault="00C83E46">
            <w:pPr>
              <w:pStyle w:val="P68B1DB1-Normal15"/>
              <w:spacing w:before="0" w:after="0" w:line="240" w:lineRule="auto"/>
              <w:rPr>
                <w:noProof/>
              </w:rPr>
            </w:pPr>
            <w:r>
              <w:rPr>
                <w:noProof/>
              </w:rPr>
              <w:t>Ciljna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731648D9" w14:textId="77777777" w:rsidR="00615E2D" w:rsidRDefault="00C83E46">
            <w:pPr>
              <w:pStyle w:val="P68B1DB1-Normal15"/>
              <w:spacing w:before="0" w:after="0" w:line="240" w:lineRule="auto"/>
              <w:rPr>
                <w:noProof/>
              </w:rPr>
            </w:pPr>
            <w:r>
              <w:rPr>
                <w:noProof/>
              </w:rPr>
              <w:t>Broj novoosnovanih poduzeća koja primaju potporu putem inovacijskih centara i partnerskih organizacija programa</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38F5944F"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40476EB2" w14:textId="77777777" w:rsidR="00615E2D" w:rsidRDefault="00C83E46">
            <w:pPr>
              <w:pStyle w:val="P68B1DB1-Normal15"/>
              <w:spacing w:before="0" w:after="0" w:line="240" w:lineRule="auto"/>
              <w:rPr>
                <w:noProof/>
              </w:rPr>
            </w:pPr>
            <w:r>
              <w:rPr>
                <w:noProof/>
              </w:rPr>
              <w:t>Broj</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0F6E6DE5" w14:textId="77777777" w:rsidR="00615E2D" w:rsidRDefault="00C83E46">
            <w:pPr>
              <w:pStyle w:val="P68B1DB1-Normal15"/>
              <w:spacing w:before="0" w:after="0" w:line="240" w:lineRule="auto"/>
              <w:jc w:val="center"/>
              <w:rPr>
                <w:noProof/>
              </w:rPr>
            </w:pPr>
            <w:r>
              <w:rPr>
                <w:noProof/>
              </w:rPr>
              <w:t>0</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A7AABC2" w14:textId="77777777" w:rsidR="00615E2D" w:rsidRDefault="00C83E46">
            <w:pPr>
              <w:pStyle w:val="P68B1DB1-Normal15"/>
              <w:spacing w:before="0" w:after="0" w:line="240" w:lineRule="auto"/>
              <w:jc w:val="center"/>
              <w:rPr>
                <w:noProof/>
              </w:rPr>
            </w:pPr>
            <w:r>
              <w:rPr>
                <w:noProof/>
              </w:rPr>
              <w:t>450</w:t>
            </w: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6F1BE27A" w14:textId="77777777"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1BCC5A95" w14:textId="77777777" w:rsidR="00615E2D" w:rsidRDefault="00C83E46">
            <w:pPr>
              <w:pStyle w:val="P68B1DB1-Normal15"/>
              <w:spacing w:before="0" w:after="0" w:line="240" w:lineRule="auto"/>
              <w:jc w:val="center"/>
              <w:rPr>
                <w:noProof/>
              </w:rPr>
            </w:pPr>
            <w:r>
              <w:rPr>
                <w:noProof/>
              </w:rPr>
              <w:t>2024</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09BBCE23" w14:textId="77777777" w:rsidR="00615E2D" w:rsidRDefault="00C83E46">
            <w:pPr>
              <w:pStyle w:val="P68B1DB1-Normal15"/>
              <w:spacing w:before="0" w:after="0" w:line="240" w:lineRule="auto"/>
              <w:rPr>
                <w:noProof/>
              </w:rPr>
            </w:pPr>
            <w:r>
              <w:rPr>
                <w:noProof/>
              </w:rPr>
              <w:t>Novoosnovanim poduzećima i drugim prihvatljivim subjektima pružaju se mentorske, konzultantske i savjetodavne usluge ili osposobljavanje za poticanje poduzetništva i vrednovanje poslovnih planova.</w:t>
            </w:r>
          </w:p>
        </w:tc>
      </w:tr>
      <w:tr w:rsidR="00615E2D" w14:paraId="7ED33333"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1B430C9E" w14:textId="77777777" w:rsidR="00615E2D" w:rsidRDefault="00C83E46">
            <w:pPr>
              <w:pStyle w:val="P68B1DB1-Normal15"/>
              <w:spacing w:before="0" w:after="0" w:line="240" w:lineRule="auto"/>
              <w:jc w:val="center"/>
              <w:rPr>
                <w:noProof/>
              </w:rPr>
            </w:pPr>
            <w:r>
              <w:rPr>
                <w:noProof/>
              </w:rPr>
              <w:t>61</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7647CB2F" w14:textId="3C45D11F" w:rsidR="00615E2D" w:rsidRDefault="00C83E46">
            <w:pPr>
              <w:pStyle w:val="P68B1DB1-Normal15"/>
              <w:spacing w:before="0" w:after="0" w:line="240" w:lineRule="auto"/>
              <w:rPr>
                <w:noProof/>
              </w:rPr>
            </w:pPr>
            <w:r>
              <w:rPr>
                <w:noProof/>
              </w:rPr>
              <w:t xml:space="preserve">Ulaganje 9: Sredstva za razvoj prethodnih/učenih ulaganja, strateških digitalnih tehnologija i izdvojenih poduzeća na sveučilištima </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3B4AB659" w14:textId="77777777" w:rsidR="00615E2D" w:rsidRDefault="00C83E46">
            <w:pPr>
              <w:pStyle w:val="P68B1DB1-Normal15"/>
              <w:spacing w:before="0" w:after="0" w:line="240" w:lineRule="auto"/>
              <w:rPr>
                <w:noProof/>
              </w:rPr>
            </w:pPr>
            <w:r>
              <w:rPr>
                <w:noProof/>
              </w:rPr>
              <w:t>Prekretnica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3C4239F1" w14:textId="56EF5CCE" w:rsidR="00615E2D" w:rsidRDefault="00C83E46">
            <w:pPr>
              <w:pStyle w:val="P68B1DB1-Normal15"/>
              <w:spacing w:before="0" w:after="0" w:line="240" w:lineRule="auto"/>
              <w:rPr>
                <w:noProof/>
              </w:rPr>
            </w:pPr>
            <w:r>
              <w:rPr>
                <w:noProof/>
              </w:rPr>
              <w:t>Pokretanje Fonda fondova i ulaganje triju namjenskih fondova (preduspostava, strateške tehnologije i izdvojeni fondovi)</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53B5A293" w14:textId="37C83F0D" w:rsidR="00615E2D" w:rsidRDefault="00C83E46">
            <w:pPr>
              <w:pStyle w:val="P68B1DB1-Normal15"/>
              <w:spacing w:before="0" w:after="0" w:line="240" w:lineRule="auto"/>
              <w:rPr>
                <w:noProof/>
              </w:rPr>
            </w:pPr>
            <w:r>
              <w:rPr>
                <w:noProof/>
              </w:rPr>
              <w:t xml:space="preserve">iscrpljenje ulagačkog kapaciteta sredstvima iz Mehanizma za oporavak i otpornost </w:t>
            </w: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7A2ABAF0"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54528BB6" w14:textId="77777777"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7DC6AF23" w14:textId="77777777" w:rsidR="00615E2D" w:rsidRDefault="00615E2D">
            <w:pPr>
              <w:spacing w:before="0" w:after="0" w:line="240" w:lineRule="auto"/>
              <w:jc w:val="center"/>
              <w:rPr>
                <w:rFonts w:eastAsia="Times New Roman"/>
                <w:noProof/>
                <w:color w:val="004300"/>
                <w:sz w:val="18"/>
              </w:rPr>
            </w:pP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4A39D2BE" w14:textId="1827A500" w:rsidR="00615E2D" w:rsidRDefault="00C83E46">
            <w:pPr>
              <w:pStyle w:val="P68B1DB1-Normal15"/>
              <w:spacing w:before="0" w:after="0" w:line="240" w:lineRule="auto"/>
              <w:jc w:val="center"/>
              <w:rPr>
                <w:noProof/>
              </w:rPr>
            </w:pPr>
            <w:r>
              <w:rPr>
                <w:noProof/>
              </w:rPr>
              <w:t>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275694C6" w14:textId="43F1AB38" w:rsidR="00615E2D" w:rsidRDefault="00C83E46">
            <w:pPr>
              <w:pStyle w:val="P68B1DB1-Normal15"/>
              <w:spacing w:before="0" w:after="0" w:line="240" w:lineRule="auto"/>
              <w:jc w:val="center"/>
              <w:rPr>
                <w:noProof/>
              </w:rPr>
            </w:pPr>
            <w:r>
              <w:rPr>
                <w:noProof/>
              </w:rPr>
              <w:t>2026</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3F9629ED" w14:textId="714999D7" w:rsidR="00615E2D" w:rsidRDefault="00C83E46">
            <w:pPr>
              <w:pStyle w:val="P68B1DB1-Normal15"/>
              <w:spacing w:before="0" w:after="0" w:line="240" w:lineRule="auto"/>
              <w:rPr>
                <w:noProof/>
              </w:rPr>
            </w:pPr>
            <w:r>
              <w:rPr>
                <w:noProof/>
              </w:rPr>
              <w:t>Pokrenut će se tri investicijska fonda za postojeći i novi poduzetnički kapital kako bi se inovativnim novoosnovanim poduzećima, strateškim tehnologijama i poduzećima pružila potpora početnim/prethodnim ulaganjima. Pilot-fazom trebalo bi provjeriti razinu potražnje, ciljani rizik, apsorpciju i područja ulaganja, osobito komplementarnost s drugim instrumentima potpore. Na temelju rezultata pilot-faze treba utvrditi daljnje kontinuirane krugove ulaganja. Vrijednost ulaganja iznosi najmanje 54 983 897,57 EUR. Investicijska politika za financijski instrument uključuje kriterije odabira kako bi se osigurala usklađenost s Tehničkim smjernicama o nenanošenju bitne štete (2021/C58/01) transakcija koje primaju potporu u okviru ove mjere primjenom provjere održivosti, popisa za isključenje i zahtjeva usklađenosti s relevantnim zakonodavstvom EU-a i nacionalnim zakonodavstvom o okolišu.</w:t>
            </w:r>
          </w:p>
        </w:tc>
      </w:tr>
      <w:tr w:rsidR="00615E2D" w14:paraId="615DB3A9"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3AC14D2E" w14:textId="77777777" w:rsidR="00615E2D" w:rsidRDefault="00C83E46">
            <w:pPr>
              <w:pStyle w:val="P68B1DB1-Normal15"/>
              <w:spacing w:before="0" w:after="0" w:line="240" w:lineRule="auto"/>
              <w:jc w:val="center"/>
              <w:rPr>
                <w:noProof/>
              </w:rPr>
            </w:pPr>
            <w:r>
              <w:rPr>
                <w:noProof/>
              </w:rPr>
              <w:t>63</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24BABBD3" w14:textId="77777777" w:rsidR="00615E2D" w:rsidRDefault="00C83E46">
            <w:pPr>
              <w:pStyle w:val="P68B1DB1-Normal15"/>
              <w:spacing w:before="0" w:after="0" w:line="240" w:lineRule="auto"/>
              <w:rPr>
                <w:noProof/>
              </w:rPr>
            </w:pPr>
            <w:r>
              <w:rPr>
                <w:noProof/>
              </w:rPr>
              <w:t>Ulaganje 10: Internacionalizacija novoosnovanih poduzeća</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2AC451FD" w14:textId="77777777" w:rsidR="00615E2D" w:rsidRDefault="00C83E46">
            <w:pPr>
              <w:pStyle w:val="P68B1DB1-Normal15"/>
              <w:spacing w:before="0" w:after="0" w:line="240" w:lineRule="auto"/>
              <w:rPr>
                <w:noProof/>
              </w:rPr>
            </w:pPr>
            <w:r>
              <w:rPr>
                <w:noProof/>
              </w:rPr>
              <w:t>Ciljna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488A2390" w14:textId="77777777" w:rsidR="00615E2D" w:rsidRDefault="00C83E46">
            <w:pPr>
              <w:pStyle w:val="P68B1DB1-Normal15"/>
              <w:spacing w:before="0" w:after="0" w:line="240" w:lineRule="auto"/>
              <w:rPr>
                <w:noProof/>
              </w:rPr>
            </w:pPr>
            <w:r>
              <w:rPr>
                <w:noProof/>
              </w:rPr>
              <w:t>Potpora međunarodnom širenju novoosnovanih poduzeća putem savjetovanja, mentorskih usluga poslovnog savjetovanja, programa ubrzavanja</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76831E2E"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F29C6DF" w14:textId="77777777" w:rsidR="00615E2D" w:rsidRDefault="00C83E46">
            <w:pPr>
              <w:pStyle w:val="P68B1DB1-Normal15"/>
              <w:spacing w:before="0" w:after="0" w:line="240" w:lineRule="auto"/>
              <w:rPr>
                <w:noProof/>
              </w:rPr>
            </w:pPr>
            <w:r>
              <w:rPr>
                <w:noProof/>
              </w:rPr>
              <w:t>Broj</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20BF0BBE" w14:textId="77777777" w:rsidR="00615E2D" w:rsidRDefault="00C83E46">
            <w:pPr>
              <w:pStyle w:val="P68B1DB1-Normal15"/>
              <w:spacing w:before="0" w:after="0" w:line="240" w:lineRule="auto"/>
              <w:jc w:val="center"/>
              <w:rPr>
                <w:noProof/>
              </w:rPr>
            </w:pPr>
            <w:r>
              <w:rPr>
                <w:noProof/>
              </w:rPr>
              <w:t>0</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5C322A60" w14:textId="77777777" w:rsidR="00615E2D" w:rsidRDefault="00C83E46">
            <w:pPr>
              <w:pStyle w:val="P68B1DB1-Normal15"/>
              <w:spacing w:before="0" w:after="0" w:line="240" w:lineRule="auto"/>
              <w:jc w:val="center"/>
              <w:rPr>
                <w:noProof/>
              </w:rPr>
            </w:pPr>
            <w:r>
              <w:rPr>
                <w:noProof/>
              </w:rPr>
              <w:t>100</w:t>
            </w: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0B90811E" w14:textId="77777777"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41B60004" w14:textId="77777777" w:rsidR="00615E2D" w:rsidRDefault="00C83E46">
            <w:pPr>
              <w:pStyle w:val="P68B1DB1-Normal15"/>
              <w:spacing w:before="0" w:after="0" w:line="240" w:lineRule="auto"/>
              <w:jc w:val="center"/>
              <w:rPr>
                <w:noProof/>
              </w:rPr>
            </w:pPr>
            <w:r>
              <w:rPr>
                <w:noProof/>
              </w:rPr>
              <w:t>2025</w:t>
            </w:r>
          </w:p>
        </w:tc>
        <w:tc>
          <w:tcPr>
            <w:tcW w:w="4104" w:type="dxa"/>
            <w:tcBorders>
              <w:top w:val="nil"/>
              <w:left w:val="nil"/>
              <w:bottom w:val="single" w:sz="4" w:space="0" w:color="000000" w:themeColor="text1"/>
              <w:right w:val="single" w:sz="4" w:space="0" w:color="000000" w:themeColor="text1"/>
            </w:tcBorders>
            <w:shd w:val="clear" w:color="auto" w:fill="C6EFCE"/>
            <w:vAlign w:val="center"/>
          </w:tcPr>
          <w:p w14:paraId="7E2B620E" w14:textId="5F6A09F1" w:rsidR="00615E2D" w:rsidRDefault="00C83E46">
            <w:pPr>
              <w:pStyle w:val="P68B1DB1-Normal15"/>
              <w:spacing w:before="0" w:after="0" w:line="240" w:lineRule="auto"/>
              <w:rPr>
                <w:noProof/>
              </w:rPr>
            </w:pPr>
            <w:r>
              <w:rPr>
                <w:noProof/>
              </w:rPr>
              <w:t>Novoosnovanim poduzećima treba pružiti potporu putem programa potpore usmjerenih na međunarodno širenje i prilagodbu stranim tržištima. Ti programi uključuju usluge mentorstva i savjetovanja, programe ubrzane validacije proizvoda povezane sa stranim uslugama, razmjenu najboljih praksi, širenje, prilagodbu proizvoda/usluga.</w:t>
            </w:r>
          </w:p>
        </w:tc>
      </w:tr>
      <w:tr w:rsidR="00615E2D" w14:paraId="6513E91F"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62C24EE8" w14:textId="2932380A" w:rsidR="00615E2D" w:rsidRDefault="00C83E46">
            <w:pPr>
              <w:pStyle w:val="P68B1DB1-Normal15"/>
              <w:spacing w:before="0" w:after="0" w:line="240" w:lineRule="auto"/>
              <w:jc w:val="center"/>
              <w:rPr>
                <w:noProof/>
              </w:rPr>
            </w:pPr>
            <w:r>
              <w:rPr>
                <w:noProof/>
              </w:rPr>
              <w:t>64</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535A056E" w14:textId="2B80EDF9" w:rsidR="00615E2D" w:rsidRDefault="00C83E46">
            <w:pPr>
              <w:pStyle w:val="P68B1DB1-Normal15"/>
              <w:spacing w:before="0" w:after="0" w:line="240" w:lineRule="auto"/>
              <w:rPr>
                <w:noProof/>
              </w:rPr>
            </w:pPr>
            <w:r>
              <w:rPr>
                <w:noProof/>
              </w:rPr>
              <w:t>Ulaganje 11: Digitalno regulatorno izolirano okruženje u skladu s prioritetima EU-a</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3F8F1D0F" w14:textId="50628292" w:rsidR="00615E2D" w:rsidRDefault="00C83E46">
            <w:pPr>
              <w:pStyle w:val="P68B1DB1-Normal15"/>
              <w:spacing w:before="0" w:after="0" w:line="240" w:lineRule="auto"/>
              <w:rPr>
                <w:noProof/>
              </w:rPr>
            </w:pPr>
            <w:r>
              <w:rPr>
                <w:noProof/>
              </w:rPr>
              <w:t>Prekretnica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705AA8F4" w14:textId="3A989851" w:rsidR="00615E2D" w:rsidRDefault="00C83E46">
            <w:pPr>
              <w:pStyle w:val="P68B1DB1-Normal15"/>
              <w:spacing w:before="0" w:after="0" w:line="240" w:lineRule="auto"/>
              <w:rPr>
                <w:noProof/>
              </w:rPr>
            </w:pPr>
            <w:r>
              <w:rPr>
                <w:noProof/>
              </w:rPr>
              <w:t xml:space="preserve">Pokretanje digitalnog regulatornog izoliranog okruženja </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6110970B" w14:textId="39FAE923" w:rsidR="00615E2D" w:rsidRDefault="00C83E46">
            <w:pPr>
              <w:pStyle w:val="P68B1DB1-Normal15"/>
              <w:spacing w:before="0" w:after="0" w:line="240" w:lineRule="auto"/>
              <w:rPr>
                <w:noProof/>
              </w:rPr>
            </w:pPr>
            <w:r>
              <w:rPr>
                <w:noProof/>
              </w:rPr>
              <w:t>Uspostava izoliranog okruženja u prioritetnim reguliranim područjima, kao što su financijska tehnologija (na temelju paketa za digitalne financije) tehnologija decentraliziranog vođenja evidencije transakcija (DLT)</w:t>
            </w: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547F6B52" w14:textId="32387BEE"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3744F8F7" w14:textId="3BF730E7"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tcPr>
          <w:p w14:paraId="6C0FDCD7" w14:textId="151BE6C9" w:rsidR="00615E2D" w:rsidRDefault="00615E2D">
            <w:pPr>
              <w:spacing w:before="0" w:after="0" w:line="240" w:lineRule="auto"/>
              <w:jc w:val="center"/>
              <w:rPr>
                <w:rFonts w:eastAsia="Times New Roman"/>
                <w:noProof/>
                <w:color w:val="004300"/>
                <w:sz w:val="18"/>
              </w:rPr>
            </w:pP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37981E64" w14:textId="69CEB0D0" w:rsidR="00615E2D" w:rsidRDefault="00C83E46">
            <w:pPr>
              <w:pStyle w:val="P68B1DB1-Normal15"/>
              <w:spacing w:before="0" w:after="0" w:line="240" w:lineRule="auto"/>
              <w:jc w:val="center"/>
              <w:rPr>
                <w:noProof/>
              </w:rPr>
            </w:pPr>
            <w:r>
              <w:rPr>
                <w:noProof/>
              </w:rPr>
              <w:t>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61D2A696" w14:textId="3962183E" w:rsidR="00615E2D" w:rsidRDefault="00C83E46">
            <w:pPr>
              <w:pStyle w:val="P68B1DB1-Normal15"/>
              <w:spacing w:before="0" w:after="0" w:line="240" w:lineRule="auto"/>
              <w:jc w:val="center"/>
              <w:rPr>
                <w:noProof/>
              </w:rPr>
            </w:pPr>
            <w:r>
              <w:rPr>
                <w:noProof/>
              </w:rPr>
              <w:t>2024</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694DB489" w14:textId="6577C926" w:rsidR="00615E2D" w:rsidRDefault="00C83E46">
            <w:pPr>
              <w:pStyle w:val="P68B1DB1-Normal15"/>
              <w:spacing w:before="0" w:after="0" w:line="240" w:lineRule="auto"/>
              <w:rPr>
                <w:noProof/>
              </w:rPr>
            </w:pPr>
            <w:r>
              <w:rPr>
                <w:noProof/>
              </w:rPr>
              <w:t>Izolirano okruženje za digitalno regulatorno tijelo s naglaskom na pilot-projekte u području financijske tehnologije i DLT-a smatra se aktivnim i da djeluje kada inovativna poduzeća mogu podnijeti zahtjeve za testiranje projekata i proizvoda.</w:t>
            </w:r>
          </w:p>
        </w:tc>
      </w:tr>
      <w:tr w:rsidR="00615E2D" w14:paraId="4BCF15C3" w14:textId="1BD38DF8">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47E3460B" w14:textId="0F57AC9E" w:rsidR="00615E2D" w:rsidRDefault="00C83E46">
            <w:pPr>
              <w:pStyle w:val="P68B1DB1-Normal15"/>
              <w:spacing w:before="0" w:after="0" w:line="240" w:lineRule="auto"/>
              <w:jc w:val="center"/>
              <w:rPr>
                <w:noProof/>
              </w:rPr>
            </w:pPr>
            <w:r>
              <w:rPr>
                <w:noProof/>
              </w:rPr>
              <w:t>65</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7502F088" w14:textId="618D2106" w:rsidR="00615E2D" w:rsidRDefault="00C83E46">
            <w:pPr>
              <w:pStyle w:val="P68B1DB1-Normal15"/>
              <w:spacing w:before="0" w:after="0" w:line="240" w:lineRule="auto"/>
              <w:rPr>
                <w:noProof/>
              </w:rPr>
            </w:pPr>
            <w:r>
              <w:rPr>
                <w:noProof/>
              </w:rPr>
              <w:t>Ulaganje 11: Digitalno regulatorno izolirano okruženje u skladu s prioritetima EU-a</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0CD277C3" w14:textId="3D57DC7F" w:rsidR="00615E2D" w:rsidRDefault="00C83E46">
            <w:pPr>
              <w:pStyle w:val="P68B1DB1-Normal15"/>
              <w:spacing w:before="0" w:after="0" w:line="240" w:lineRule="auto"/>
              <w:rPr>
                <w:noProof/>
              </w:rPr>
            </w:pPr>
            <w:r>
              <w:rPr>
                <w:noProof/>
              </w:rPr>
              <w:t>Ciljna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01492C1D" w14:textId="05B08442" w:rsidR="00615E2D" w:rsidRDefault="00C83E46">
            <w:pPr>
              <w:pStyle w:val="P68B1DB1-Normal15"/>
              <w:spacing w:before="0" w:after="0" w:line="240" w:lineRule="auto"/>
              <w:rPr>
                <w:noProof/>
              </w:rPr>
            </w:pPr>
            <w:r>
              <w:rPr>
                <w:noProof/>
              </w:rPr>
              <w:t>Sudionici u izoliranom okruženju koji primaju potporu iz izoliranog okruženja</w:t>
            </w:r>
          </w:p>
        </w:tc>
        <w:tc>
          <w:tcPr>
            <w:tcW w:w="1789" w:type="dxa"/>
            <w:tcBorders>
              <w:top w:val="nil"/>
              <w:left w:val="nil"/>
              <w:bottom w:val="single" w:sz="4" w:space="0" w:color="000000" w:themeColor="text1"/>
              <w:right w:val="single" w:sz="4" w:space="0" w:color="000000" w:themeColor="text1"/>
            </w:tcBorders>
            <w:shd w:val="clear" w:color="auto" w:fill="C6EFCE"/>
            <w:vAlign w:val="center"/>
            <w:hideMark/>
          </w:tcPr>
          <w:p w14:paraId="6F2E17D1" w14:textId="7F80277D"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5654B179" w14:textId="7CC88780" w:rsidR="00615E2D" w:rsidRDefault="00C83E46">
            <w:pPr>
              <w:pStyle w:val="P68B1DB1-Normal15"/>
              <w:spacing w:before="0" w:after="0" w:line="240" w:lineRule="auto"/>
              <w:rPr>
                <w:noProof/>
              </w:rPr>
            </w:pPr>
            <w:r>
              <w:rPr>
                <w:noProof/>
              </w:rPr>
              <w:t>Broj</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0A2960C7" w14:textId="7A288760" w:rsidR="00615E2D" w:rsidRDefault="00C83E46">
            <w:pPr>
              <w:pStyle w:val="P68B1DB1-Normal15"/>
              <w:spacing w:before="0" w:after="0" w:line="240" w:lineRule="auto"/>
              <w:jc w:val="center"/>
              <w:rPr>
                <w:noProof/>
              </w:rPr>
            </w:pPr>
            <w:r>
              <w:rPr>
                <w:noProof/>
              </w:rPr>
              <w:t>0</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70726265" w14:textId="5FCE95B7" w:rsidR="00615E2D" w:rsidRDefault="00C83E46">
            <w:pPr>
              <w:pStyle w:val="P68B1DB1-Normal15"/>
              <w:spacing w:before="0" w:after="0" w:line="240" w:lineRule="auto"/>
              <w:jc w:val="center"/>
              <w:rPr>
                <w:noProof/>
              </w:rPr>
            </w:pPr>
            <w:r>
              <w:rPr>
                <w:noProof/>
              </w:rPr>
              <w:t xml:space="preserve">20 </w:t>
            </w: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6F35AE0E" w14:textId="13528119" w:rsidR="00615E2D" w:rsidRDefault="00C83E46">
            <w:pPr>
              <w:pStyle w:val="P68B1DB1-Normal15"/>
              <w:spacing w:before="0" w:after="0" w:line="240" w:lineRule="auto"/>
              <w:jc w:val="center"/>
              <w:rPr>
                <w:noProof/>
              </w:rPr>
            </w:pPr>
            <w:r>
              <w:rPr>
                <w:noProof/>
              </w:rPr>
              <w:t>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7963488B" w14:textId="369B80A5" w:rsidR="00615E2D" w:rsidRDefault="00C83E46">
            <w:pPr>
              <w:pStyle w:val="P68B1DB1-Normal15"/>
              <w:spacing w:before="0" w:after="0" w:line="240" w:lineRule="auto"/>
              <w:jc w:val="center"/>
              <w:rPr>
                <w:noProof/>
              </w:rPr>
            </w:pPr>
            <w:r>
              <w:rPr>
                <w:noProof/>
              </w:rPr>
              <w:t>2025</w:t>
            </w:r>
          </w:p>
        </w:tc>
        <w:tc>
          <w:tcPr>
            <w:tcW w:w="4104" w:type="dxa"/>
            <w:tcBorders>
              <w:top w:val="nil"/>
              <w:left w:val="nil"/>
              <w:bottom w:val="single" w:sz="4" w:space="0" w:color="000000" w:themeColor="text1"/>
              <w:right w:val="single" w:sz="4" w:space="0" w:color="000000" w:themeColor="text1"/>
            </w:tcBorders>
            <w:shd w:val="clear" w:color="auto" w:fill="C6EFCE"/>
            <w:vAlign w:val="center"/>
            <w:hideMark/>
          </w:tcPr>
          <w:p w14:paraId="70E2E744" w14:textId="3261B973" w:rsidR="00615E2D" w:rsidRDefault="00C83E46">
            <w:pPr>
              <w:pStyle w:val="P68B1DB1-Normal15"/>
              <w:spacing w:before="0" w:after="0" w:line="240" w:lineRule="auto"/>
              <w:rPr>
                <w:noProof/>
              </w:rPr>
            </w:pPr>
            <w:r>
              <w:rPr>
                <w:noProof/>
              </w:rPr>
              <w:t xml:space="preserve">Broj poduzeća u reguliranim sektorima kao što su financijska tehnologija, čiji su projekti i proizvodi testirani u digitalnim regulatornim izoliranim okruženjima. </w:t>
            </w:r>
          </w:p>
        </w:tc>
      </w:tr>
      <w:tr w:rsidR="00615E2D" w14:paraId="6BCDEE85" w14:textId="77777777">
        <w:trPr>
          <w:trHeight w:val="309"/>
          <w:jc w:val="center"/>
        </w:trPr>
        <w:tc>
          <w:tcPr>
            <w:tcW w:w="651" w:type="dxa"/>
            <w:tcBorders>
              <w:top w:val="nil"/>
              <w:left w:val="single" w:sz="4" w:space="0" w:color="000000" w:themeColor="text1"/>
              <w:bottom w:val="single" w:sz="4" w:space="0" w:color="000000" w:themeColor="text1"/>
              <w:right w:val="single" w:sz="4" w:space="0" w:color="000000" w:themeColor="text1"/>
            </w:tcBorders>
            <w:shd w:val="clear" w:color="auto" w:fill="C6EFCE"/>
            <w:vAlign w:val="center"/>
            <w:hideMark/>
          </w:tcPr>
          <w:p w14:paraId="6282AFA2" w14:textId="77777777" w:rsidR="00615E2D" w:rsidRDefault="00C83E46">
            <w:pPr>
              <w:pStyle w:val="P68B1DB1-Normal15"/>
              <w:spacing w:before="0" w:after="0" w:line="240" w:lineRule="auto"/>
              <w:jc w:val="center"/>
              <w:rPr>
                <w:noProof/>
              </w:rPr>
            </w:pPr>
            <w:r>
              <w:rPr>
                <w:noProof/>
              </w:rPr>
              <w:t>66</w:t>
            </w:r>
          </w:p>
        </w:tc>
        <w:tc>
          <w:tcPr>
            <w:tcW w:w="1617" w:type="dxa"/>
            <w:tcBorders>
              <w:top w:val="nil"/>
              <w:left w:val="nil"/>
              <w:bottom w:val="single" w:sz="4" w:space="0" w:color="000000" w:themeColor="text1"/>
              <w:right w:val="single" w:sz="4" w:space="0" w:color="000000" w:themeColor="text1"/>
            </w:tcBorders>
            <w:shd w:val="clear" w:color="auto" w:fill="C6EFCE"/>
            <w:vAlign w:val="center"/>
            <w:hideMark/>
          </w:tcPr>
          <w:p w14:paraId="4A98B2DE" w14:textId="77777777" w:rsidR="00615E2D" w:rsidRDefault="00C83E46">
            <w:pPr>
              <w:pStyle w:val="P68B1DB1-Normal15"/>
              <w:spacing w:before="0" w:after="0" w:line="240" w:lineRule="auto"/>
              <w:rPr>
                <w:noProof/>
              </w:rPr>
            </w:pPr>
            <w:r>
              <w:rPr>
                <w:noProof/>
              </w:rPr>
              <w:t>Ulaganje 12: Izgradnja kvantne komunikacijske infrastrukture</w:t>
            </w:r>
          </w:p>
        </w:tc>
        <w:tc>
          <w:tcPr>
            <w:tcW w:w="1134" w:type="dxa"/>
            <w:tcBorders>
              <w:top w:val="nil"/>
              <w:left w:val="nil"/>
              <w:bottom w:val="single" w:sz="4" w:space="0" w:color="000000" w:themeColor="text1"/>
              <w:right w:val="single" w:sz="4" w:space="0" w:color="000000" w:themeColor="text1"/>
            </w:tcBorders>
            <w:shd w:val="clear" w:color="auto" w:fill="C6EFCE"/>
            <w:vAlign w:val="center"/>
            <w:hideMark/>
          </w:tcPr>
          <w:p w14:paraId="5F12C065" w14:textId="77777777" w:rsidR="00615E2D" w:rsidRDefault="00C83E46">
            <w:pPr>
              <w:pStyle w:val="P68B1DB1-Normal15"/>
              <w:spacing w:before="0" w:after="0" w:line="240" w:lineRule="auto"/>
              <w:rPr>
                <w:noProof/>
              </w:rPr>
            </w:pPr>
            <w:r>
              <w:rPr>
                <w:noProof/>
              </w:rPr>
              <w:t>Prekretnica</w:t>
            </w:r>
          </w:p>
        </w:tc>
        <w:tc>
          <w:tcPr>
            <w:tcW w:w="1538" w:type="dxa"/>
            <w:tcBorders>
              <w:top w:val="nil"/>
              <w:left w:val="nil"/>
              <w:bottom w:val="single" w:sz="4" w:space="0" w:color="000000" w:themeColor="text1"/>
              <w:right w:val="single" w:sz="4" w:space="0" w:color="000000" w:themeColor="text1"/>
            </w:tcBorders>
            <w:shd w:val="clear" w:color="auto" w:fill="C6EFCE"/>
            <w:vAlign w:val="center"/>
            <w:hideMark/>
          </w:tcPr>
          <w:p w14:paraId="6D6BC30C" w14:textId="77777777" w:rsidR="00615E2D" w:rsidRDefault="00C83E46">
            <w:pPr>
              <w:pStyle w:val="P68B1DB1-Normal15"/>
              <w:spacing w:before="0" w:after="0" w:line="240" w:lineRule="auto"/>
              <w:rPr>
                <w:noProof/>
              </w:rPr>
            </w:pPr>
            <w:r>
              <w:rPr>
                <w:noProof/>
              </w:rPr>
              <w:t>Završetak faze izgradnje i pilot-operacijske faze optičke kvantne mreže</w:t>
            </w:r>
          </w:p>
        </w:tc>
        <w:tc>
          <w:tcPr>
            <w:tcW w:w="1789" w:type="dxa"/>
            <w:tcBorders>
              <w:top w:val="nil"/>
              <w:left w:val="nil"/>
              <w:bottom w:val="single" w:sz="4" w:space="0" w:color="000000" w:themeColor="text1"/>
              <w:right w:val="single" w:sz="4" w:space="0" w:color="000000" w:themeColor="text1"/>
            </w:tcBorders>
            <w:shd w:val="clear" w:color="auto" w:fill="C6EFCE"/>
            <w:vAlign w:val="center"/>
          </w:tcPr>
          <w:p w14:paraId="5A2693D3" w14:textId="77777777" w:rsidR="00615E2D" w:rsidRDefault="00C83E46">
            <w:pPr>
              <w:pStyle w:val="P68B1DB1-Normal16"/>
              <w:spacing w:before="0" w:after="0" w:line="240" w:lineRule="auto"/>
              <w:rPr>
                <w:noProof/>
              </w:rPr>
            </w:pPr>
            <w:r>
              <w:rPr>
                <w:rFonts w:eastAsia="Times New Roman"/>
                <w:noProof/>
              </w:rPr>
              <w:t xml:space="preserve">Infrastruktura je operativna, a testiranje su dokumentirala i odobrila nadležna tijela (Ministarstvo industrije i trgovine, Ministarstvo obrane, </w:t>
            </w:r>
            <w:r>
              <w:rPr>
                <w:noProof/>
              </w:rPr>
              <w:t>Nacionalni ured za kibersigurnost i informacijsku sigurnost (NÚKIB))</w:t>
            </w: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501F838" w14:textId="77777777" w:rsidR="00615E2D" w:rsidRDefault="00615E2D">
            <w:pPr>
              <w:spacing w:before="0" w:after="0" w:line="240" w:lineRule="auto"/>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079C4BC6" w14:textId="77777777" w:rsidR="00615E2D" w:rsidRDefault="00615E2D">
            <w:pPr>
              <w:spacing w:before="0" w:after="0" w:line="240" w:lineRule="auto"/>
              <w:jc w:val="center"/>
              <w:rPr>
                <w:rFonts w:eastAsia="Times New Roman"/>
                <w:noProof/>
                <w:color w:val="004300"/>
                <w:sz w:val="18"/>
              </w:rPr>
            </w:pPr>
          </w:p>
        </w:tc>
        <w:tc>
          <w:tcPr>
            <w:tcW w:w="1034" w:type="dxa"/>
            <w:tcBorders>
              <w:top w:val="nil"/>
              <w:left w:val="nil"/>
              <w:bottom w:val="single" w:sz="4" w:space="0" w:color="000000" w:themeColor="text1"/>
              <w:right w:val="single" w:sz="4" w:space="0" w:color="000000" w:themeColor="text1"/>
            </w:tcBorders>
            <w:shd w:val="clear" w:color="auto" w:fill="C6EFCE"/>
            <w:vAlign w:val="center"/>
            <w:hideMark/>
          </w:tcPr>
          <w:p w14:paraId="12138CBA" w14:textId="77777777" w:rsidR="00615E2D" w:rsidRDefault="00615E2D">
            <w:pPr>
              <w:spacing w:before="0" w:after="0" w:line="240" w:lineRule="auto"/>
              <w:jc w:val="center"/>
              <w:rPr>
                <w:rFonts w:eastAsia="Times New Roman"/>
                <w:noProof/>
                <w:color w:val="004300"/>
                <w:sz w:val="18"/>
              </w:rPr>
            </w:pPr>
          </w:p>
        </w:tc>
        <w:tc>
          <w:tcPr>
            <w:tcW w:w="1021" w:type="dxa"/>
            <w:tcBorders>
              <w:top w:val="nil"/>
              <w:left w:val="nil"/>
              <w:bottom w:val="single" w:sz="4" w:space="0" w:color="000000" w:themeColor="text1"/>
              <w:right w:val="single" w:sz="4" w:space="0" w:color="000000" w:themeColor="text1"/>
            </w:tcBorders>
            <w:shd w:val="clear" w:color="auto" w:fill="C6EFCE"/>
            <w:vAlign w:val="center"/>
            <w:hideMark/>
          </w:tcPr>
          <w:p w14:paraId="130A6BFA" w14:textId="77777777" w:rsidR="00615E2D" w:rsidRDefault="00C83E46">
            <w:pPr>
              <w:pStyle w:val="P68B1DB1-Normal15"/>
              <w:spacing w:before="0" w:after="0" w:line="240" w:lineRule="auto"/>
              <w:jc w:val="center"/>
              <w:rPr>
                <w:noProof/>
              </w:rPr>
            </w:pPr>
            <w:r>
              <w:rPr>
                <w:noProof/>
              </w:rPr>
              <w:t>ČETVRTO TROMJESEČJE</w:t>
            </w:r>
          </w:p>
        </w:tc>
        <w:tc>
          <w:tcPr>
            <w:tcW w:w="655" w:type="dxa"/>
            <w:tcBorders>
              <w:top w:val="nil"/>
              <w:left w:val="nil"/>
              <w:bottom w:val="single" w:sz="4" w:space="0" w:color="000000" w:themeColor="text1"/>
              <w:right w:val="single" w:sz="4" w:space="0" w:color="000000" w:themeColor="text1"/>
            </w:tcBorders>
            <w:shd w:val="clear" w:color="auto" w:fill="C6EFCE"/>
            <w:vAlign w:val="center"/>
            <w:hideMark/>
          </w:tcPr>
          <w:p w14:paraId="11DD1656" w14:textId="77777777" w:rsidR="00615E2D" w:rsidRDefault="00C83E46">
            <w:pPr>
              <w:pStyle w:val="P68B1DB1-Normal15"/>
              <w:spacing w:before="0" w:after="0" w:line="240" w:lineRule="auto"/>
              <w:jc w:val="center"/>
              <w:rPr>
                <w:noProof/>
              </w:rPr>
            </w:pPr>
            <w:r>
              <w:rPr>
                <w:noProof/>
              </w:rPr>
              <w:t>2025</w:t>
            </w:r>
          </w:p>
        </w:tc>
        <w:tc>
          <w:tcPr>
            <w:tcW w:w="4104" w:type="dxa"/>
            <w:tcBorders>
              <w:top w:val="nil"/>
              <w:left w:val="nil"/>
              <w:bottom w:val="single" w:sz="4" w:space="0" w:color="000000" w:themeColor="text1"/>
              <w:right w:val="single" w:sz="4" w:space="0" w:color="000000" w:themeColor="text1"/>
            </w:tcBorders>
            <w:shd w:val="clear" w:color="auto" w:fill="C6EFCE"/>
            <w:vAlign w:val="center"/>
          </w:tcPr>
          <w:p w14:paraId="69AEA3C7" w14:textId="77777777" w:rsidR="00615E2D" w:rsidRDefault="00C83E46">
            <w:pPr>
              <w:pStyle w:val="P68B1DB1-Normal15"/>
              <w:spacing w:before="0" w:after="0" w:line="240" w:lineRule="auto"/>
              <w:rPr>
                <w:noProof/>
              </w:rPr>
            </w:pPr>
            <w:r>
              <w:rPr>
                <w:noProof/>
              </w:rPr>
              <w:t>Ključna etapa uključuje: stvaranje optičkih priključaka između Praga, Brna i Ostrave, ukupne optičke duljine 400 km, 6 kvantnih ključeva (QKD) segmenta; provedba dviju sekundarnih velegradskih grana koje se temelje na komercijalnoj opremi QKD-a i dviju sekundarnih velegradskih grana na temelju eksperimentalnog skupa QKD-ova; kupnja i planiranje mobilnih sekundarnih podružnica; ispitivanje integracije kvantne komunikacije postojećih telekomunikacijskih tehnologija; i testiranje triju slučajeva upotrebe specifičnih za vojna područja.</w:t>
            </w:r>
          </w:p>
        </w:tc>
      </w:tr>
    </w:tbl>
    <w:p w14:paraId="178C32FD" w14:textId="77777777" w:rsidR="00615E2D" w:rsidRDefault="00615E2D">
      <w:pPr>
        <w:keepNext/>
        <w:tabs>
          <w:tab w:val="left" w:pos="850"/>
        </w:tabs>
        <w:spacing w:before="360" w:line="240" w:lineRule="auto"/>
        <w:jc w:val="both"/>
        <w:outlineLvl w:val="0"/>
        <w:rPr>
          <w:b/>
          <w:smallCaps/>
          <w:noProof/>
        </w:rPr>
        <w:sectPr w:rsidR="00615E2D" w:rsidSect="001932DE">
          <w:headerReference w:type="even" r:id="rId84"/>
          <w:headerReference w:type="default" r:id="rId85"/>
          <w:footerReference w:type="even" r:id="rId86"/>
          <w:footerReference w:type="default" r:id="rId87"/>
          <w:headerReference w:type="first" r:id="rId88"/>
          <w:footerReference w:type="first" r:id="rId89"/>
          <w:pgSz w:w="16838" w:h="11906" w:orient="landscape" w:code="9"/>
          <w:pgMar w:top="1134" w:right="1134" w:bottom="1134" w:left="1134" w:header="567" w:footer="567" w:gutter="0"/>
          <w:cols w:space="720"/>
          <w:docGrid w:linePitch="360"/>
        </w:sectPr>
      </w:pPr>
    </w:p>
    <w:p w14:paraId="27D63FE3" w14:textId="0E58FD59" w:rsidR="00615E2D" w:rsidRDefault="00C83E46">
      <w:pPr>
        <w:pStyle w:val="P68B1DB1-Normal5"/>
        <w:spacing w:line="240" w:lineRule="auto"/>
        <w:jc w:val="both"/>
        <w:rPr>
          <w:noProof/>
        </w:rPr>
      </w:pPr>
      <w:r>
        <w:rPr>
          <w:noProof/>
        </w:rPr>
        <w:t xml:space="preserve">D.3. Opis reformi i ulaganja za zajam </w:t>
      </w:r>
    </w:p>
    <w:p w14:paraId="615DBEAE" w14:textId="47FB780F" w:rsidR="00615E2D" w:rsidRDefault="00C83E46">
      <w:pPr>
        <w:pStyle w:val="P68B1DB1-Normal7"/>
        <w:spacing w:line="240" w:lineRule="auto"/>
        <w:jc w:val="both"/>
        <w:rPr>
          <w:noProof/>
        </w:rPr>
      </w:pPr>
      <w:r>
        <w:rPr>
          <w:noProof/>
        </w:rPr>
        <w:t>Ulaganje 13 – Fond za razvoj strateških tehnologija</w:t>
      </w:r>
    </w:p>
    <w:p w14:paraId="73E2A1FE" w14:textId="7F2C2273" w:rsidR="00615E2D" w:rsidRDefault="00C83E46">
      <w:pPr>
        <w:spacing w:line="240" w:lineRule="auto"/>
        <w:jc w:val="both"/>
        <w:rPr>
          <w:noProof/>
        </w:rPr>
      </w:pPr>
      <w:r>
        <w:rPr>
          <w:noProof/>
        </w:rPr>
        <w:t xml:space="preserve">Ta se mjera sastoji od </w:t>
      </w:r>
      <w:r>
        <w:rPr>
          <w:rFonts w:eastAsia="@MS Mincho"/>
          <w:noProof/>
        </w:rPr>
        <w:t>javnog ulaganja</w:t>
      </w:r>
      <w:r>
        <w:rPr>
          <w:noProof/>
        </w:rPr>
        <w:t xml:space="preserve"> u instrument </w:t>
      </w:r>
      <w:r>
        <w:rPr>
          <w:rFonts w:eastAsia="@MS Mincho"/>
          <w:noProof/>
        </w:rPr>
        <w:t>kako bi se potaknula privatna ulaganja i poboljšao pristup financiranju u</w:t>
      </w:r>
      <w:r>
        <w:rPr>
          <w:noProof/>
        </w:rPr>
        <w:t xml:space="preserve"> češkom sektoru strateških tehnologija radi razvoja tržišta kapitala u tom području. Instrument djeluje pružanjem financijskih sredstava privatnom sektoru putem posrednika. Na temelju ulaganja iz Mehanizma za oporavak i otpornost, cilj je Mehanizma prvotno osigurati financiranje u iznosu od najmanje 80 000 000 EUR.</w:t>
      </w:r>
    </w:p>
    <w:p w14:paraId="586D8276" w14:textId="40349E8C" w:rsidR="00615E2D" w:rsidRDefault="00C83E46">
      <w:pPr>
        <w:spacing w:line="240" w:lineRule="auto"/>
        <w:jc w:val="both"/>
        <w:rPr>
          <w:noProof/>
        </w:rPr>
      </w:pPr>
      <w:r>
        <w:rPr>
          <w:noProof/>
        </w:rPr>
        <w:t>Instrumentom upravlja Europski investicijski fond (EIF) kao partner u provedbi. Instrument uključuje sljedeću proizvodnu liniju:</w:t>
      </w:r>
    </w:p>
    <w:p w14:paraId="15944154" w14:textId="1F0260A9" w:rsidR="00615E2D" w:rsidRDefault="00C83E46">
      <w:pPr>
        <w:pStyle w:val="P68B1DB1-ListParagraph23"/>
        <w:numPr>
          <w:ilvl w:val="0"/>
          <w:numId w:val="350"/>
        </w:numPr>
        <w:spacing w:line="240" w:lineRule="auto"/>
        <w:jc w:val="both"/>
        <w:rPr>
          <w:noProof/>
        </w:rPr>
      </w:pPr>
      <w:r>
        <w:rPr>
          <w:noProof/>
        </w:rPr>
        <w:t>Financiranje sredstvima kojima se ulaže u društva koja posluju u različitim područjima za koja se smatra da su od strateške važnosti za Češku uz digitalne tehnologije predviđene u okviru ulaganja 9. To može uključivati, ali ne ograničavajući se na sektore kao što su energetika, održivost, čiste tehnologije, industrijske tehnologije kao što su robotika, automatizacija ili napredni materijali, poluvodiči, biološke znanosti, biotehnologije te svemirske tehnologije ili tehnologije s dvojnom namjenom.</w:t>
      </w:r>
    </w:p>
    <w:p w14:paraId="1E6F7C84" w14:textId="77777777" w:rsidR="00615E2D" w:rsidRDefault="00C83E46">
      <w:pPr>
        <w:spacing w:line="240" w:lineRule="auto"/>
        <w:jc w:val="both"/>
        <w:rPr>
          <w:noProof/>
        </w:rPr>
      </w:pPr>
      <w:r>
        <w:rPr>
          <w:noProof/>
        </w:rPr>
        <w:t>Kako bi proveli ulaganje u Instrument, Češka i EIF potpisuju provedbeni sporazum koji sadržava sljedeći sadržaj:</w:t>
      </w:r>
    </w:p>
    <w:p w14:paraId="36089152" w14:textId="77777777" w:rsidR="00615E2D" w:rsidRDefault="00C83E46">
      <w:pPr>
        <w:pStyle w:val="LegalNumPar"/>
        <w:numPr>
          <w:ilvl w:val="0"/>
          <w:numId w:val="369"/>
        </w:numPr>
        <w:jc w:val="both"/>
        <w:rPr>
          <w:rFonts w:ascii="Times New Roman" w:eastAsia="Times New Roman" w:hAnsi="Times New Roman" w:cs="Times New Roman"/>
          <w:noProof/>
          <w:sz w:val="24"/>
        </w:rPr>
      </w:pPr>
      <w:r>
        <w:rPr>
          <w:rFonts w:ascii="Times New Roman" w:hAnsi="Times New Roman" w:cs="Times New Roman"/>
          <w:noProof/>
          <w:sz w:val="24"/>
        </w:rPr>
        <w:t>Opis postupka donošenja odluka u okviru Instrumenta: Konačnu odluku o ulaganju Instrumenta donosi odbor za ulaganja ili drugo odgovarajuće upravljačko tijelo, a odobrava se većinom glasova članova koji su neovisni o vladi</w:t>
      </w:r>
      <w:r>
        <w:rPr>
          <w:rFonts w:cs="Times New Roman"/>
          <w:noProof/>
        </w:rPr>
        <w:t>.</w:t>
      </w:r>
    </w:p>
    <w:p w14:paraId="01BBC791" w14:textId="77777777" w:rsidR="00615E2D" w:rsidRDefault="00C83E46">
      <w:pPr>
        <w:pStyle w:val="P68B1DB1-LegalNumPar24"/>
        <w:numPr>
          <w:ilvl w:val="0"/>
          <w:numId w:val="369"/>
        </w:numPr>
        <w:jc w:val="both"/>
        <w:rPr>
          <w:noProof/>
        </w:rPr>
      </w:pPr>
      <w:r>
        <w:rPr>
          <w:noProof/>
        </w:rPr>
        <w:t>Ključni zahtjevi povezane investicijske politike,</w:t>
      </w:r>
      <w:r>
        <w:rPr>
          <w:b/>
          <w:noProof/>
        </w:rPr>
        <w:t xml:space="preserve"> </w:t>
      </w:r>
      <w:r>
        <w:rPr>
          <w:noProof/>
        </w:rPr>
        <w:t>koji uključuju:</w:t>
      </w:r>
    </w:p>
    <w:p w14:paraId="1BE3B1D0" w14:textId="723ACEE0" w:rsidR="00615E2D" w:rsidRDefault="00C83E46">
      <w:pPr>
        <w:pStyle w:val="LegalNumPar2"/>
        <w:numPr>
          <w:ilvl w:val="0"/>
          <w:numId w:val="370"/>
        </w:numPr>
        <w:jc w:val="both"/>
        <w:rPr>
          <w:rFonts w:ascii="Times New Roman" w:hAnsi="Times New Roman" w:cs="Times New Roman"/>
          <w:noProof/>
          <w:sz w:val="24"/>
        </w:rPr>
      </w:pPr>
      <w:r>
        <w:rPr>
          <w:rFonts w:ascii="Times New Roman" w:hAnsi="Times New Roman" w:cs="Times New Roman"/>
          <w:noProof/>
          <w:sz w:val="24"/>
        </w:rPr>
        <w:t>Opis financijskog proizvoda i prihvatljivih krajnjih korisnika</w:t>
      </w:r>
      <w:r>
        <w:rPr>
          <w:rStyle w:val="FootnoteReference"/>
          <w:rFonts w:cs="Times New Roman"/>
          <w:noProof/>
        </w:rPr>
        <w:footnoteReference w:id="8"/>
      </w:r>
      <w:r>
        <w:rPr>
          <w:rFonts w:ascii="Times New Roman" w:hAnsi="Times New Roman" w:cs="Times New Roman"/>
          <w:noProof/>
          <w:sz w:val="24"/>
        </w:rPr>
        <w:t>.</w:t>
      </w:r>
    </w:p>
    <w:p w14:paraId="09292B85" w14:textId="77777777" w:rsidR="00615E2D" w:rsidRDefault="00C83E46">
      <w:pPr>
        <w:pStyle w:val="P68B1DB1-LegalNumPar225"/>
        <w:numPr>
          <w:ilvl w:val="0"/>
          <w:numId w:val="370"/>
        </w:numPr>
        <w:jc w:val="both"/>
        <w:rPr>
          <w:noProof/>
        </w:rPr>
      </w:pPr>
      <w:r>
        <w:rPr>
          <w:noProof/>
        </w:rPr>
        <w:t>Zahtjev da su sva ulaganja koja primaju potporu gospodarski održiva.</w:t>
      </w:r>
    </w:p>
    <w:p w14:paraId="0B774537" w14:textId="7834D243" w:rsidR="00615E2D" w:rsidRDefault="00C83E46">
      <w:pPr>
        <w:pStyle w:val="P68B1DB1-LegalNumPar225"/>
        <w:numPr>
          <w:ilvl w:val="0"/>
          <w:numId w:val="370"/>
        </w:numPr>
        <w:jc w:val="both"/>
        <w:rPr>
          <w:noProof/>
        </w:rPr>
      </w:pPr>
      <w:r>
        <w:rPr>
          <w:noProof/>
        </w:rPr>
        <w:t>Zahtjev za poštovanje načela „ne nanosi bitnu štetu” kako je utvrđeno u Tehničkim smjernicama o primjeni načela nenanošenja bitne štete (2021/C58/01). Konkretno, u slučaju opće potpore poduzećima, investicijska politika isključuje poduzeća koja su</w:t>
      </w:r>
      <w:r>
        <w:rPr>
          <w:noProof/>
        </w:rPr>
        <w:footnoteReference w:id="9"/>
      </w:r>
      <w:r>
        <w:rPr>
          <w:noProof/>
        </w:rPr>
        <w:t xml:space="preserve"> u znatnoj mjeri usmjerena na sljedeće sektore: i. proizvodnju energije na temelju fosilnih goriva i povezane djelatnosti</w:t>
      </w:r>
      <w:r>
        <w:rPr>
          <w:noProof/>
        </w:rPr>
        <w:footnoteReference w:id="10"/>
      </w:r>
      <w:r>
        <w:rPr>
          <w:noProof/>
        </w:rPr>
        <w:t>; ii. energetski intenzivne industrije i/ili industrije s visokim emisijama CO2</w:t>
      </w:r>
      <w:r>
        <w:rPr>
          <w:noProof/>
        </w:rPr>
        <w:footnoteReference w:id="11"/>
      </w:r>
      <w:r>
        <w:rPr>
          <w:noProof/>
        </w:rPr>
        <w:t>; iii. proizvodnja, najam ili prodaja vozila koja onečišćuju okoliš</w:t>
      </w:r>
      <w:r>
        <w:rPr>
          <w:noProof/>
        </w:rPr>
        <w:footnoteReference w:id="12"/>
      </w:r>
      <w:r>
        <w:rPr>
          <w:noProof/>
        </w:rPr>
        <w:t>; iv. skupljanje, obrada i odlaganje otpada</w:t>
      </w:r>
      <w:r>
        <w:rPr>
          <w:noProof/>
        </w:rPr>
        <w:footnoteReference w:id="13"/>
      </w:r>
      <w:r>
        <w:rPr>
          <w:noProof/>
        </w:rPr>
        <w:t>, v. prerada nuklearnog goriva, proizvodnja nuklearne energije. Nadalje, politikom ulaganja zahtijeva se usklađenost</w:t>
      </w:r>
      <w:r>
        <w:rPr>
          <w:b/>
          <w:noProof/>
        </w:rPr>
        <w:t xml:space="preserve"> </w:t>
      </w:r>
      <w:r>
        <w:rPr>
          <w:noProof/>
        </w:rPr>
        <w:t>s relevantnim zakonodavstvom EU-a i nacionalnim zakonodavstvom o okolišu krajnjih korisnika Instrumenta.</w:t>
      </w:r>
    </w:p>
    <w:p w14:paraId="79A715C9" w14:textId="77777777" w:rsidR="00615E2D" w:rsidRDefault="00C83E46">
      <w:pPr>
        <w:pStyle w:val="P68B1DB1-LegalNumPar225"/>
        <w:numPr>
          <w:ilvl w:val="0"/>
          <w:numId w:val="370"/>
        </w:numPr>
        <w:jc w:val="both"/>
        <w:rPr>
          <w:noProof/>
        </w:rPr>
      </w:pPr>
      <w:r>
        <w:rPr>
          <w:noProof/>
        </w:rPr>
        <w:t>Zahtjev da krajnji korisnici Instrumenta ne primaju potporu iz drugih instrumenata Unije za pokrivanje istih troškova.</w:t>
      </w:r>
    </w:p>
    <w:p w14:paraId="19FBB2D0" w14:textId="77777777" w:rsidR="00615E2D" w:rsidRDefault="00C83E46">
      <w:pPr>
        <w:pStyle w:val="P68B1DB1-LegalNumPar24"/>
        <w:numPr>
          <w:ilvl w:val="0"/>
          <w:numId w:val="369"/>
        </w:numPr>
        <w:jc w:val="both"/>
        <w:rPr>
          <w:noProof/>
        </w:rPr>
      </w:pPr>
      <w:r>
        <w:rPr>
          <w:noProof/>
        </w:rPr>
        <w:t>Iznos obuhvaćen provedbenim sporazumom, strukturu naknada za partnera u provedbi i zahtjev za ponovno ulaganje svih vraćenih sredstava u skladu s politikom ulaganja Instrumenta.</w:t>
      </w:r>
    </w:p>
    <w:p w14:paraId="68079387" w14:textId="77777777" w:rsidR="00615E2D" w:rsidRDefault="00C83E46">
      <w:pPr>
        <w:pStyle w:val="P68B1DB1-LegalNumPar24"/>
        <w:numPr>
          <w:ilvl w:val="0"/>
          <w:numId w:val="369"/>
        </w:numPr>
        <w:jc w:val="both"/>
        <w:rPr>
          <w:noProof/>
        </w:rPr>
      </w:pPr>
      <w:r>
        <w:rPr>
          <w:noProof/>
        </w:rPr>
        <w:t>Zahtjevi u pogledu praćenja, revizije i kontrole, uključujući:</w:t>
      </w:r>
    </w:p>
    <w:p w14:paraId="05B38434" w14:textId="77777777" w:rsidR="00615E2D" w:rsidRDefault="00C83E46">
      <w:pPr>
        <w:pStyle w:val="P68B1DB1-LegalNumPar225"/>
        <w:numPr>
          <w:ilvl w:val="0"/>
          <w:numId w:val="371"/>
        </w:numPr>
        <w:ind w:left="1560"/>
        <w:jc w:val="both"/>
        <w:rPr>
          <w:noProof/>
        </w:rPr>
      </w:pPr>
      <w:r>
        <w:rPr>
          <w:noProof/>
        </w:rPr>
        <w:t>Obvezu provjere prihvatljivosti svake operacije u skladu sa zahtjevima utvrđenima u provedbenom sporazumu prije preuzimanja obveze financiranja operacije.</w:t>
      </w:r>
    </w:p>
    <w:p w14:paraId="52E3706B" w14:textId="51B12903" w:rsidR="00615E2D" w:rsidRDefault="00C83E46">
      <w:pPr>
        <w:pStyle w:val="P68B1DB1-LegalNumPar225"/>
        <w:numPr>
          <w:ilvl w:val="0"/>
          <w:numId w:val="371"/>
        </w:numPr>
        <w:ind w:left="1560"/>
        <w:jc w:val="both"/>
        <w:rPr>
          <w:noProof/>
        </w:rPr>
      </w:pPr>
      <w:r>
        <w:rPr>
          <w:noProof/>
        </w:rPr>
        <w:t>Obveza provođenja ex post revizija na temelju rizika u skladu s revizijskim planom EIF-a. Tim se revizijama provjerava i. jesu li sustavi kontrole djelotvorni, uključujući otkrivanje prijevara, korupcije i sukoba interesa; i. usklađenost s načelom nenanošenja bitne štete i pravilima o državnim potporama; i iii. da se poštuje zahtjev da krajnji korisnici Instrumenta nisu primili potporu iz drugih instrumenata Unije za pokrivanje istih troškova. Revizijama se također provjerava zakonitost transakcija te poštuju li se uvjeti primjenjivog sporazuma o provedbi i sporazuma o financiranju.</w:t>
      </w:r>
    </w:p>
    <w:p w14:paraId="7A5C952E" w14:textId="77777777" w:rsidR="00615E2D" w:rsidRDefault="00C83E46">
      <w:pPr>
        <w:pStyle w:val="P68B1DB1-LegalNumPar225"/>
        <w:numPr>
          <w:ilvl w:val="0"/>
          <w:numId w:val="371"/>
        </w:numPr>
        <w:ind w:left="1560"/>
        <w:jc w:val="both"/>
        <w:rPr>
          <w:noProof/>
        </w:rPr>
      </w:pPr>
      <w:r>
        <w:rPr>
          <w:noProof/>
        </w:rPr>
        <w:t>Obveza EIF-a da Ministarstvu financija Češke dostavi godišnje izvješće o reviziji koje sastavljaju njegovi vanjski revizori.</w:t>
      </w:r>
    </w:p>
    <w:p w14:paraId="4CD3FD85" w14:textId="77777777" w:rsidR="00615E2D" w:rsidRDefault="00C83E46">
      <w:pPr>
        <w:pStyle w:val="P68B1DB1-LegalNumPar24"/>
        <w:pageBreakBefore/>
        <w:numPr>
          <w:ilvl w:val="0"/>
          <w:numId w:val="369"/>
        </w:numPr>
        <w:ind w:left="714" w:hanging="357"/>
        <w:jc w:val="both"/>
        <w:rPr>
          <w:noProof/>
        </w:rPr>
      </w:pPr>
      <w:r>
        <w:rPr>
          <w:b/>
          <w:noProof/>
        </w:rPr>
        <w:t>Zahtjevi za odabir financijskih posrednika</w:t>
      </w:r>
      <w:r>
        <w:rPr>
          <w:noProof/>
        </w:rPr>
        <w:t xml:space="preserve">: EIF odabire financijske posrednike na otvoren, transparentan i nediskriminirajući način. Kontrole u slučaju nepostojanja sukoba interesa financijskih posrednika provode se ex ante za sve uključene financijske izvršitelje. </w:t>
      </w:r>
    </w:p>
    <w:p w14:paraId="7BB1C23C" w14:textId="3E2CF1B7" w:rsidR="00615E2D" w:rsidRDefault="00C83E46">
      <w:pPr>
        <w:pStyle w:val="P68B1DB1-LegalNumPar24"/>
        <w:numPr>
          <w:ilvl w:val="0"/>
          <w:numId w:val="369"/>
        </w:numPr>
        <w:jc w:val="both"/>
        <w:rPr>
          <w:noProof/>
        </w:rPr>
      </w:pPr>
      <w:r>
        <w:rPr>
          <w:b/>
          <w:noProof/>
        </w:rPr>
        <w:t>Zahtjev za potpisivanje sporazuma o financiranju</w:t>
      </w:r>
      <w:r>
        <w:rPr>
          <w:noProof/>
        </w:rPr>
        <w:t>: EIF potpisuje sporazume o financiranju s financijskim posrednicima u skladu s ključnim zahtjevima koji se navode u provedbenom sporazumu. Ključni zahtjevi Sporazuma o financiranju uključuju sve zahtjeve na temelju kojih Instrument djeluje, uključujući:</w:t>
      </w:r>
    </w:p>
    <w:p w14:paraId="6D757FB7" w14:textId="77777777" w:rsidR="00615E2D" w:rsidRDefault="00C83E46">
      <w:pPr>
        <w:pStyle w:val="P68B1DB1-LegalNumPar225"/>
        <w:numPr>
          <w:ilvl w:val="0"/>
          <w:numId w:val="372"/>
        </w:numPr>
        <w:jc w:val="both"/>
        <w:rPr>
          <w:noProof/>
        </w:rPr>
      </w:pPr>
      <w:r>
        <w:rPr>
          <w:noProof/>
        </w:rPr>
        <w:t xml:space="preserve">Obveza financijskog posrednika da svoje odluke donosi </w:t>
      </w:r>
      <w:r>
        <w:rPr>
          <w:i/>
          <w:noProof/>
        </w:rPr>
        <w:t>mutatis mutandis</w:t>
      </w:r>
      <w:r>
        <w:rPr>
          <w:noProof/>
        </w:rPr>
        <w:t xml:space="preserve"> u skladu s prethodno navedenim zahtjevima u pogledu donošenja odluka i politike ulaganja, među ostalim u vezi s poštovanjem načela nenanošenja bitne štete.</w:t>
      </w:r>
    </w:p>
    <w:p w14:paraId="4FB17C80" w14:textId="77777777" w:rsidR="00615E2D" w:rsidRDefault="00C83E46">
      <w:pPr>
        <w:pStyle w:val="P68B1DB1-LegalNumPar225"/>
        <w:numPr>
          <w:ilvl w:val="0"/>
          <w:numId w:val="372"/>
        </w:numPr>
        <w:jc w:val="both"/>
        <w:rPr>
          <w:noProof/>
        </w:rPr>
      </w:pPr>
      <w:r>
        <w:rPr>
          <w:noProof/>
        </w:rPr>
        <w:t xml:space="preserve">Opis okvira za praćenje, reviziju i kontrolu koji uspostavlja financijski posrednik, a koji </w:t>
      </w:r>
      <w:r>
        <w:rPr>
          <w:i/>
          <w:noProof/>
        </w:rPr>
        <w:t>mutatis mutandis</w:t>
      </w:r>
      <w:r>
        <w:rPr>
          <w:noProof/>
        </w:rPr>
        <w:t xml:space="preserve"> podliježe svim prethodno navedenim zahtjevima za praćenje, reviziju i kontrolu. </w:t>
      </w:r>
    </w:p>
    <w:p w14:paraId="67021F6D" w14:textId="77777777" w:rsidR="00615E2D" w:rsidRDefault="00C83E46">
      <w:pPr>
        <w:pStyle w:val="P68B1DB1-Normal13"/>
        <w:spacing w:before="0" w:after="160" w:line="240" w:lineRule="auto"/>
        <w:jc w:val="both"/>
        <w:rPr>
          <w:noProof/>
        </w:rPr>
      </w:pPr>
      <w:r>
        <w:rPr>
          <w:noProof/>
        </w:rPr>
        <w:t>Ulaganje mora biti dovršeno do 30. lipnja 2026.</w:t>
      </w:r>
    </w:p>
    <w:p w14:paraId="1CBA0376" w14:textId="4E04EB28" w:rsidR="00615E2D" w:rsidRDefault="00615E2D">
      <w:pPr>
        <w:spacing w:before="0" w:after="0" w:line="240" w:lineRule="auto"/>
        <w:rPr>
          <w:b/>
          <w:smallCaps/>
          <w:noProof/>
        </w:rPr>
        <w:sectPr w:rsidR="00615E2D" w:rsidSect="00530B55">
          <w:headerReference w:type="even" r:id="rId90"/>
          <w:headerReference w:type="default" r:id="rId91"/>
          <w:footerReference w:type="even" r:id="rId92"/>
          <w:footerReference w:type="default" r:id="rId93"/>
          <w:headerReference w:type="first" r:id="rId94"/>
          <w:footerReference w:type="first" r:id="rId95"/>
          <w:pgSz w:w="11907" w:h="16839"/>
          <w:pgMar w:top="1134" w:right="1134" w:bottom="1134" w:left="1134" w:header="567" w:footer="567" w:gutter="0"/>
          <w:cols w:space="720"/>
          <w:docGrid w:linePitch="360"/>
        </w:sectPr>
      </w:pPr>
    </w:p>
    <w:p w14:paraId="785CAFFE" w14:textId="33B84096" w:rsidR="00615E2D" w:rsidRDefault="00C83E46">
      <w:pPr>
        <w:pStyle w:val="P68B1DB1-Normal5"/>
        <w:spacing w:line="240" w:lineRule="auto"/>
        <w:jc w:val="both"/>
        <w:rPr>
          <w:noProof/>
        </w:rPr>
      </w:pPr>
      <w:r>
        <w:rPr>
          <w:noProof/>
        </w:rPr>
        <w:t xml:space="preserve">D.4. Ključne etape, ciljne vrijednosti, pokazatelji i vremenski raspored za praćenje i provedbu zajma </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1540"/>
        <w:gridCol w:w="1117"/>
        <w:gridCol w:w="1466"/>
        <w:gridCol w:w="1702"/>
        <w:gridCol w:w="989"/>
        <w:gridCol w:w="989"/>
        <w:gridCol w:w="989"/>
        <w:gridCol w:w="1084"/>
        <w:gridCol w:w="763"/>
        <w:gridCol w:w="4035"/>
      </w:tblGrid>
      <w:tr w:rsidR="00615E2D" w14:paraId="6291A226" w14:textId="77777777">
        <w:trPr>
          <w:trHeight w:val="672"/>
          <w:tblHeader/>
          <w:jc w:val="center"/>
        </w:trPr>
        <w:tc>
          <w:tcPr>
            <w:tcW w:w="637" w:type="dxa"/>
            <w:vMerge w:val="restart"/>
            <w:shd w:val="clear" w:color="auto" w:fill="BDD7EE"/>
            <w:vAlign w:val="center"/>
            <w:hideMark/>
          </w:tcPr>
          <w:p w14:paraId="1685BB8F" w14:textId="77777777" w:rsidR="00615E2D" w:rsidRDefault="00C83E46">
            <w:pPr>
              <w:pStyle w:val="P68B1DB1-Normal9"/>
              <w:spacing w:before="0" w:after="0" w:line="240" w:lineRule="auto"/>
              <w:jc w:val="center"/>
              <w:rPr>
                <w:noProof/>
              </w:rPr>
            </w:pPr>
            <w:r>
              <w:rPr>
                <w:noProof/>
              </w:rPr>
              <w:t>Sljedeće NUM.</w:t>
            </w:r>
          </w:p>
        </w:tc>
        <w:tc>
          <w:tcPr>
            <w:tcW w:w="1566" w:type="dxa"/>
            <w:vMerge w:val="restart"/>
            <w:shd w:val="clear" w:color="auto" w:fill="BDD7EE"/>
            <w:vAlign w:val="center"/>
            <w:hideMark/>
          </w:tcPr>
          <w:p w14:paraId="23791320"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76DF729C" w14:textId="77777777" w:rsidR="00615E2D" w:rsidRDefault="00C83E46">
            <w:pPr>
              <w:pStyle w:val="P68B1DB1-Normal9"/>
              <w:spacing w:before="0" w:after="0" w:line="240" w:lineRule="auto"/>
              <w:jc w:val="center"/>
              <w:rPr>
                <w:noProof/>
              </w:rPr>
            </w:pPr>
            <w:r>
              <w:rPr>
                <w:noProof/>
              </w:rPr>
              <w:t>Ključna etapa/ciljna vrijednost</w:t>
            </w:r>
          </w:p>
        </w:tc>
        <w:tc>
          <w:tcPr>
            <w:tcW w:w="1490" w:type="dxa"/>
            <w:vMerge w:val="restart"/>
            <w:shd w:val="clear" w:color="auto" w:fill="BDD7EE"/>
            <w:vAlign w:val="center"/>
            <w:hideMark/>
          </w:tcPr>
          <w:p w14:paraId="753CCF84" w14:textId="77777777" w:rsidR="00615E2D" w:rsidRDefault="00C83E46">
            <w:pPr>
              <w:pStyle w:val="P68B1DB1-Normal9"/>
              <w:spacing w:before="0" w:after="0" w:line="240" w:lineRule="auto"/>
              <w:jc w:val="center"/>
              <w:rPr>
                <w:noProof/>
              </w:rPr>
            </w:pPr>
            <w:r>
              <w:rPr>
                <w:noProof/>
              </w:rPr>
              <w:t>Ime</w:t>
            </w:r>
          </w:p>
        </w:tc>
        <w:tc>
          <w:tcPr>
            <w:tcW w:w="1731" w:type="dxa"/>
            <w:vMerge w:val="restart"/>
            <w:shd w:val="clear" w:color="auto" w:fill="BDD7EE"/>
            <w:vAlign w:val="center"/>
            <w:hideMark/>
          </w:tcPr>
          <w:p w14:paraId="38F1FD1B"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3012" w:type="dxa"/>
            <w:gridSpan w:val="3"/>
            <w:shd w:val="clear" w:color="auto" w:fill="BDD7EE"/>
            <w:vAlign w:val="center"/>
            <w:hideMark/>
          </w:tcPr>
          <w:p w14:paraId="3687BBEB"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874" w:type="dxa"/>
            <w:gridSpan w:val="2"/>
            <w:shd w:val="clear" w:color="auto" w:fill="BDD7EE"/>
            <w:vAlign w:val="center"/>
            <w:hideMark/>
          </w:tcPr>
          <w:p w14:paraId="1040E850"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110" w:type="dxa"/>
            <w:vMerge w:val="restart"/>
            <w:shd w:val="clear" w:color="auto" w:fill="BDD7EE"/>
            <w:vAlign w:val="center"/>
            <w:hideMark/>
          </w:tcPr>
          <w:p w14:paraId="251CF28C"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2100C487" w14:textId="77777777">
        <w:trPr>
          <w:trHeight w:val="458"/>
          <w:tblHeader/>
          <w:jc w:val="center"/>
        </w:trPr>
        <w:tc>
          <w:tcPr>
            <w:tcW w:w="637" w:type="dxa"/>
            <w:vMerge/>
            <w:vAlign w:val="center"/>
            <w:hideMark/>
          </w:tcPr>
          <w:p w14:paraId="08067BFA" w14:textId="77777777" w:rsidR="00615E2D" w:rsidRDefault="00615E2D">
            <w:pPr>
              <w:spacing w:before="0" w:after="0" w:line="240" w:lineRule="auto"/>
              <w:rPr>
                <w:rFonts w:eastAsia="Times New Roman"/>
                <w:b/>
                <w:noProof/>
                <w:sz w:val="18"/>
              </w:rPr>
            </w:pPr>
          </w:p>
        </w:tc>
        <w:tc>
          <w:tcPr>
            <w:tcW w:w="1566" w:type="dxa"/>
            <w:vMerge/>
            <w:vAlign w:val="center"/>
            <w:hideMark/>
          </w:tcPr>
          <w:p w14:paraId="7BCED612" w14:textId="77777777" w:rsidR="00615E2D" w:rsidRDefault="00615E2D">
            <w:pPr>
              <w:spacing w:before="0" w:after="0" w:line="240" w:lineRule="auto"/>
              <w:rPr>
                <w:rFonts w:eastAsia="Times New Roman"/>
                <w:b/>
                <w:noProof/>
                <w:sz w:val="18"/>
              </w:rPr>
            </w:pPr>
          </w:p>
        </w:tc>
        <w:tc>
          <w:tcPr>
            <w:tcW w:w="1134" w:type="dxa"/>
            <w:vMerge/>
            <w:vAlign w:val="center"/>
            <w:hideMark/>
          </w:tcPr>
          <w:p w14:paraId="48F76FD8" w14:textId="77777777" w:rsidR="00615E2D" w:rsidRDefault="00615E2D">
            <w:pPr>
              <w:spacing w:before="0" w:after="0" w:line="240" w:lineRule="auto"/>
              <w:rPr>
                <w:rFonts w:eastAsia="Times New Roman"/>
                <w:b/>
                <w:noProof/>
                <w:sz w:val="18"/>
              </w:rPr>
            </w:pPr>
          </w:p>
        </w:tc>
        <w:tc>
          <w:tcPr>
            <w:tcW w:w="1490" w:type="dxa"/>
            <w:vMerge/>
            <w:vAlign w:val="center"/>
            <w:hideMark/>
          </w:tcPr>
          <w:p w14:paraId="578A7C52" w14:textId="77777777" w:rsidR="00615E2D" w:rsidRDefault="00615E2D">
            <w:pPr>
              <w:spacing w:before="0" w:after="0" w:line="240" w:lineRule="auto"/>
              <w:rPr>
                <w:rFonts w:eastAsia="Times New Roman"/>
                <w:b/>
                <w:noProof/>
                <w:sz w:val="18"/>
              </w:rPr>
            </w:pPr>
          </w:p>
        </w:tc>
        <w:tc>
          <w:tcPr>
            <w:tcW w:w="1731" w:type="dxa"/>
            <w:vMerge/>
            <w:vAlign w:val="center"/>
            <w:hideMark/>
          </w:tcPr>
          <w:p w14:paraId="76D0413C" w14:textId="77777777" w:rsidR="00615E2D" w:rsidRDefault="00615E2D">
            <w:pPr>
              <w:spacing w:before="0" w:after="0" w:line="240" w:lineRule="auto"/>
              <w:rPr>
                <w:rFonts w:eastAsia="Times New Roman"/>
                <w:b/>
                <w:noProof/>
                <w:sz w:val="18"/>
              </w:rPr>
            </w:pPr>
          </w:p>
        </w:tc>
        <w:tc>
          <w:tcPr>
            <w:tcW w:w="1004" w:type="dxa"/>
            <w:shd w:val="clear" w:color="auto" w:fill="BDD7EE"/>
            <w:vAlign w:val="center"/>
            <w:hideMark/>
          </w:tcPr>
          <w:p w14:paraId="2E6386C5" w14:textId="77777777" w:rsidR="00615E2D" w:rsidRDefault="00C83E46">
            <w:pPr>
              <w:pStyle w:val="P68B1DB1-Normal9"/>
              <w:spacing w:before="0" w:after="0" w:line="240" w:lineRule="auto"/>
              <w:jc w:val="center"/>
              <w:rPr>
                <w:noProof/>
              </w:rPr>
            </w:pPr>
            <w:r>
              <w:rPr>
                <w:noProof/>
              </w:rPr>
              <w:t>Jedinica mjere</w:t>
            </w:r>
          </w:p>
        </w:tc>
        <w:tc>
          <w:tcPr>
            <w:tcW w:w="1004" w:type="dxa"/>
            <w:shd w:val="clear" w:color="auto" w:fill="BDD7EE"/>
            <w:vAlign w:val="center"/>
            <w:hideMark/>
          </w:tcPr>
          <w:p w14:paraId="3B3603AA" w14:textId="77777777" w:rsidR="00615E2D" w:rsidRDefault="00C83E46">
            <w:pPr>
              <w:pStyle w:val="P68B1DB1-Normal9"/>
              <w:spacing w:before="0" w:after="0" w:line="240" w:lineRule="auto"/>
              <w:jc w:val="center"/>
              <w:rPr>
                <w:noProof/>
              </w:rPr>
            </w:pPr>
            <w:r>
              <w:rPr>
                <w:noProof/>
              </w:rPr>
              <w:t xml:space="preserve">Osnovna vrijednost </w:t>
            </w:r>
          </w:p>
        </w:tc>
        <w:tc>
          <w:tcPr>
            <w:tcW w:w="1004" w:type="dxa"/>
            <w:shd w:val="clear" w:color="auto" w:fill="BDD7EE"/>
            <w:vAlign w:val="center"/>
            <w:hideMark/>
          </w:tcPr>
          <w:p w14:paraId="22377145" w14:textId="77777777" w:rsidR="00615E2D" w:rsidRDefault="00C83E46">
            <w:pPr>
              <w:pStyle w:val="P68B1DB1-Normal9"/>
              <w:spacing w:before="0" w:after="0" w:line="240" w:lineRule="auto"/>
              <w:jc w:val="center"/>
              <w:rPr>
                <w:noProof/>
              </w:rPr>
            </w:pPr>
            <w:r>
              <w:rPr>
                <w:noProof/>
              </w:rPr>
              <w:t xml:space="preserve">Cilj </w:t>
            </w:r>
          </w:p>
        </w:tc>
        <w:tc>
          <w:tcPr>
            <w:tcW w:w="1101" w:type="dxa"/>
            <w:shd w:val="clear" w:color="auto" w:fill="BDD7EE"/>
            <w:vAlign w:val="center"/>
            <w:hideMark/>
          </w:tcPr>
          <w:p w14:paraId="440115BE" w14:textId="77777777" w:rsidR="00615E2D" w:rsidRDefault="00C83E46">
            <w:pPr>
              <w:pStyle w:val="P68B1DB1-Normal9"/>
              <w:spacing w:before="0" w:after="0" w:line="240" w:lineRule="auto"/>
              <w:jc w:val="center"/>
              <w:rPr>
                <w:noProof/>
              </w:rPr>
            </w:pPr>
            <w:r>
              <w:rPr>
                <w:noProof/>
              </w:rPr>
              <w:t>Tromjesečje</w:t>
            </w:r>
          </w:p>
        </w:tc>
        <w:tc>
          <w:tcPr>
            <w:tcW w:w="773" w:type="dxa"/>
            <w:shd w:val="clear" w:color="auto" w:fill="BDD7EE"/>
            <w:vAlign w:val="center"/>
            <w:hideMark/>
          </w:tcPr>
          <w:p w14:paraId="78AC0445" w14:textId="77777777" w:rsidR="00615E2D" w:rsidRDefault="00C83E46">
            <w:pPr>
              <w:pStyle w:val="P68B1DB1-Normal9"/>
              <w:spacing w:before="0" w:after="0" w:line="240" w:lineRule="auto"/>
              <w:jc w:val="center"/>
              <w:rPr>
                <w:noProof/>
              </w:rPr>
            </w:pPr>
            <w:r>
              <w:rPr>
                <w:noProof/>
              </w:rPr>
              <w:t>Godina</w:t>
            </w:r>
          </w:p>
        </w:tc>
        <w:tc>
          <w:tcPr>
            <w:tcW w:w="4110" w:type="dxa"/>
            <w:vMerge/>
            <w:vAlign w:val="center"/>
            <w:hideMark/>
          </w:tcPr>
          <w:p w14:paraId="7A2CBAA2" w14:textId="77777777" w:rsidR="00615E2D" w:rsidRDefault="00615E2D">
            <w:pPr>
              <w:spacing w:before="0" w:after="0" w:line="240" w:lineRule="auto"/>
              <w:rPr>
                <w:rFonts w:eastAsia="Times New Roman"/>
                <w:b/>
                <w:noProof/>
                <w:sz w:val="18"/>
              </w:rPr>
            </w:pPr>
          </w:p>
        </w:tc>
      </w:tr>
      <w:tr w:rsidR="00615E2D" w14:paraId="76150E1B" w14:textId="77777777">
        <w:trPr>
          <w:trHeight w:val="309"/>
          <w:jc w:val="center"/>
        </w:trPr>
        <w:tc>
          <w:tcPr>
            <w:tcW w:w="637" w:type="dxa"/>
            <w:shd w:val="clear" w:color="auto" w:fill="C6EFCE"/>
            <w:vAlign w:val="center"/>
          </w:tcPr>
          <w:p w14:paraId="4C397E68" w14:textId="49BA395B" w:rsidR="00615E2D" w:rsidRDefault="00C83E46">
            <w:pPr>
              <w:pStyle w:val="P68B1DB1-Normal15"/>
              <w:spacing w:before="0" w:after="0" w:line="240" w:lineRule="auto"/>
              <w:jc w:val="center"/>
              <w:rPr>
                <w:noProof/>
              </w:rPr>
            </w:pPr>
            <w:r>
              <w:rPr>
                <w:noProof/>
              </w:rPr>
              <w:t>251</w:t>
            </w:r>
          </w:p>
        </w:tc>
        <w:tc>
          <w:tcPr>
            <w:tcW w:w="1566" w:type="dxa"/>
            <w:shd w:val="clear" w:color="auto" w:fill="C6EFCE"/>
            <w:vAlign w:val="center"/>
          </w:tcPr>
          <w:p w14:paraId="54B34461" w14:textId="64A0184D" w:rsidR="00615E2D" w:rsidRDefault="00C83E46">
            <w:pPr>
              <w:pStyle w:val="P68B1DB1-Normal15"/>
              <w:spacing w:before="0" w:after="0" w:line="240" w:lineRule="auto"/>
              <w:rPr>
                <w:noProof/>
              </w:rPr>
            </w:pPr>
            <w:r>
              <w:rPr>
                <w:noProof/>
              </w:rPr>
              <w:t>Ulaganje 13: Sredstva za razvoj strateških tehnologija</w:t>
            </w:r>
          </w:p>
        </w:tc>
        <w:tc>
          <w:tcPr>
            <w:tcW w:w="1134" w:type="dxa"/>
            <w:shd w:val="clear" w:color="auto" w:fill="C6EFCE"/>
            <w:vAlign w:val="center"/>
          </w:tcPr>
          <w:p w14:paraId="7C532CF4" w14:textId="6E13B94A" w:rsidR="00615E2D" w:rsidRDefault="00C83E46">
            <w:pPr>
              <w:pStyle w:val="P68B1DB1-Normal15"/>
              <w:spacing w:before="0" w:after="0" w:line="240" w:lineRule="auto"/>
              <w:rPr>
                <w:noProof/>
              </w:rPr>
            </w:pPr>
            <w:r>
              <w:rPr>
                <w:noProof/>
              </w:rPr>
              <w:t>Prekretnica</w:t>
            </w:r>
          </w:p>
        </w:tc>
        <w:tc>
          <w:tcPr>
            <w:tcW w:w="1490" w:type="dxa"/>
            <w:shd w:val="clear" w:color="auto" w:fill="C6EFCE"/>
            <w:vAlign w:val="center"/>
          </w:tcPr>
          <w:p w14:paraId="1DF0862D" w14:textId="05B83802" w:rsidR="00615E2D" w:rsidRDefault="00C83E46">
            <w:pPr>
              <w:pStyle w:val="P68B1DB1-Normal15"/>
              <w:spacing w:before="0" w:after="0" w:line="240" w:lineRule="auto"/>
              <w:rPr>
                <w:noProof/>
              </w:rPr>
            </w:pPr>
            <w:r>
              <w:rPr>
                <w:noProof/>
              </w:rPr>
              <w:t xml:space="preserve">Provedbeni sporazum </w:t>
            </w:r>
          </w:p>
        </w:tc>
        <w:tc>
          <w:tcPr>
            <w:tcW w:w="1731" w:type="dxa"/>
            <w:shd w:val="clear" w:color="auto" w:fill="C6EFCE"/>
            <w:vAlign w:val="center"/>
          </w:tcPr>
          <w:p w14:paraId="2F5837CD" w14:textId="07495C67" w:rsidR="00615E2D" w:rsidRDefault="00C83E46">
            <w:pPr>
              <w:pStyle w:val="P68B1DB1-Normal15"/>
              <w:spacing w:before="0" w:after="0" w:line="240" w:lineRule="auto"/>
              <w:rPr>
                <w:noProof/>
              </w:rPr>
            </w:pPr>
            <w:r>
              <w:rPr>
                <w:noProof/>
              </w:rPr>
              <w:t>Stupanje na snagu provedbenog sporazuma</w:t>
            </w:r>
          </w:p>
        </w:tc>
        <w:tc>
          <w:tcPr>
            <w:tcW w:w="1004" w:type="dxa"/>
            <w:shd w:val="clear" w:color="auto" w:fill="C6EFCE"/>
            <w:vAlign w:val="center"/>
          </w:tcPr>
          <w:p w14:paraId="666189F0" w14:textId="77777777" w:rsidR="00615E2D" w:rsidRDefault="00615E2D">
            <w:pPr>
              <w:spacing w:before="0" w:after="0" w:line="240" w:lineRule="auto"/>
              <w:rPr>
                <w:rFonts w:eastAsia="Times New Roman"/>
                <w:noProof/>
                <w:color w:val="004300"/>
                <w:sz w:val="18"/>
              </w:rPr>
            </w:pPr>
          </w:p>
        </w:tc>
        <w:tc>
          <w:tcPr>
            <w:tcW w:w="1004" w:type="dxa"/>
            <w:shd w:val="clear" w:color="auto" w:fill="C6EFCE"/>
            <w:vAlign w:val="center"/>
          </w:tcPr>
          <w:p w14:paraId="46F5AD8E" w14:textId="77777777" w:rsidR="00615E2D" w:rsidRDefault="00615E2D">
            <w:pPr>
              <w:spacing w:before="0" w:after="0" w:line="240" w:lineRule="auto"/>
              <w:jc w:val="center"/>
              <w:rPr>
                <w:rFonts w:eastAsia="Times New Roman"/>
                <w:noProof/>
                <w:color w:val="004300"/>
                <w:sz w:val="18"/>
              </w:rPr>
            </w:pPr>
          </w:p>
        </w:tc>
        <w:tc>
          <w:tcPr>
            <w:tcW w:w="1004" w:type="dxa"/>
            <w:shd w:val="clear" w:color="auto" w:fill="C6EFCE"/>
            <w:vAlign w:val="center"/>
          </w:tcPr>
          <w:p w14:paraId="5A0FF39B" w14:textId="77777777" w:rsidR="00615E2D" w:rsidRDefault="00615E2D">
            <w:pPr>
              <w:spacing w:before="0" w:after="0" w:line="240" w:lineRule="auto"/>
              <w:jc w:val="center"/>
              <w:rPr>
                <w:rFonts w:eastAsia="Times New Roman"/>
                <w:noProof/>
                <w:color w:val="004300"/>
                <w:sz w:val="18"/>
              </w:rPr>
            </w:pPr>
          </w:p>
        </w:tc>
        <w:tc>
          <w:tcPr>
            <w:tcW w:w="1101" w:type="dxa"/>
            <w:shd w:val="clear" w:color="auto" w:fill="C6EFCE"/>
            <w:vAlign w:val="center"/>
          </w:tcPr>
          <w:p w14:paraId="3101650A" w14:textId="246A8D52" w:rsidR="00615E2D" w:rsidRDefault="00C83E46">
            <w:pPr>
              <w:pStyle w:val="P68B1DB1-Normal15"/>
              <w:spacing w:before="0" w:after="0" w:line="240" w:lineRule="auto"/>
              <w:jc w:val="center"/>
              <w:rPr>
                <w:noProof/>
              </w:rPr>
            </w:pPr>
            <w:r>
              <w:rPr>
                <w:noProof/>
              </w:rPr>
              <w:t>ČETVRTO TROMJESEČJE</w:t>
            </w:r>
          </w:p>
        </w:tc>
        <w:tc>
          <w:tcPr>
            <w:tcW w:w="773" w:type="dxa"/>
            <w:shd w:val="clear" w:color="auto" w:fill="C6EFCE"/>
            <w:vAlign w:val="center"/>
          </w:tcPr>
          <w:p w14:paraId="1D8E0168" w14:textId="26BC5B95" w:rsidR="00615E2D" w:rsidRDefault="00C83E46">
            <w:pPr>
              <w:pStyle w:val="P68B1DB1-Normal15"/>
              <w:spacing w:before="0" w:after="0" w:line="240" w:lineRule="auto"/>
              <w:jc w:val="center"/>
              <w:rPr>
                <w:noProof/>
              </w:rPr>
            </w:pPr>
            <w:r>
              <w:rPr>
                <w:noProof/>
              </w:rPr>
              <w:t>2024</w:t>
            </w:r>
          </w:p>
        </w:tc>
        <w:tc>
          <w:tcPr>
            <w:tcW w:w="4110" w:type="dxa"/>
            <w:shd w:val="clear" w:color="auto" w:fill="C6EFCE"/>
            <w:vAlign w:val="center"/>
          </w:tcPr>
          <w:p w14:paraId="6BD8C546" w14:textId="7CEF648D" w:rsidR="00615E2D" w:rsidRDefault="00C83E46">
            <w:pPr>
              <w:pStyle w:val="P68B1DB1-Normal15"/>
              <w:spacing w:before="0" w:after="0" w:line="240" w:lineRule="auto"/>
              <w:rPr>
                <w:noProof/>
              </w:rPr>
            </w:pPr>
            <w:r>
              <w:rPr>
                <w:noProof/>
              </w:rPr>
              <w:t>Stupanje na snagu provedbenog sporazuma u skladu sa zahtjevima navedenima u opisu mjere.</w:t>
            </w:r>
          </w:p>
        </w:tc>
      </w:tr>
      <w:tr w:rsidR="00615E2D" w14:paraId="5A890CBF" w14:textId="77777777">
        <w:trPr>
          <w:trHeight w:val="309"/>
          <w:jc w:val="center"/>
        </w:trPr>
        <w:tc>
          <w:tcPr>
            <w:tcW w:w="637" w:type="dxa"/>
            <w:shd w:val="clear" w:color="auto" w:fill="C6EFCE"/>
            <w:vAlign w:val="center"/>
            <w:hideMark/>
          </w:tcPr>
          <w:p w14:paraId="35802345" w14:textId="30322A3F" w:rsidR="00615E2D" w:rsidRDefault="00C83E46">
            <w:pPr>
              <w:pStyle w:val="P68B1DB1-Normal15"/>
              <w:spacing w:before="0" w:after="0" w:line="240" w:lineRule="auto"/>
              <w:jc w:val="center"/>
              <w:rPr>
                <w:noProof/>
              </w:rPr>
            </w:pPr>
            <w:r>
              <w:rPr>
                <w:noProof/>
              </w:rPr>
              <w:t>252</w:t>
            </w:r>
          </w:p>
        </w:tc>
        <w:tc>
          <w:tcPr>
            <w:tcW w:w="1566" w:type="dxa"/>
            <w:shd w:val="clear" w:color="auto" w:fill="C6EFCE"/>
            <w:vAlign w:val="center"/>
            <w:hideMark/>
          </w:tcPr>
          <w:p w14:paraId="0FD5D8B3" w14:textId="1070EDB0" w:rsidR="00615E2D" w:rsidRDefault="00C83E46">
            <w:pPr>
              <w:pStyle w:val="P68B1DB1-Normal15"/>
              <w:spacing w:before="0" w:after="0" w:line="240" w:lineRule="auto"/>
              <w:rPr>
                <w:noProof/>
              </w:rPr>
            </w:pPr>
            <w:r>
              <w:rPr>
                <w:noProof/>
              </w:rPr>
              <w:t>Ulaganje 13: Sredstva za razvoj strateških tehnologija</w:t>
            </w:r>
          </w:p>
        </w:tc>
        <w:tc>
          <w:tcPr>
            <w:tcW w:w="1134" w:type="dxa"/>
            <w:shd w:val="clear" w:color="auto" w:fill="C6EFCE"/>
            <w:vAlign w:val="center"/>
            <w:hideMark/>
          </w:tcPr>
          <w:p w14:paraId="19E6FB35" w14:textId="575B30E8" w:rsidR="00615E2D" w:rsidRDefault="00C83E46">
            <w:pPr>
              <w:pStyle w:val="P68B1DB1-Normal15"/>
              <w:spacing w:before="0" w:after="0" w:line="240" w:lineRule="auto"/>
              <w:rPr>
                <w:noProof/>
              </w:rPr>
            </w:pPr>
            <w:r>
              <w:rPr>
                <w:noProof/>
              </w:rPr>
              <w:t xml:space="preserve"> Ciljna</w:t>
            </w:r>
          </w:p>
        </w:tc>
        <w:tc>
          <w:tcPr>
            <w:tcW w:w="1490" w:type="dxa"/>
            <w:shd w:val="clear" w:color="auto" w:fill="C6EFCE"/>
            <w:vAlign w:val="center"/>
            <w:hideMark/>
          </w:tcPr>
          <w:p w14:paraId="4D3FF23A" w14:textId="6B99D90D" w:rsidR="00615E2D" w:rsidRDefault="00C83E46">
            <w:pPr>
              <w:pStyle w:val="P68B1DB1-Normal15"/>
              <w:spacing w:before="0" w:after="0" w:line="240" w:lineRule="auto"/>
              <w:rPr>
                <w:noProof/>
              </w:rPr>
            </w:pPr>
            <w:r>
              <w:rPr>
                <w:noProof/>
              </w:rPr>
              <w:t>Pravni sporazumi potpisani s financijskim sredstvima</w:t>
            </w:r>
          </w:p>
        </w:tc>
        <w:tc>
          <w:tcPr>
            <w:tcW w:w="1731" w:type="dxa"/>
            <w:shd w:val="clear" w:color="auto" w:fill="C6EFCE"/>
            <w:vAlign w:val="center"/>
            <w:hideMark/>
          </w:tcPr>
          <w:p w14:paraId="293C69F9" w14:textId="1F59C31F" w:rsidR="00615E2D" w:rsidRDefault="00615E2D">
            <w:pPr>
              <w:spacing w:before="0" w:after="0" w:line="240" w:lineRule="auto"/>
              <w:rPr>
                <w:rFonts w:eastAsia="Times New Roman"/>
                <w:noProof/>
                <w:color w:val="004300"/>
                <w:sz w:val="18"/>
              </w:rPr>
            </w:pPr>
          </w:p>
        </w:tc>
        <w:tc>
          <w:tcPr>
            <w:tcW w:w="1004" w:type="dxa"/>
            <w:shd w:val="clear" w:color="auto" w:fill="C6EFCE"/>
            <w:vAlign w:val="center"/>
          </w:tcPr>
          <w:p w14:paraId="0DBA3334" w14:textId="1E8EC22A" w:rsidR="00615E2D" w:rsidRDefault="00C83E46">
            <w:pPr>
              <w:pStyle w:val="P68B1DB1-Normal15"/>
              <w:spacing w:before="0" w:after="0" w:line="240" w:lineRule="auto"/>
              <w:rPr>
                <w:noProof/>
              </w:rPr>
            </w:pPr>
            <w:r>
              <w:rPr>
                <w:noProof/>
              </w:rPr>
              <w:t>Postotak (%)</w:t>
            </w:r>
          </w:p>
        </w:tc>
        <w:tc>
          <w:tcPr>
            <w:tcW w:w="1004" w:type="dxa"/>
            <w:shd w:val="clear" w:color="auto" w:fill="C6EFCE"/>
            <w:vAlign w:val="center"/>
          </w:tcPr>
          <w:p w14:paraId="3B4AF8C7" w14:textId="1F41BE9E" w:rsidR="00615E2D" w:rsidRDefault="00C83E46">
            <w:pPr>
              <w:pStyle w:val="P68B1DB1-Normal15"/>
              <w:spacing w:before="0" w:after="0" w:line="240" w:lineRule="auto"/>
              <w:jc w:val="center"/>
              <w:rPr>
                <w:noProof/>
              </w:rPr>
            </w:pPr>
            <w:r>
              <w:rPr>
                <w:noProof/>
              </w:rPr>
              <w:t>0</w:t>
            </w:r>
          </w:p>
        </w:tc>
        <w:tc>
          <w:tcPr>
            <w:tcW w:w="1004" w:type="dxa"/>
            <w:shd w:val="clear" w:color="auto" w:fill="C6EFCE"/>
            <w:vAlign w:val="center"/>
          </w:tcPr>
          <w:p w14:paraId="4636CE8C" w14:textId="71CB5514" w:rsidR="00615E2D" w:rsidRDefault="00C83E46">
            <w:pPr>
              <w:pStyle w:val="P68B1DB1-Normal15"/>
              <w:spacing w:before="0" w:after="0" w:line="240" w:lineRule="auto"/>
              <w:jc w:val="center"/>
              <w:rPr>
                <w:noProof/>
              </w:rPr>
            </w:pPr>
            <w:r>
              <w:rPr>
                <w:noProof/>
              </w:rPr>
              <w:t>100</w:t>
            </w:r>
          </w:p>
        </w:tc>
        <w:tc>
          <w:tcPr>
            <w:tcW w:w="1101" w:type="dxa"/>
            <w:shd w:val="clear" w:color="auto" w:fill="C6EFCE"/>
            <w:vAlign w:val="center"/>
            <w:hideMark/>
          </w:tcPr>
          <w:p w14:paraId="3F9EAC0C" w14:textId="2BBF87DE" w:rsidR="00615E2D" w:rsidRDefault="00C83E46">
            <w:pPr>
              <w:pStyle w:val="P68B1DB1-Normal15"/>
              <w:spacing w:before="0" w:after="0" w:line="240" w:lineRule="auto"/>
              <w:jc w:val="center"/>
              <w:rPr>
                <w:noProof/>
              </w:rPr>
            </w:pPr>
            <w:r>
              <w:rPr>
                <w:noProof/>
              </w:rPr>
              <w:t>TROMJESEČJE</w:t>
            </w:r>
          </w:p>
        </w:tc>
        <w:tc>
          <w:tcPr>
            <w:tcW w:w="773" w:type="dxa"/>
            <w:shd w:val="clear" w:color="auto" w:fill="C6EFCE"/>
            <w:vAlign w:val="center"/>
            <w:hideMark/>
          </w:tcPr>
          <w:p w14:paraId="453B245F" w14:textId="6DCC0F7C" w:rsidR="00615E2D" w:rsidRDefault="00C83E46">
            <w:pPr>
              <w:pStyle w:val="P68B1DB1-Normal15"/>
              <w:spacing w:before="0" w:after="0" w:line="240" w:lineRule="auto"/>
              <w:jc w:val="center"/>
              <w:rPr>
                <w:noProof/>
              </w:rPr>
            </w:pPr>
            <w:r>
              <w:rPr>
                <w:noProof/>
              </w:rPr>
              <w:t>2026</w:t>
            </w:r>
          </w:p>
        </w:tc>
        <w:tc>
          <w:tcPr>
            <w:tcW w:w="4110" w:type="dxa"/>
            <w:shd w:val="clear" w:color="auto" w:fill="C6EFCE"/>
            <w:vAlign w:val="center"/>
            <w:hideMark/>
          </w:tcPr>
          <w:p w14:paraId="67830C81" w14:textId="3EE7EAEC" w:rsidR="00615E2D" w:rsidRDefault="00C83E46">
            <w:pPr>
              <w:pStyle w:val="P68B1DB1-Normal15"/>
              <w:spacing w:before="0" w:after="0" w:line="240" w:lineRule="auto"/>
              <w:rPr>
                <w:noProof/>
              </w:rPr>
            </w:pPr>
            <w:r>
              <w:rPr>
                <w:noProof/>
              </w:rPr>
              <w:t>EIF mora sklopiti pravne sporazume o financiranju sa sredstvima u iznosu potrebnom za upotrebu 100 % ulaganja iz Mehanizma za oporavak i otpornost u Instrument (uzimajući u obzir naknade za upravljanje).</w:t>
            </w:r>
          </w:p>
          <w:p w14:paraId="08EF2C74" w14:textId="21EA073A" w:rsidR="00615E2D" w:rsidRDefault="00615E2D">
            <w:pPr>
              <w:spacing w:before="0" w:after="0" w:line="240" w:lineRule="auto"/>
              <w:rPr>
                <w:rFonts w:eastAsia="Times New Roman"/>
                <w:noProof/>
                <w:color w:val="004300"/>
                <w:sz w:val="18"/>
              </w:rPr>
            </w:pPr>
          </w:p>
        </w:tc>
      </w:tr>
      <w:tr w:rsidR="00615E2D" w14:paraId="61226CC6" w14:textId="77777777">
        <w:trPr>
          <w:trHeight w:val="309"/>
          <w:jc w:val="center"/>
        </w:trPr>
        <w:tc>
          <w:tcPr>
            <w:tcW w:w="637" w:type="dxa"/>
            <w:tcBorders>
              <w:top w:val="single" w:sz="4" w:space="0" w:color="auto"/>
              <w:left w:val="single" w:sz="4" w:space="0" w:color="auto"/>
              <w:bottom w:val="single" w:sz="4" w:space="0" w:color="auto"/>
              <w:right w:val="single" w:sz="4" w:space="0" w:color="auto"/>
            </w:tcBorders>
            <w:shd w:val="clear" w:color="auto" w:fill="C6EFCE"/>
            <w:vAlign w:val="center"/>
          </w:tcPr>
          <w:p w14:paraId="27BFDC3A" w14:textId="52F57763" w:rsidR="00615E2D" w:rsidRDefault="00C83E46">
            <w:pPr>
              <w:pStyle w:val="P68B1DB1-Normal15"/>
              <w:spacing w:before="0" w:after="0" w:line="240" w:lineRule="auto"/>
              <w:jc w:val="center"/>
              <w:rPr>
                <w:noProof/>
              </w:rPr>
            </w:pPr>
            <w:r>
              <w:rPr>
                <w:noProof/>
              </w:rPr>
              <w:t>253</w:t>
            </w:r>
          </w:p>
        </w:tc>
        <w:tc>
          <w:tcPr>
            <w:tcW w:w="1566" w:type="dxa"/>
            <w:tcBorders>
              <w:top w:val="single" w:sz="4" w:space="0" w:color="auto"/>
              <w:left w:val="single" w:sz="4" w:space="0" w:color="auto"/>
              <w:bottom w:val="single" w:sz="4" w:space="0" w:color="auto"/>
              <w:right w:val="single" w:sz="4" w:space="0" w:color="auto"/>
            </w:tcBorders>
            <w:shd w:val="clear" w:color="auto" w:fill="C6EFCE"/>
            <w:vAlign w:val="center"/>
          </w:tcPr>
          <w:p w14:paraId="067056D8" w14:textId="2A2411B7" w:rsidR="00615E2D" w:rsidRDefault="00C83E46">
            <w:pPr>
              <w:pStyle w:val="P68B1DB1-Normal15"/>
              <w:spacing w:before="0" w:after="0" w:line="240" w:lineRule="auto"/>
              <w:rPr>
                <w:noProof/>
              </w:rPr>
            </w:pPr>
            <w:r>
              <w:rPr>
                <w:noProof/>
              </w:rPr>
              <w:t>Ulaganje 13: Sredstva za razvoj strateških tehnologija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EC051AC" w14:textId="402EE7B5" w:rsidR="00615E2D" w:rsidRDefault="00C83E46">
            <w:pPr>
              <w:pStyle w:val="P68B1DB1-Normal15"/>
              <w:spacing w:before="0" w:after="0" w:line="240" w:lineRule="auto"/>
              <w:rPr>
                <w:noProof/>
              </w:rPr>
            </w:pPr>
            <w:r>
              <w:rPr>
                <w:noProof/>
              </w:rPr>
              <w:t>Prekretnica</w:t>
            </w:r>
          </w:p>
        </w:tc>
        <w:tc>
          <w:tcPr>
            <w:tcW w:w="1490" w:type="dxa"/>
            <w:tcBorders>
              <w:top w:val="single" w:sz="4" w:space="0" w:color="auto"/>
              <w:left w:val="single" w:sz="4" w:space="0" w:color="auto"/>
              <w:bottom w:val="single" w:sz="4" w:space="0" w:color="auto"/>
              <w:right w:val="single" w:sz="4" w:space="0" w:color="auto"/>
            </w:tcBorders>
            <w:shd w:val="clear" w:color="auto" w:fill="C6EFCE"/>
            <w:vAlign w:val="center"/>
          </w:tcPr>
          <w:p w14:paraId="5309E59C" w14:textId="38CBE1A7" w:rsidR="00615E2D" w:rsidRDefault="00C83E46">
            <w:pPr>
              <w:pStyle w:val="P68B1DB1-Normal15"/>
              <w:spacing w:before="0" w:after="0" w:line="240" w:lineRule="auto"/>
              <w:rPr>
                <w:noProof/>
              </w:rPr>
            </w:pPr>
            <w:r>
              <w:rPr>
                <w:noProof/>
              </w:rPr>
              <w:t>Ministarstvo je dovršilo ulaganje</w:t>
            </w:r>
          </w:p>
        </w:tc>
        <w:tc>
          <w:tcPr>
            <w:tcW w:w="1731" w:type="dxa"/>
            <w:tcBorders>
              <w:top w:val="single" w:sz="4" w:space="0" w:color="auto"/>
              <w:left w:val="single" w:sz="4" w:space="0" w:color="auto"/>
              <w:bottom w:val="single" w:sz="4" w:space="0" w:color="auto"/>
              <w:right w:val="single" w:sz="4" w:space="0" w:color="auto"/>
            </w:tcBorders>
            <w:shd w:val="clear" w:color="auto" w:fill="C6EFCE"/>
            <w:vAlign w:val="center"/>
          </w:tcPr>
          <w:p w14:paraId="3DBA7F5E" w14:textId="009C9B57" w:rsidR="00615E2D" w:rsidRDefault="00C83E46">
            <w:pPr>
              <w:pStyle w:val="P68B1DB1-Normal15"/>
              <w:spacing w:before="0" w:after="0" w:line="240" w:lineRule="auto"/>
              <w:rPr>
                <w:noProof/>
              </w:rPr>
            </w:pPr>
            <w:r>
              <w:rPr>
                <w:noProof/>
              </w:rPr>
              <w:t>Potvrda o prijenosu</w:t>
            </w:r>
          </w:p>
        </w:tc>
        <w:tc>
          <w:tcPr>
            <w:tcW w:w="1004" w:type="dxa"/>
            <w:tcBorders>
              <w:top w:val="single" w:sz="4" w:space="0" w:color="auto"/>
              <w:left w:val="single" w:sz="4" w:space="0" w:color="auto"/>
              <w:bottom w:val="single" w:sz="4" w:space="0" w:color="auto"/>
              <w:right w:val="single" w:sz="4" w:space="0" w:color="auto"/>
            </w:tcBorders>
            <w:shd w:val="clear" w:color="auto" w:fill="C6EFCE"/>
          </w:tcPr>
          <w:p w14:paraId="36B50FFE" w14:textId="77777777" w:rsidR="00615E2D" w:rsidRDefault="00615E2D">
            <w:pPr>
              <w:spacing w:before="0" w:after="0" w:line="240" w:lineRule="auto"/>
              <w:rPr>
                <w:rFonts w:eastAsia="Times New Roman"/>
                <w:noProof/>
                <w:color w:val="004300"/>
                <w:sz w:val="18"/>
              </w:rPr>
            </w:pPr>
          </w:p>
        </w:tc>
        <w:tc>
          <w:tcPr>
            <w:tcW w:w="1004" w:type="dxa"/>
            <w:tcBorders>
              <w:top w:val="single" w:sz="4" w:space="0" w:color="auto"/>
              <w:left w:val="single" w:sz="4" w:space="0" w:color="auto"/>
              <w:bottom w:val="single" w:sz="4" w:space="0" w:color="auto"/>
              <w:right w:val="single" w:sz="4" w:space="0" w:color="auto"/>
            </w:tcBorders>
            <w:shd w:val="clear" w:color="auto" w:fill="C6EFCE"/>
          </w:tcPr>
          <w:p w14:paraId="5B334AC1" w14:textId="77777777" w:rsidR="00615E2D" w:rsidRDefault="00615E2D">
            <w:pPr>
              <w:spacing w:before="0" w:after="0" w:line="240" w:lineRule="auto"/>
              <w:jc w:val="center"/>
              <w:rPr>
                <w:rFonts w:eastAsia="Times New Roman"/>
                <w:noProof/>
                <w:color w:val="004300"/>
                <w:sz w:val="18"/>
              </w:rPr>
            </w:pPr>
          </w:p>
        </w:tc>
        <w:tc>
          <w:tcPr>
            <w:tcW w:w="1004" w:type="dxa"/>
            <w:tcBorders>
              <w:top w:val="single" w:sz="4" w:space="0" w:color="auto"/>
              <w:left w:val="single" w:sz="4" w:space="0" w:color="auto"/>
              <w:bottom w:val="single" w:sz="4" w:space="0" w:color="auto"/>
              <w:right w:val="single" w:sz="4" w:space="0" w:color="auto"/>
            </w:tcBorders>
            <w:shd w:val="clear" w:color="auto" w:fill="C6EFCE"/>
          </w:tcPr>
          <w:p w14:paraId="59C7B2E4" w14:textId="77777777" w:rsidR="00615E2D" w:rsidRDefault="00615E2D">
            <w:pPr>
              <w:spacing w:before="0" w:after="0" w:line="240" w:lineRule="auto"/>
              <w:jc w:val="center"/>
              <w:rPr>
                <w:rFonts w:eastAsia="Times New Roman"/>
                <w:noProof/>
                <w:color w:val="004300"/>
                <w:sz w:val="18"/>
              </w:rPr>
            </w:pPr>
          </w:p>
        </w:tc>
        <w:tc>
          <w:tcPr>
            <w:tcW w:w="1101" w:type="dxa"/>
            <w:tcBorders>
              <w:top w:val="single" w:sz="4" w:space="0" w:color="auto"/>
              <w:left w:val="single" w:sz="4" w:space="0" w:color="auto"/>
              <w:bottom w:val="single" w:sz="4" w:space="0" w:color="auto"/>
              <w:right w:val="single" w:sz="4" w:space="0" w:color="auto"/>
            </w:tcBorders>
            <w:shd w:val="clear" w:color="auto" w:fill="C6EFCE"/>
            <w:vAlign w:val="center"/>
          </w:tcPr>
          <w:p w14:paraId="5D26BA6E" w14:textId="6C3F1050" w:rsidR="00615E2D" w:rsidRDefault="00C83E46">
            <w:pPr>
              <w:pStyle w:val="P68B1DB1-Normal15"/>
              <w:spacing w:before="0" w:after="0" w:line="240" w:lineRule="auto"/>
              <w:jc w:val="center"/>
              <w:rPr>
                <w:noProof/>
              </w:rPr>
            </w:pPr>
            <w:r>
              <w:rPr>
                <w:noProof/>
              </w:rPr>
              <w:t>TROMJESEČJE</w:t>
            </w:r>
          </w:p>
        </w:tc>
        <w:tc>
          <w:tcPr>
            <w:tcW w:w="773" w:type="dxa"/>
            <w:tcBorders>
              <w:top w:val="single" w:sz="4" w:space="0" w:color="auto"/>
              <w:left w:val="single" w:sz="4" w:space="0" w:color="auto"/>
              <w:bottom w:val="single" w:sz="4" w:space="0" w:color="auto"/>
              <w:right w:val="single" w:sz="4" w:space="0" w:color="auto"/>
            </w:tcBorders>
            <w:shd w:val="clear" w:color="auto" w:fill="C6EFCE"/>
            <w:vAlign w:val="center"/>
          </w:tcPr>
          <w:p w14:paraId="31CAF37D" w14:textId="4A61C7DF" w:rsidR="00615E2D" w:rsidRDefault="00C83E46">
            <w:pPr>
              <w:pStyle w:val="P68B1DB1-Normal15"/>
              <w:spacing w:before="0" w:after="0" w:line="240" w:lineRule="auto"/>
              <w:jc w:val="center"/>
              <w:rPr>
                <w:noProof/>
              </w:rPr>
            </w:pPr>
            <w:r>
              <w:rPr>
                <w:noProof/>
              </w:rPr>
              <w:t>2026</w:t>
            </w:r>
          </w:p>
        </w:tc>
        <w:tc>
          <w:tcPr>
            <w:tcW w:w="4110" w:type="dxa"/>
            <w:tcBorders>
              <w:top w:val="single" w:sz="4" w:space="0" w:color="auto"/>
              <w:left w:val="single" w:sz="4" w:space="0" w:color="auto"/>
              <w:bottom w:val="single" w:sz="4" w:space="0" w:color="auto"/>
              <w:right w:val="single" w:sz="4" w:space="0" w:color="auto"/>
            </w:tcBorders>
            <w:shd w:val="clear" w:color="auto" w:fill="C6EFCE"/>
            <w:vAlign w:val="center"/>
          </w:tcPr>
          <w:p w14:paraId="51EBE0F8" w14:textId="400AE334" w:rsidR="00615E2D" w:rsidRDefault="00C83E46">
            <w:pPr>
              <w:pStyle w:val="P68B1DB1-Normal15"/>
              <w:spacing w:before="0" w:after="0" w:line="240" w:lineRule="auto"/>
              <w:rPr>
                <w:noProof/>
              </w:rPr>
            </w:pPr>
            <w:r>
              <w:rPr>
                <w:noProof/>
              </w:rPr>
              <w:t>Češka potvrđuje prijenos 80 000 000 EUR EIF-u za Instrument.</w:t>
            </w:r>
          </w:p>
        </w:tc>
      </w:tr>
    </w:tbl>
    <w:p w14:paraId="56BAD47A" w14:textId="77777777" w:rsidR="00615E2D" w:rsidRDefault="00615E2D">
      <w:pPr>
        <w:spacing w:before="0" w:after="0" w:line="240" w:lineRule="auto"/>
        <w:rPr>
          <w:b/>
          <w:smallCaps/>
          <w:noProof/>
        </w:rPr>
        <w:sectPr w:rsidR="00615E2D" w:rsidSect="00507AA7">
          <w:headerReference w:type="even" r:id="rId96"/>
          <w:headerReference w:type="default" r:id="rId97"/>
          <w:footerReference w:type="even" r:id="rId98"/>
          <w:footerReference w:type="default" r:id="rId99"/>
          <w:headerReference w:type="first" r:id="rId100"/>
          <w:footerReference w:type="first" r:id="rId101"/>
          <w:pgSz w:w="16839" w:h="11907" w:orient="landscape"/>
          <w:pgMar w:top="1134" w:right="1134" w:bottom="1134" w:left="1134" w:header="567" w:footer="567" w:gutter="0"/>
          <w:cols w:space="720"/>
          <w:docGrid w:linePitch="360"/>
        </w:sectPr>
      </w:pPr>
    </w:p>
    <w:p w14:paraId="34005A13" w14:textId="77777777" w:rsidR="00615E2D" w:rsidRDefault="00C83E46">
      <w:pPr>
        <w:pStyle w:val="P68B1DB1-Normal2"/>
        <w:keepNext/>
        <w:tabs>
          <w:tab w:val="left" w:pos="850"/>
        </w:tabs>
        <w:spacing w:line="240" w:lineRule="auto"/>
        <w:jc w:val="both"/>
        <w:outlineLvl w:val="0"/>
        <w:rPr>
          <w:noProof/>
        </w:rPr>
      </w:pPr>
      <w:r>
        <w:rPr>
          <w:noProof/>
        </w:rPr>
        <w:t xml:space="preserve">E. SASTAVNI DIO 1.5: Digitalna transformacija poduzeća </w:t>
      </w:r>
    </w:p>
    <w:p w14:paraId="0C8C49EC" w14:textId="77777777" w:rsidR="00615E2D" w:rsidRDefault="00C83E46">
      <w:pPr>
        <w:spacing w:line="240" w:lineRule="auto"/>
        <w:jc w:val="both"/>
        <w:rPr>
          <w:noProof/>
        </w:rPr>
      </w:pPr>
      <w:r>
        <w:rPr>
          <w:noProof/>
        </w:rPr>
        <w:t xml:space="preserve">Ta komponenta češkog plana za oporavak i otpornost pridonosi svladavanju izazova podupiranja digitalizacije industrije, upotrebe tehnologija i nastanka međusobno povezanog i održivog nacionalnog sloja europskog digitalnog ekosustava putem digitalnoinovacijskih centara. </w:t>
      </w:r>
      <w:r>
        <w:rPr>
          <w:rFonts w:eastAsia="Times New Roman"/>
          <w:noProof/>
        </w:rPr>
        <w:t xml:space="preserve">Također podupire stvaranje referentnog objekta za testiranje i eksperimentiranje. </w:t>
      </w:r>
      <w:r>
        <w:rPr>
          <w:noProof/>
        </w:rPr>
        <w:t>Drugi je cilj omogućiti potporu poduzećima koja sudjeluju u potencijalnim važnim projektima od zajedničkog europskog interesa, posebno u području mikroelektronike, povezivosti te infrastrukture i usluga u oblaku, uključujući projekte u području mikroprocesora povezanih s europskim računalstvom visokih performansi. Očekuje se da će se tom komponentom poduprijeti zelena tranzicija, posebno malih i srednjih poduzeća, s pomoću digitalnih tehnologija, u skladu s ciljevima europskog zelenog plana.</w:t>
      </w:r>
    </w:p>
    <w:p w14:paraId="7CFC8CFE" w14:textId="77777777" w:rsidR="00615E2D" w:rsidRDefault="00C83E46">
      <w:pPr>
        <w:pStyle w:val="P68B1DB1-Normal3"/>
        <w:spacing w:line="240" w:lineRule="auto"/>
        <w:jc w:val="both"/>
        <w:rPr>
          <w:noProof/>
          <w:color w:val="000000"/>
        </w:rPr>
      </w:pPr>
      <w:r>
        <w:rPr>
          <w:noProof/>
        </w:rPr>
        <w:t>Komponentom se podupire odgovor na preporuku za pojedinu zemlju 3. 2020., prema kojoj će Češka usmjeriti ulaganja u digitalnu tranziciju, posebno u digitalnu infrastrukturu i tehnologije visokog kapaciteta, među ostalim u rudarskim regijama.</w:t>
      </w:r>
    </w:p>
    <w:p w14:paraId="7FB9D731" w14:textId="6D557BDF" w:rsidR="00615E2D" w:rsidRDefault="00C83E46">
      <w:pPr>
        <w:pStyle w:val="P68B1DB1-Normal3"/>
        <w:spacing w:line="240" w:lineRule="auto"/>
        <w:jc w:val="both"/>
        <w:rPr>
          <w:noProof/>
        </w:rPr>
      </w:pPr>
      <w:r>
        <w:rPr>
          <w:noProof/>
        </w:rPr>
        <w:t>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 Konkretno, nabavom IKT opreme osigurava se usklađenost s relevantnim kriterijima EU-a za zelenu javnu nabavu te relevantnim zahtjevima EU-a u pogledu energetske učinkovitosti i učinkovitosti materijala te zahtjevima za recikliranje utvrđenima u skladu s Direktivom 2009/125/EZ, Direktivom 2009/125/EZ, Direktivom 2011/65/EU i Direktivom (EU) 2021/19.</w:t>
      </w:r>
    </w:p>
    <w:p w14:paraId="17817ACC" w14:textId="77777777" w:rsidR="00615E2D" w:rsidRDefault="00615E2D">
      <w:pPr>
        <w:spacing w:line="240" w:lineRule="auto"/>
        <w:jc w:val="both"/>
        <w:rPr>
          <w:rFonts w:eastAsia="Times New Roman"/>
          <w:noProof/>
        </w:rPr>
      </w:pPr>
    </w:p>
    <w:p w14:paraId="5D50B1A9" w14:textId="77777777" w:rsidR="00615E2D" w:rsidRDefault="00C83E46">
      <w:pPr>
        <w:pStyle w:val="P68B1DB1-Normal5"/>
        <w:spacing w:line="240" w:lineRule="auto"/>
        <w:jc w:val="both"/>
        <w:rPr>
          <w:i/>
          <w:noProof/>
          <w:color w:val="4F81BD"/>
        </w:rPr>
      </w:pPr>
      <w:r>
        <w:rPr>
          <w:noProof/>
        </w:rPr>
        <w:t>E.1. Opis reformi i ulaganja za programe bespovratne financijske potpore</w:t>
      </w:r>
    </w:p>
    <w:p w14:paraId="7BBC7A28" w14:textId="77777777" w:rsidR="00615E2D" w:rsidRDefault="00C83E46">
      <w:pPr>
        <w:pBdr>
          <w:top w:val="nil"/>
          <w:left w:val="nil"/>
          <w:bottom w:val="nil"/>
          <w:right w:val="nil"/>
          <w:between w:val="nil"/>
        </w:pBdr>
        <w:spacing w:line="240" w:lineRule="auto"/>
        <w:jc w:val="both"/>
        <w:rPr>
          <w:b/>
          <w:noProof/>
        </w:rPr>
      </w:pPr>
      <w:r>
        <w:rPr>
          <w:b/>
          <w:noProof/>
        </w:rPr>
        <w:t xml:space="preserve">Reforma 1.: Stvaranje platforme za digitalizaciju gospodarstva </w:t>
      </w:r>
    </w:p>
    <w:p w14:paraId="08A7419A" w14:textId="1C5925CC" w:rsidR="00615E2D" w:rsidRDefault="00C83E46">
      <w:pPr>
        <w:pBdr>
          <w:top w:val="nil"/>
          <w:left w:val="nil"/>
          <w:bottom w:val="nil"/>
          <w:right w:val="nil"/>
          <w:between w:val="nil"/>
        </w:pBdr>
        <w:spacing w:line="240" w:lineRule="auto"/>
        <w:jc w:val="both"/>
        <w:rPr>
          <w:noProof/>
          <w:sz w:val="22"/>
        </w:rPr>
      </w:pPr>
      <w:r>
        <w:rPr>
          <w:noProof/>
        </w:rPr>
        <w:t xml:space="preserve">Cilj je mjere pokrenuti platformu za koordinaciju međupovezanosti svih aktera u nacionalnom digitalnom ekosustavu, kao što su europski i nacionalni digitalnoinovacijski centri, nacionalni centri za stručnost u području računalstva visokih performansi i kibersigurnosti, </w:t>
      </w:r>
      <w:r>
        <w:rPr>
          <w:rFonts w:eastAsia="Times New Roman"/>
          <w:noProof/>
        </w:rPr>
        <w:t>europski objekti za referentno testiranje i eksperimentiranje, inovacijski centri i klijenti svih tih centara</w:t>
      </w:r>
      <w:r>
        <w:rPr>
          <w:noProof/>
        </w:rPr>
        <w:t xml:space="preserve">. Cilj mu je potaknuti digitalnu transformaciju, upotrebu tehnologija i zapošljavanje stručnjaka u području digitalizacije i novih tehnologija te povećati otpornost industrije i usluga na moguće daljnje krize. </w:t>
      </w:r>
    </w:p>
    <w:p w14:paraId="138C682C" w14:textId="17DAB6F4" w:rsidR="00615E2D" w:rsidRDefault="00C83E46">
      <w:pPr>
        <w:pStyle w:val="P68B1DB1-Normal13"/>
        <w:pBdr>
          <w:top w:val="nil"/>
          <w:left w:val="nil"/>
          <w:bottom w:val="nil"/>
          <w:right w:val="nil"/>
          <w:between w:val="nil"/>
        </w:pBdr>
        <w:spacing w:line="240" w:lineRule="auto"/>
        <w:jc w:val="both"/>
        <w:rPr>
          <w:noProof/>
        </w:rPr>
      </w:pPr>
      <w:r>
        <w:rPr>
          <w:noProof/>
        </w:rPr>
        <w:t>Reforma se provodi do 31. prosinca 2025.</w:t>
      </w:r>
    </w:p>
    <w:p w14:paraId="0C850E72" w14:textId="0D9C1EDC" w:rsidR="00615E2D" w:rsidRDefault="00C83E46">
      <w:pPr>
        <w:pStyle w:val="P68B1DB1-Normal3"/>
        <w:autoSpaceDE w:val="0"/>
        <w:autoSpaceDN w:val="0"/>
        <w:adjustRightInd w:val="0"/>
        <w:spacing w:line="240" w:lineRule="auto"/>
        <w:jc w:val="both"/>
        <w:rPr>
          <w:noProof/>
        </w:rPr>
      </w:pPr>
      <w:r>
        <w:rPr>
          <w:b/>
          <w:noProof/>
        </w:rPr>
        <w:t>Ulaganje 1: Europski i nacionalni</w:t>
      </w:r>
      <w:r>
        <w:rPr>
          <w:noProof/>
        </w:rPr>
        <w:t xml:space="preserve"> </w:t>
      </w:r>
      <w:r>
        <w:rPr>
          <w:b/>
          <w:noProof/>
        </w:rPr>
        <w:t>digitalnoinovacijski centri</w:t>
      </w:r>
      <w:r>
        <w:rPr>
          <w:noProof/>
        </w:rPr>
        <w:t xml:space="preserve"> </w:t>
      </w:r>
    </w:p>
    <w:p w14:paraId="6787D034" w14:textId="77777777" w:rsidR="00615E2D" w:rsidRDefault="00C83E46">
      <w:pPr>
        <w:autoSpaceDE w:val="0"/>
        <w:autoSpaceDN w:val="0"/>
        <w:adjustRightInd w:val="0"/>
        <w:spacing w:line="240" w:lineRule="auto"/>
        <w:jc w:val="both"/>
        <w:rPr>
          <w:rFonts w:ascii="Calibri" w:hAnsi="Calibri"/>
          <w:noProof/>
          <w:sz w:val="22"/>
        </w:rPr>
      </w:pPr>
      <w:r>
        <w:rPr>
          <w:rFonts w:eastAsia="Times New Roman"/>
          <w:noProof/>
        </w:rPr>
        <w:t>Cilj je mjere poduprijeti digitalnu transformaciju uglavnom malih i srednjih poduzeća i državne uprave,</w:t>
      </w:r>
      <w:r>
        <w:rPr>
          <w:noProof/>
        </w:rPr>
        <w:t xml:space="preserve"> uvesti nove tehnologije</w:t>
      </w:r>
      <w:r>
        <w:rPr>
          <w:rFonts w:eastAsia="Times New Roman"/>
          <w:noProof/>
        </w:rPr>
        <w:t xml:space="preserve">, privući stručnjake u tom području i osigurati veću otpornost industrije i usluga na moguće daljnje krize. Predviđeno je sufinanciranje iz programa Digitalna Europa. </w:t>
      </w:r>
    </w:p>
    <w:p w14:paraId="604B3BD9" w14:textId="77777777" w:rsidR="00615E2D" w:rsidRDefault="00C83E46">
      <w:pPr>
        <w:autoSpaceDE w:val="0"/>
        <w:autoSpaceDN w:val="0"/>
        <w:adjustRightInd w:val="0"/>
        <w:spacing w:line="240" w:lineRule="auto"/>
        <w:jc w:val="both"/>
        <w:rPr>
          <w:rFonts w:eastAsia="Times New Roman"/>
          <w:noProof/>
        </w:rPr>
      </w:pPr>
      <w:r>
        <w:rPr>
          <w:noProof/>
        </w:rPr>
        <w:t>Uspostavlja se i stavlja u rad šest europskih i nacionalnih digitalnoinovacijskih centara.</w:t>
      </w:r>
      <w:r>
        <w:rPr>
          <w:rFonts w:eastAsia="Times New Roman"/>
          <w:noProof/>
        </w:rPr>
        <w:t xml:space="preserve"> </w:t>
      </w:r>
    </w:p>
    <w:p w14:paraId="4143CF52" w14:textId="06189426" w:rsidR="00615E2D" w:rsidRDefault="00C83E46">
      <w:pPr>
        <w:tabs>
          <w:tab w:val="right" w:pos="9639"/>
        </w:tabs>
        <w:autoSpaceDE w:val="0"/>
        <w:autoSpaceDN w:val="0"/>
        <w:adjustRightInd w:val="0"/>
        <w:spacing w:line="240" w:lineRule="auto"/>
        <w:jc w:val="both"/>
        <w:rPr>
          <w:rFonts w:ascii="Calibri" w:hAnsi="Calibri"/>
          <w:noProof/>
          <w:sz w:val="22"/>
        </w:rPr>
      </w:pPr>
      <w:r>
        <w:rPr>
          <w:rFonts w:eastAsia="Times New Roman"/>
          <w:noProof/>
        </w:rPr>
        <w:t xml:space="preserve">Ulaganje se </w:t>
      </w:r>
      <w:r>
        <w:rPr>
          <w:rFonts w:eastAsia="Times New Roman"/>
          <w:noProof/>
          <w:color w:val="000000"/>
        </w:rPr>
        <w:t>provodi</w:t>
      </w:r>
      <w:r>
        <w:rPr>
          <w:noProof/>
        </w:rPr>
        <w:t xml:space="preserve"> do 31. prosinca 2024.</w:t>
      </w:r>
      <w:r>
        <w:rPr>
          <w:noProof/>
        </w:rPr>
        <w:tab/>
      </w:r>
    </w:p>
    <w:p w14:paraId="61754E4F" w14:textId="751B4B65" w:rsidR="00615E2D" w:rsidRDefault="00C83E46">
      <w:pPr>
        <w:pStyle w:val="P68B1DB1-Normal26"/>
        <w:keepNext/>
        <w:autoSpaceDE w:val="0"/>
        <w:autoSpaceDN w:val="0"/>
        <w:adjustRightInd w:val="0"/>
        <w:spacing w:line="240" w:lineRule="auto"/>
        <w:jc w:val="both"/>
        <w:rPr>
          <w:noProof/>
        </w:rPr>
      </w:pPr>
      <w:r>
        <w:rPr>
          <w:noProof/>
        </w:rPr>
        <w:t>Ulaganje 2: Europski referentni centar za ispitivanje i eksperimentiranje</w:t>
      </w:r>
    </w:p>
    <w:p w14:paraId="6C4A1E83" w14:textId="563E010E" w:rsidR="00615E2D" w:rsidRDefault="00C83E46">
      <w:pPr>
        <w:pStyle w:val="P68B1DB1-Normal3"/>
        <w:autoSpaceDE w:val="0"/>
        <w:autoSpaceDN w:val="0"/>
        <w:adjustRightInd w:val="0"/>
        <w:spacing w:line="240" w:lineRule="auto"/>
        <w:jc w:val="both"/>
        <w:rPr>
          <w:noProof/>
        </w:rPr>
      </w:pPr>
      <w:r>
        <w:rPr>
          <w:noProof/>
        </w:rPr>
        <w:t xml:space="preserve">Uspostavlja se i stavlja u rad europski referentni objekt za ispitivanje i eksperimentiranje. Cilj je mjere uspostaviti vezu između istraživačkih sektora i šireg gospodarstva (kao što su europski i nacionalni digitalnoinovacijski centri) tako što će se poduzećima (npr. malim i srednjim poduzećima) omogućiti da testiraju tehnologije i aplikacije razvijene kako bi se mogle upotrebljavati u svojem poslovanju. Predviđeno je sufinanciranje iz programa Digitalna Europa. </w:t>
      </w:r>
    </w:p>
    <w:p w14:paraId="7281846B" w14:textId="293E8CC8" w:rsidR="00615E2D" w:rsidRDefault="00C83E46">
      <w:pPr>
        <w:pStyle w:val="P68B1DB1-Normal3"/>
        <w:autoSpaceDE w:val="0"/>
        <w:autoSpaceDN w:val="0"/>
        <w:adjustRightInd w:val="0"/>
        <w:spacing w:line="240" w:lineRule="auto"/>
        <w:jc w:val="both"/>
        <w:rPr>
          <w:noProof/>
        </w:rPr>
      </w:pPr>
      <w:r>
        <w:rPr>
          <w:noProof/>
        </w:rPr>
        <w:t xml:space="preserve">Ulaganje se </w:t>
      </w:r>
      <w:r>
        <w:rPr>
          <w:noProof/>
          <w:color w:val="000000"/>
        </w:rPr>
        <w:t>provodi</w:t>
      </w:r>
      <w:r>
        <w:rPr>
          <w:noProof/>
        </w:rPr>
        <w:t xml:space="preserve"> do 31. prosinca 2024.</w:t>
      </w:r>
    </w:p>
    <w:p w14:paraId="6DC1EE63" w14:textId="60FEFCBE" w:rsidR="00615E2D" w:rsidRDefault="00C83E46">
      <w:pPr>
        <w:pStyle w:val="P68B1DB1-Normal26"/>
        <w:autoSpaceDE w:val="0"/>
        <w:autoSpaceDN w:val="0"/>
        <w:adjustRightInd w:val="0"/>
        <w:spacing w:line="240" w:lineRule="auto"/>
        <w:jc w:val="both"/>
        <w:rPr>
          <w:noProof/>
        </w:rPr>
      </w:pPr>
      <w:r>
        <w:rPr>
          <w:noProof/>
        </w:rPr>
        <w:t>Ulaganje 3: Digitalna transformacija proizvodnih i neproizvodnih poduzeća i povećanje njihove otpornosti</w:t>
      </w:r>
    </w:p>
    <w:p w14:paraId="43E32CFF" w14:textId="213F3ECB" w:rsidR="00615E2D" w:rsidRDefault="00C83E46">
      <w:pPr>
        <w:pStyle w:val="P68B1DB1-Normal3"/>
        <w:autoSpaceDE w:val="0"/>
        <w:autoSpaceDN w:val="0"/>
        <w:adjustRightInd w:val="0"/>
        <w:spacing w:line="240" w:lineRule="auto"/>
        <w:jc w:val="both"/>
        <w:rPr>
          <w:noProof/>
        </w:rPr>
      </w:pPr>
      <w:r>
        <w:rPr>
          <w:noProof/>
        </w:rPr>
        <w:t>Izravna potpora digitalnoj transformaciji (kao što su umjetna inteligencija, automatizacija procesa, robotika, računalstvo visokih performansi i kibersigurnost) pruža se za 377 poduzeća. Dvije trećine sredstava osigurava se za mala i srednja poduzeća i poduzeća srednje tržišne kapitalizacije, a jedna trećina za velika poduzeća. Cilj je mjere povećati digitalne procese, posebno u malim i srednjim poduzećima, ali i u velikim poduzećima.</w:t>
      </w:r>
    </w:p>
    <w:p w14:paraId="7D42152A" w14:textId="77777777" w:rsidR="00615E2D" w:rsidRDefault="00C83E46">
      <w:pPr>
        <w:pStyle w:val="P68B1DB1-Normal3"/>
        <w:autoSpaceDE w:val="0"/>
        <w:autoSpaceDN w:val="0"/>
        <w:adjustRightInd w:val="0"/>
        <w:spacing w:line="240" w:lineRule="auto"/>
        <w:jc w:val="both"/>
        <w:rPr>
          <w:noProof/>
        </w:rPr>
      </w:pPr>
      <w:r>
        <w:rPr>
          <w:noProof/>
        </w:rPr>
        <w:t xml:space="preserve">Ulaganje se </w:t>
      </w:r>
      <w:r>
        <w:rPr>
          <w:noProof/>
          <w:color w:val="000000"/>
        </w:rPr>
        <w:t>provodi</w:t>
      </w:r>
      <w:r>
        <w:rPr>
          <w:noProof/>
        </w:rPr>
        <w:t xml:space="preserve"> do 31. prosinca 2025.</w:t>
      </w:r>
    </w:p>
    <w:p w14:paraId="6B32E6FD" w14:textId="77777777" w:rsidR="00615E2D" w:rsidRDefault="00615E2D">
      <w:pPr>
        <w:autoSpaceDE w:val="0"/>
        <w:autoSpaceDN w:val="0"/>
        <w:adjustRightInd w:val="0"/>
        <w:spacing w:line="240" w:lineRule="auto"/>
        <w:jc w:val="both"/>
        <w:rPr>
          <w:noProof/>
        </w:rPr>
        <w:sectPr w:rsidR="00615E2D" w:rsidSect="00507AA7">
          <w:headerReference w:type="even" r:id="rId102"/>
          <w:headerReference w:type="default" r:id="rId103"/>
          <w:footerReference w:type="even" r:id="rId104"/>
          <w:footerReference w:type="default" r:id="rId105"/>
          <w:headerReference w:type="first" r:id="rId106"/>
          <w:footerReference w:type="first" r:id="rId107"/>
          <w:pgSz w:w="11907" w:h="16839"/>
          <w:pgMar w:top="1134" w:right="1134" w:bottom="1134" w:left="1134" w:header="567" w:footer="567" w:gutter="0"/>
          <w:cols w:space="720"/>
          <w:docGrid w:linePitch="360"/>
        </w:sectPr>
      </w:pPr>
    </w:p>
    <w:p w14:paraId="615EE152" w14:textId="1258C2AC" w:rsidR="00615E2D" w:rsidRDefault="00C83E46">
      <w:pPr>
        <w:pStyle w:val="P68B1DB1-Normal5"/>
        <w:tabs>
          <w:tab w:val="left" w:pos="993"/>
        </w:tabs>
        <w:spacing w:line="240" w:lineRule="auto"/>
        <w:jc w:val="both"/>
        <w:rPr>
          <w:noProof/>
        </w:rPr>
      </w:pPr>
      <w:r>
        <w:rPr>
          <w:noProof/>
        </w:rPr>
        <w:t>E.2. Ključne etape, ciljne vrijednosti i vremenski raspored za praćenje i provedbu programa bespovratne financijske potpore</w:t>
      </w:r>
    </w:p>
    <w:tbl>
      <w:tblPr>
        <w:tblW w:w="14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200"/>
        <w:gridCol w:w="1067"/>
        <w:gridCol w:w="1068"/>
        <w:gridCol w:w="1172"/>
        <w:gridCol w:w="1068"/>
        <w:gridCol w:w="1015"/>
        <w:gridCol w:w="1068"/>
        <w:gridCol w:w="1014"/>
        <w:gridCol w:w="990"/>
        <w:gridCol w:w="4347"/>
      </w:tblGrid>
      <w:tr w:rsidR="00615E2D" w14:paraId="7BBC70BB" w14:textId="77777777">
        <w:trPr>
          <w:trHeight w:val="107"/>
          <w:tblHeader/>
        </w:trPr>
        <w:tc>
          <w:tcPr>
            <w:tcW w:w="675" w:type="dxa"/>
            <w:vMerge w:val="restart"/>
            <w:shd w:val="clear" w:color="auto" w:fill="BDD7EE"/>
            <w:vAlign w:val="center"/>
          </w:tcPr>
          <w:p w14:paraId="0FF6DEC2" w14:textId="77777777" w:rsidR="00615E2D" w:rsidRDefault="00C83E46">
            <w:pPr>
              <w:pStyle w:val="P68B1DB1-Normal27"/>
              <w:spacing w:line="240" w:lineRule="auto"/>
              <w:jc w:val="center"/>
              <w:rPr>
                <w:noProof/>
              </w:rPr>
            </w:pPr>
            <w:r>
              <w:rPr>
                <w:noProof/>
              </w:rPr>
              <w:t>Sljedeće NUM.</w:t>
            </w:r>
          </w:p>
        </w:tc>
        <w:tc>
          <w:tcPr>
            <w:tcW w:w="1278" w:type="dxa"/>
            <w:vMerge w:val="restart"/>
            <w:shd w:val="clear" w:color="auto" w:fill="BDD7EE"/>
            <w:vAlign w:val="center"/>
          </w:tcPr>
          <w:p w14:paraId="0CCC7566" w14:textId="77777777" w:rsidR="00615E2D" w:rsidRDefault="00C83E46">
            <w:pPr>
              <w:pStyle w:val="P68B1DB1-Normal9"/>
              <w:spacing w:line="240" w:lineRule="auto"/>
              <w:jc w:val="center"/>
              <w:rPr>
                <w:noProof/>
              </w:rPr>
            </w:pPr>
            <w:r>
              <w:rPr>
                <w:noProof/>
              </w:rPr>
              <w:t xml:space="preserve">Povezana mjera (reforma ili ulaganje) </w:t>
            </w:r>
          </w:p>
        </w:tc>
        <w:tc>
          <w:tcPr>
            <w:tcW w:w="1134" w:type="dxa"/>
            <w:vMerge w:val="restart"/>
            <w:shd w:val="clear" w:color="auto" w:fill="BDD7EE"/>
            <w:vAlign w:val="center"/>
          </w:tcPr>
          <w:p w14:paraId="1AC07105" w14:textId="77777777" w:rsidR="00615E2D" w:rsidRDefault="00C83E46">
            <w:pPr>
              <w:pStyle w:val="P68B1DB1-Normal9"/>
              <w:spacing w:line="240" w:lineRule="auto"/>
              <w:jc w:val="center"/>
              <w:rPr>
                <w:noProof/>
              </w:rPr>
            </w:pPr>
            <w:r>
              <w:rPr>
                <w:noProof/>
              </w:rPr>
              <w:t xml:space="preserve">Ključna etapa/ciljna vrijednost </w:t>
            </w:r>
          </w:p>
        </w:tc>
        <w:tc>
          <w:tcPr>
            <w:tcW w:w="1134" w:type="dxa"/>
            <w:vMerge w:val="restart"/>
            <w:shd w:val="clear" w:color="auto" w:fill="BDD7EE"/>
            <w:vAlign w:val="center"/>
          </w:tcPr>
          <w:p w14:paraId="63BC91AC" w14:textId="77777777" w:rsidR="00615E2D" w:rsidRDefault="00C83E46">
            <w:pPr>
              <w:pStyle w:val="P68B1DB1-Normal9"/>
              <w:spacing w:line="240" w:lineRule="auto"/>
              <w:jc w:val="center"/>
              <w:rPr>
                <w:noProof/>
              </w:rPr>
            </w:pPr>
            <w:r>
              <w:rPr>
                <w:noProof/>
              </w:rPr>
              <w:t xml:space="preserve">Ime </w:t>
            </w:r>
          </w:p>
        </w:tc>
        <w:tc>
          <w:tcPr>
            <w:tcW w:w="1247" w:type="dxa"/>
            <w:vMerge w:val="restart"/>
            <w:shd w:val="clear" w:color="auto" w:fill="BDD7EE"/>
            <w:vAlign w:val="center"/>
          </w:tcPr>
          <w:p w14:paraId="542D70EA"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2552" w:type="dxa"/>
            <w:gridSpan w:val="3"/>
            <w:shd w:val="clear" w:color="auto" w:fill="BDD7EE"/>
            <w:vAlign w:val="center"/>
          </w:tcPr>
          <w:p w14:paraId="6E519D64"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2126" w:type="dxa"/>
            <w:gridSpan w:val="2"/>
            <w:shd w:val="clear" w:color="auto" w:fill="BDD7EE"/>
            <w:vAlign w:val="center"/>
          </w:tcPr>
          <w:p w14:paraId="4C10041B" w14:textId="77777777" w:rsidR="00615E2D" w:rsidRDefault="00C83E46">
            <w:pPr>
              <w:pStyle w:val="P68B1DB1-Normal9"/>
              <w:spacing w:line="240" w:lineRule="auto"/>
              <w:jc w:val="center"/>
              <w:rPr>
                <w:noProof/>
              </w:rPr>
            </w:pPr>
            <w:r>
              <w:rPr>
                <w:noProof/>
              </w:rPr>
              <w:t xml:space="preserve">Okvirni vremenski okvir za dovršetak </w:t>
            </w:r>
          </w:p>
        </w:tc>
        <w:tc>
          <w:tcPr>
            <w:tcW w:w="4675" w:type="dxa"/>
            <w:vMerge w:val="restart"/>
            <w:shd w:val="clear" w:color="auto" w:fill="BDD7EE"/>
            <w:vAlign w:val="center"/>
          </w:tcPr>
          <w:p w14:paraId="1D7A668A"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1CC1AC19" w14:textId="77777777">
        <w:trPr>
          <w:trHeight w:val="173"/>
          <w:tblHeader/>
        </w:trPr>
        <w:tc>
          <w:tcPr>
            <w:tcW w:w="675" w:type="dxa"/>
            <w:vMerge/>
            <w:vAlign w:val="center"/>
          </w:tcPr>
          <w:p w14:paraId="073DA368" w14:textId="77777777" w:rsidR="00615E2D" w:rsidRDefault="00615E2D">
            <w:pPr>
              <w:spacing w:line="240" w:lineRule="auto"/>
              <w:jc w:val="center"/>
              <w:rPr>
                <w:noProof/>
                <w:sz w:val="18"/>
              </w:rPr>
            </w:pPr>
          </w:p>
        </w:tc>
        <w:tc>
          <w:tcPr>
            <w:tcW w:w="1278" w:type="dxa"/>
            <w:vMerge/>
            <w:vAlign w:val="center"/>
          </w:tcPr>
          <w:p w14:paraId="62B28ECB" w14:textId="77777777" w:rsidR="00615E2D" w:rsidRDefault="00615E2D">
            <w:pPr>
              <w:spacing w:line="240" w:lineRule="auto"/>
              <w:jc w:val="center"/>
              <w:rPr>
                <w:noProof/>
                <w:sz w:val="18"/>
              </w:rPr>
            </w:pPr>
          </w:p>
        </w:tc>
        <w:tc>
          <w:tcPr>
            <w:tcW w:w="1134" w:type="dxa"/>
            <w:vMerge/>
            <w:vAlign w:val="center"/>
          </w:tcPr>
          <w:p w14:paraId="771CDC8E" w14:textId="77777777" w:rsidR="00615E2D" w:rsidRDefault="00615E2D">
            <w:pPr>
              <w:spacing w:line="240" w:lineRule="auto"/>
              <w:jc w:val="center"/>
              <w:rPr>
                <w:noProof/>
                <w:sz w:val="18"/>
              </w:rPr>
            </w:pPr>
          </w:p>
        </w:tc>
        <w:tc>
          <w:tcPr>
            <w:tcW w:w="1134" w:type="dxa"/>
            <w:vMerge/>
            <w:vAlign w:val="center"/>
          </w:tcPr>
          <w:p w14:paraId="2946397C" w14:textId="77777777" w:rsidR="00615E2D" w:rsidRDefault="00615E2D">
            <w:pPr>
              <w:spacing w:line="240" w:lineRule="auto"/>
              <w:jc w:val="center"/>
              <w:rPr>
                <w:noProof/>
                <w:sz w:val="18"/>
              </w:rPr>
            </w:pPr>
          </w:p>
        </w:tc>
        <w:tc>
          <w:tcPr>
            <w:tcW w:w="1247" w:type="dxa"/>
            <w:vMerge/>
            <w:vAlign w:val="center"/>
          </w:tcPr>
          <w:p w14:paraId="0618144E" w14:textId="77777777" w:rsidR="00615E2D" w:rsidRDefault="00615E2D">
            <w:pPr>
              <w:spacing w:line="240" w:lineRule="auto"/>
              <w:jc w:val="center"/>
              <w:rPr>
                <w:noProof/>
                <w:sz w:val="18"/>
              </w:rPr>
            </w:pPr>
          </w:p>
        </w:tc>
        <w:tc>
          <w:tcPr>
            <w:tcW w:w="1134" w:type="dxa"/>
            <w:shd w:val="clear" w:color="auto" w:fill="BDD7EE"/>
            <w:vAlign w:val="center"/>
          </w:tcPr>
          <w:p w14:paraId="64CFA809" w14:textId="77777777" w:rsidR="00615E2D" w:rsidRDefault="00C83E46">
            <w:pPr>
              <w:pStyle w:val="P68B1DB1-Normal9"/>
              <w:spacing w:line="240" w:lineRule="auto"/>
              <w:jc w:val="center"/>
              <w:rPr>
                <w:noProof/>
              </w:rPr>
            </w:pPr>
            <w:r>
              <w:rPr>
                <w:noProof/>
              </w:rPr>
              <w:t>Jedinica mjere</w:t>
            </w:r>
          </w:p>
        </w:tc>
        <w:tc>
          <w:tcPr>
            <w:tcW w:w="1077" w:type="dxa"/>
            <w:shd w:val="clear" w:color="auto" w:fill="BDD7EE"/>
            <w:vAlign w:val="center"/>
          </w:tcPr>
          <w:p w14:paraId="0D6E47DA" w14:textId="77777777" w:rsidR="00615E2D" w:rsidRDefault="00C83E46">
            <w:pPr>
              <w:pStyle w:val="P68B1DB1-Normal9"/>
              <w:spacing w:line="240" w:lineRule="auto"/>
              <w:jc w:val="center"/>
              <w:rPr>
                <w:noProof/>
              </w:rPr>
            </w:pPr>
            <w:r>
              <w:rPr>
                <w:noProof/>
              </w:rPr>
              <w:t>Osnovna vrijednost</w:t>
            </w:r>
          </w:p>
        </w:tc>
        <w:tc>
          <w:tcPr>
            <w:tcW w:w="1134" w:type="dxa"/>
            <w:shd w:val="clear" w:color="auto" w:fill="BDD7EE"/>
            <w:vAlign w:val="center"/>
          </w:tcPr>
          <w:p w14:paraId="5AC71CDB" w14:textId="77777777" w:rsidR="00615E2D" w:rsidRDefault="00C83E46">
            <w:pPr>
              <w:pStyle w:val="P68B1DB1-Normal9"/>
              <w:spacing w:line="240" w:lineRule="auto"/>
              <w:jc w:val="center"/>
              <w:rPr>
                <w:noProof/>
              </w:rPr>
            </w:pPr>
            <w:r>
              <w:rPr>
                <w:noProof/>
              </w:rPr>
              <w:t>Cilj</w:t>
            </w:r>
          </w:p>
        </w:tc>
        <w:tc>
          <w:tcPr>
            <w:tcW w:w="1076" w:type="dxa"/>
            <w:shd w:val="clear" w:color="auto" w:fill="BDD7EE"/>
            <w:vAlign w:val="center"/>
          </w:tcPr>
          <w:p w14:paraId="23AAF346" w14:textId="77777777" w:rsidR="00615E2D" w:rsidRDefault="00C83E46">
            <w:pPr>
              <w:pStyle w:val="P68B1DB1-Normal9"/>
              <w:spacing w:line="240" w:lineRule="auto"/>
              <w:jc w:val="center"/>
              <w:rPr>
                <w:noProof/>
              </w:rPr>
            </w:pPr>
            <w:r>
              <w:rPr>
                <w:noProof/>
              </w:rPr>
              <w:t>Tromjesečje</w:t>
            </w:r>
          </w:p>
        </w:tc>
        <w:tc>
          <w:tcPr>
            <w:tcW w:w="1050" w:type="dxa"/>
            <w:shd w:val="clear" w:color="auto" w:fill="BDD7EE"/>
            <w:vAlign w:val="center"/>
          </w:tcPr>
          <w:p w14:paraId="7043859D" w14:textId="77777777" w:rsidR="00615E2D" w:rsidRDefault="00C83E46">
            <w:pPr>
              <w:pStyle w:val="P68B1DB1-Normal9"/>
              <w:spacing w:line="240" w:lineRule="auto"/>
              <w:jc w:val="center"/>
              <w:rPr>
                <w:noProof/>
              </w:rPr>
            </w:pPr>
            <w:r>
              <w:rPr>
                <w:noProof/>
              </w:rPr>
              <w:t>Godina</w:t>
            </w:r>
          </w:p>
        </w:tc>
        <w:tc>
          <w:tcPr>
            <w:tcW w:w="4675" w:type="dxa"/>
            <w:vMerge/>
            <w:vAlign w:val="center"/>
          </w:tcPr>
          <w:p w14:paraId="6969D949" w14:textId="77777777" w:rsidR="00615E2D" w:rsidRDefault="00615E2D">
            <w:pPr>
              <w:spacing w:line="240" w:lineRule="auto"/>
              <w:jc w:val="center"/>
              <w:rPr>
                <w:noProof/>
                <w:sz w:val="18"/>
              </w:rPr>
            </w:pPr>
          </w:p>
        </w:tc>
      </w:tr>
      <w:tr w:rsidR="00615E2D" w14:paraId="4F7ECF1D" w14:textId="77777777">
        <w:trPr>
          <w:trHeight w:val="945"/>
        </w:trPr>
        <w:tc>
          <w:tcPr>
            <w:tcW w:w="675" w:type="dxa"/>
            <w:shd w:val="clear" w:color="auto" w:fill="C6EFCE"/>
            <w:vAlign w:val="center"/>
          </w:tcPr>
          <w:p w14:paraId="4CF4081C" w14:textId="77777777" w:rsidR="00615E2D" w:rsidRDefault="00C83E46">
            <w:pPr>
              <w:pStyle w:val="P68B1DB1-Normal28"/>
              <w:spacing w:line="240" w:lineRule="auto"/>
              <w:jc w:val="center"/>
              <w:rPr>
                <w:noProof/>
              </w:rPr>
            </w:pPr>
            <w:r>
              <w:rPr>
                <w:noProof/>
              </w:rPr>
              <w:t>68</w:t>
            </w:r>
          </w:p>
        </w:tc>
        <w:tc>
          <w:tcPr>
            <w:tcW w:w="1278" w:type="dxa"/>
            <w:shd w:val="clear" w:color="auto" w:fill="C6EFCE"/>
            <w:vAlign w:val="center"/>
          </w:tcPr>
          <w:p w14:paraId="48E7E985" w14:textId="77777777" w:rsidR="00615E2D" w:rsidRDefault="00C83E46">
            <w:pPr>
              <w:pStyle w:val="P68B1DB1-Normal28"/>
              <w:spacing w:line="240" w:lineRule="auto"/>
              <w:rPr>
                <w:noProof/>
              </w:rPr>
            </w:pPr>
            <w:r>
              <w:rPr>
                <w:noProof/>
              </w:rPr>
              <w:t>Reforma 1.: Stvaranje platforme za digitalizaciju gospodarstva</w:t>
            </w:r>
          </w:p>
        </w:tc>
        <w:tc>
          <w:tcPr>
            <w:tcW w:w="1134" w:type="dxa"/>
            <w:shd w:val="clear" w:color="auto" w:fill="C6EFCE"/>
            <w:vAlign w:val="center"/>
          </w:tcPr>
          <w:p w14:paraId="03F67ADF" w14:textId="77777777" w:rsidR="00615E2D" w:rsidRDefault="00C83E46">
            <w:pPr>
              <w:pStyle w:val="P68B1DB1-Normal28"/>
              <w:spacing w:line="240" w:lineRule="auto"/>
              <w:rPr>
                <w:noProof/>
              </w:rPr>
            </w:pPr>
            <w:r>
              <w:rPr>
                <w:noProof/>
              </w:rPr>
              <w:t>Prekretnica</w:t>
            </w:r>
          </w:p>
        </w:tc>
        <w:tc>
          <w:tcPr>
            <w:tcW w:w="1134" w:type="dxa"/>
            <w:shd w:val="clear" w:color="auto" w:fill="C6EFCE"/>
            <w:vAlign w:val="center"/>
          </w:tcPr>
          <w:p w14:paraId="21D4718A" w14:textId="77777777" w:rsidR="00615E2D" w:rsidRDefault="00C83E46">
            <w:pPr>
              <w:pStyle w:val="P68B1DB1-Normal28"/>
              <w:spacing w:line="240" w:lineRule="auto"/>
              <w:rPr>
                <w:noProof/>
              </w:rPr>
            </w:pPr>
            <w:r>
              <w:rPr>
                <w:noProof/>
              </w:rPr>
              <w:t>Stvaranje platforme za digitalizaciju gospodarstva</w:t>
            </w:r>
          </w:p>
        </w:tc>
        <w:tc>
          <w:tcPr>
            <w:tcW w:w="1247" w:type="dxa"/>
            <w:shd w:val="clear" w:color="auto" w:fill="C6EFCE"/>
            <w:vAlign w:val="center"/>
          </w:tcPr>
          <w:p w14:paraId="6E147B45" w14:textId="77777777" w:rsidR="00615E2D" w:rsidRDefault="00C83E46">
            <w:pPr>
              <w:pStyle w:val="P68B1DB1-Normal28"/>
              <w:spacing w:line="240" w:lineRule="auto"/>
              <w:rPr>
                <w:noProof/>
              </w:rPr>
            </w:pPr>
            <w:r>
              <w:rPr>
                <w:noProof/>
              </w:rPr>
              <w:t>Pokretanje rada platforme</w:t>
            </w:r>
          </w:p>
        </w:tc>
        <w:tc>
          <w:tcPr>
            <w:tcW w:w="1134" w:type="dxa"/>
            <w:shd w:val="clear" w:color="auto" w:fill="C6EFCE"/>
            <w:vAlign w:val="center"/>
          </w:tcPr>
          <w:p w14:paraId="22C9F27D" w14:textId="77777777" w:rsidR="00615E2D" w:rsidRDefault="00615E2D">
            <w:pPr>
              <w:spacing w:line="240" w:lineRule="auto"/>
              <w:rPr>
                <w:noProof/>
                <w:color w:val="006100"/>
                <w:sz w:val="18"/>
              </w:rPr>
            </w:pPr>
          </w:p>
        </w:tc>
        <w:tc>
          <w:tcPr>
            <w:tcW w:w="1077" w:type="dxa"/>
            <w:shd w:val="clear" w:color="auto" w:fill="C6EFCE"/>
            <w:vAlign w:val="center"/>
          </w:tcPr>
          <w:p w14:paraId="386878F5" w14:textId="77777777" w:rsidR="00615E2D" w:rsidRDefault="00615E2D">
            <w:pPr>
              <w:spacing w:line="240" w:lineRule="auto"/>
              <w:jc w:val="center"/>
              <w:rPr>
                <w:noProof/>
                <w:color w:val="006100"/>
                <w:sz w:val="18"/>
              </w:rPr>
            </w:pPr>
          </w:p>
        </w:tc>
        <w:tc>
          <w:tcPr>
            <w:tcW w:w="1134" w:type="dxa"/>
            <w:shd w:val="clear" w:color="auto" w:fill="C6EFCE"/>
            <w:vAlign w:val="center"/>
          </w:tcPr>
          <w:p w14:paraId="1AF516CA" w14:textId="77777777" w:rsidR="00615E2D" w:rsidRDefault="00615E2D">
            <w:pPr>
              <w:spacing w:line="240" w:lineRule="auto"/>
              <w:jc w:val="center"/>
              <w:rPr>
                <w:noProof/>
                <w:color w:val="006100"/>
                <w:sz w:val="18"/>
              </w:rPr>
            </w:pPr>
          </w:p>
        </w:tc>
        <w:tc>
          <w:tcPr>
            <w:tcW w:w="1076" w:type="dxa"/>
            <w:shd w:val="clear" w:color="auto" w:fill="C6EFCE"/>
            <w:vAlign w:val="center"/>
          </w:tcPr>
          <w:p w14:paraId="4777F74F" w14:textId="77777777" w:rsidR="00615E2D" w:rsidRDefault="00C83E46">
            <w:pPr>
              <w:pStyle w:val="P68B1DB1-Normal28"/>
              <w:spacing w:line="240" w:lineRule="auto"/>
              <w:jc w:val="center"/>
              <w:rPr>
                <w:noProof/>
              </w:rPr>
            </w:pPr>
            <w:r>
              <w:rPr>
                <w:noProof/>
              </w:rPr>
              <w:t>TROMJESEČJE</w:t>
            </w:r>
          </w:p>
        </w:tc>
        <w:tc>
          <w:tcPr>
            <w:tcW w:w="1050" w:type="dxa"/>
            <w:shd w:val="clear" w:color="auto" w:fill="C6EFCE"/>
            <w:vAlign w:val="center"/>
          </w:tcPr>
          <w:p w14:paraId="605766D1" w14:textId="77777777" w:rsidR="00615E2D" w:rsidRDefault="00C83E46">
            <w:pPr>
              <w:pStyle w:val="P68B1DB1-Normal28"/>
              <w:spacing w:line="240" w:lineRule="auto"/>
              <w:jc w:val="center"/>
              <w:rPr>
                <w:noProof/>
              </w:rPr>
            </w:pPr>
            <w:r>
              <w:rPr>
                <w:noProof/>
              </w:rPr>
              <w:t>2022</w:t>
            </w:r>
          </w:p>
        </w:tc>
        <w:tc>
          <w:tcPr>
            <w:tcW w:w="4675" w:type="dxa"/>
            <w:shd w:val="clear" w:color="auto" w:fill="C6EFCE"/>
            <w:vAlign w:val="center"/>
          </w:tcPr>
          <w:p w14:paraId="141046F5" w14:textId="7230FA8D" w:rsidR="00615E2D" w:rsidRDefault="00C83E46">
            <w:pPr>
              <w:pStyle w:val="P68B1DB1-Normal12"/>
              <w:spacing w:line="240" w:lineRule="auto"/>
              <w:rPr>
                <w:noProof/>
                <w:color w:val="006100"/>
              </w:rPr>
            </w:pPr>
            <w:r>
              <w:rPr>
                <w:noProof/>
                <w:color w:val="006100"/>
              </w:rPr>
              <w:t>Uspostavlja se platforma za digitalizaciju gospodarstva i pokreće njezino djelovanje. Platforma koordinira međupovezanost svih aktera u nacionalnom digitalnom ekosustavu, kao što su europski i nacionalni digitalnoinovacijski centri, nacionalni centri za stručnost u području računalstva visokih performansi i kibersigurnosti, europski objekti za referentno testiranje i eksperimentiranje, inovacijski centri i klijenti svih tih centara.</w:t>
            </w:r>
            <w:r>
              <w:rPr>
                <w:rFonts w:ascii="Calibri" w:hAnsi="Calibri"/>
                <w:noProof/>
              </w:rPr>
              <w:t xml:space="preserve"> </w:t>
            </w:r>
            <w:r>
              <w:rPr>
                <w:noProof/>
                <w:color w:val="006100"/>
              </w:rPr>
              <w:t>Platforma djeluje kao jedna od radnih skupina Odbora za digitalnu transformaciju koja će se osnovati kao reforma 1 u okviru komponente 1.4.</w:t>
            </w:r>
          </w:p>
        </w:tc>
      </w:tr>
      <w:tr w:rsidR="00615E2D" w14:paraId="0BFC575A" w14:textId="77777777">
        <w:trPr>
          <w:trHeight w:val="945"/>
        </w:trPr>
        <w:tc>
          <w:tcPr>
            <w:tcW w:w="675" w:type="dxa"/>
            <w:shd w:val="clear" w:color="auto" w:fill="C6EFCE"/>
            <w:vAlign w:val="center"/>
          </w:tcPr>
          <w:p w14:paraId="4EDC6885" w14:textId="77777777" w:rsidR="00615E2D" w:rsidRDefault="00C83E46">
            <w:pPr>
              <w:pStyle w:val="P68B1DB1-Normal28"/>
              <w:spacing w:line="240" w:lineRule="auto"/>
              <w:jc w:val="center"/>
              <w:rPr>
                <w:noProof/>
              </w:rPr>
            </w:pPr>
            <w:r>
              <w:rPr>
                <w:noProof/>
              </w:rPr>
              <w:t>69</w:t>
            </w:r>
          </w:p>
        </w:tc>
        <w:tc>
          <w:tcPr>
            <w:tcW w:w="1278" w:type="dxa"/>
            <w:shd w:val="clear" w:color="auto" w:fill="C6EFCE"/>
            <w:vAlign w:val="center"/>
          </w:tcPr>
          <w:p w14:paraId="78A2A01D" w14:textId="77777777" w:rsidR="00615E2D" w:rsidRDefault="00C83E46">
            <w:pPr>
              <w:pStyle w:val="P68B1DB1-Normal28"/>
              <w:spacing w:line="240" w:lineRule="auto"/>
              <w:rPr>
                <w:noProof/>
              </w:rPr>
            </w:pPr>
            <w:r>
              <w:rPr>
                <w:noProof/>
              </w:rPr>
              <w:t>Ulaganje 1: Europski i nacionalni digitalnoinovacijski centri</w:t>
            </w:r>
          </w:p>
        </w:tc>
        <w:tc>
          <w:tcPr>
            <w:tcW w:w="1134" w:type="dxa"/>
            <w:shd w:val="clear" w:color="auto" w:fill="C6EFCE"/>
            <w:vAlign w:val="center"/>
          </w:tcPr>
          <w:p w14:paraId="11E564A9" w14:textId="77777777" w:rsidR="00615E2D" w:rsidRDefault="00C83E46">
            <w:pPr>
              <w:pStyle w:val="P68B1DB1-Normal28"/>
              <w:spacing w:line="240" w:lineRule="auto"/>
              <w:rPr>
                <w:noProof/>
              </w:rPr>
            </w:pPr>
            <w:r>
              <w:rPr>
                <w:noProof/>
              </w:rPr>
              <w:t>Ciljna</w:t>
            </w:r>
          </w:p>
        </w:tc>
        <w:tc>
          <w:tcPr>
            <w:tcW w:w="1134" w:type="dxa"/>
            <w:shd w:val="clear" w:color="auto" w:fill="C6EFCE"/>
            <w:vAlign w:val="center"/>
          </w:tcPr>
          <w:p w14:paraId="28535F11" w14:textId="77777777" w:rsidR="00615E2D" w:rsidRDefault="00C83E46">
            <w:pPr>
              <w:pStyle w:val="P68B1DB1-Normal28"/>
              <w:spacing w:line="240" w:lineRule="auto"/>
              <w:rPr>
                <w:noProof/>
              </w:rPr>
            </w:pPr>
            <w:r>
              <w:rPr>
                <w:noProof/>
              </w:rPr>
              <w:t>Stvaranje funkcionalnih i međusobno povezanih europskih i nacionalnih digitalnoinovacijskih centara</w:t>
            </w:r>
          </w:p>
        </w:tc>
        <w:tc>
          <w:tcPr>
            <w:tcW w:w="1247" w:type="dxa"/>
            <w:shd w:val="clear" w:color="auto" w:fill="C6EFCE"/>
            <w:vAlign w:val="center"/>
          </w:tcPr>
          <w:p w14:paraId="2172E772" w14:textId="77777777" w:rsidR="00615E2D" w:rsidRDefault="00615E2D">
            <w:pPr>
              <w:spacing w:line="240" w:lineRule="auto"/>
              <w:rPr>
                <w:noProof/>
                <w:color w:val="006100"/>
                <w:sz w:val="18"/>
              </w:rPr>
            </w:pPr>
          </w:p>
        </w:tc>
        <w:tc>
          <w:tcPr>
            <w:tcW w:w="1134" w:type="dxa"/>
            <w:shd w:val="clear" w:color="auto" w:fill="C6EFCE"/>
            <w:vAlign w:val="center"/>
          </w:tcPr>
          <w:p w14:paraId="5025B2D7" w14:textId="77777777" w:rsidR="00615E2D" w:rsidRDefault="00C83E46">
            <w:pPr>
              <w:pStyle w:val="P68B1DB1-Normal28"/>
              <w:spacing w:line="240" w:lineRule="auto"/>
              <w:rPr>
                <w:noProof/>
              </w:rPr>
            </w:pPr>
            <w:r>
              <w:rPr>
                <w:noProof/>
              </w:rPr>
              <w:t>Broj europskih i nacionalnih digitalnoinovacijskih centara</w:t>
            </w:r>
          </w:p>
        </w:tc>
        <w:tc>
          <w:tcPr>
            <w:tcW w:w="1077" w:type="dxa"/>
            <w:shd w:val="clear" w:color="auto" w:fill="C6EFCE"/>
            <w:vAlign w:val="center"/>
          </w:tcPr>
          <w:p w14:paraId="514AC54F" w14:textId="77777777" w:rsidR="00615E2D" w:rsidRDefault="00C83E46">
            <w:pPr>
              <w:pStyle w:val="P68B1DB1-Normal28"/>
              <w:spacing w:line="240" w:lineRule="auto"/>
              <w:jc w:val="center"/>
              <w:rPr>
                <w:noProof/>
              </w:rPr>
            </w:pPr>
            <w:r>
              <w:rPr>
                <w:noProof/>
              </w:rPr>
              <w:t>0</w:t>
            </w:r>
          </w:p>
        </w:tc>
        <w:tc>
          <w:tcPr>
            <w:tcW w:w="1134" w:type="dxa"/>
            <w:shd w:val="clear" w:color="auto" w:fill="C6EFCE"/>
            <w:vAlign w:val="center"/>
          </w:tcPr>
          <w:p w14:paraId="3C80546C" w14:textId="77777777" w:rsidR="00615E2D" w:rsidRDefault="00C83E46">
            <w:pPr>
              <w:pStyle w:val="P68B1DB1-Normal28"/>
              <w:spacing w:line="240" w:lineRule="auto"/>
              <w:jc w:val="center"/>
              <w:rPr>
                <w:noProof/>
              </w:rPr>
            </w:pPr>
            <w:r>
              <w:rPr>
                <w:noProof/>
              </w:rPr>
              <w:t>6</w:t>
            </w:r>
          </w:p>
        </w:tc>
        <w:tc>
          <w:tcPr>
            <w:tcW w:w="1076" w:type="dxa"/>
            <w:shd w:val="clear" w:color="auto" w:fill="C6EFCE"/>
            <w:vAlign w:val="center"/>
          </w:tcPr>
          <w:p w14:paraId="22337C37" w14:textId="77777777" w:rsidR="00615E2D" w:rsidRDefault="00C83E46">
            <w:pPr>
              <w:pStyle w:val="P68B1DB1-Normal28"/>
              <w:spacing w:line="240" w:lineRule="auto"/>
              <w:jc w:val="center"/>
              <w:rPr>
                <w:noProof/>
              </w:rPr>
            </w:pPr>
            <w:r>
              <w:rPr>
                <w:noProof/>
              </w:rPr>
              <w:t>ČETVRTO TROMJESEČJE</w:t>
            </w:r>
          </w:p>
        </w:tc>
        <w:tc>
          <w:tcPr>
            <w:tcW w:w="1050" w:type="dxa"/>
            <w:shd w:val="clear" w:color="auto" w:fill="C6EFCE"/>
            <w:vAlign w:val="center"/>
          </w:tcPr>
          <w:p w14:paraId="2C3120AD" w14:textId="77777777" w:rsidR="00615E2D" w:rsidRDefault="00C83E46">
            <w:pPr>
              <w:pStyle w:val="P68B1DB1-Normal28"/>
              <w:spacing w:line="240" w:lineRule="auto"/>
              <w:jc w:val="center"/>
              <w:rPr>
                <w:noProof/>
              </w:rPr>
            </w:pPr>
            <w:r>
              <w:rPr>
                <w:noProof/>
              </w:rPr>
              <w:t>2024</w:t>
            </w:r>
          </w:p>
        </w:tc>
        <w:tc>
          <w:tcPr>
            <w:tcW w:w="4675" w:type="dxa"/>
            <w:shd w:val="clear" w:color="auto" w:fill="C6EFCE"/>
            <w:vAlign w:val="center"/>
          </w:tcPr>
          <w:p w14:paraId="73BF4664" w14:textId="77777777" w:rsidR="00615E2D" w:rsidRDefault="00C83E46">
            <w:pPr>
              <w:pStyle w:val="P68B1DB1-Normal12"/>
              <w:spacing w:line="240" w:lineRule="auto"/>
              <w:rPr>
                <w:noProof/>
                <w:color w:val="006100"/>
              </w:rPr>
            </w:pPr>
            <w:r>
              <w:rPr>
                <w:noProof/>
                <w:color w:val="006100"/>
              </w:rPr>
              <w:t>Uspostavlja se šest europskih i nacionalnih digitalnoinovacijskih centara i pokreće njihov rad.</w:t>
            </w:r>
            <w:r>
              <w:rPr>
                <w:rFonts w:ascii="Calibri" w:hAnsi="Calibri"/>
                <w:noProof/>
              </w:rPr>
              <w:t xml:space="preserve"> </w:t>
            </w:r>
            <w:r>
              <w:rPr>
                <w:noProof/>
                <w:color w:val="006100"/>
              </w:rPr>
              <w:t>Ti digitalnoinovacijski centri podupiru digitalnu transformaciju uglavnom MSP-ova i državne uprave uvođenjem novih tehnologija, privlačenjem stručnjaka u tom području i osiguravanjem veće otpornosti industrije i usluga na moguće daljnje krize.</w:t>
            </w:r>
          </w:p>
        </w:tc>
      </w:tr>
      <w:tr w:rsidR="00615E2D" w14:paraId="0F519D78" w14:textId="77777777">
        <w:trPr>
          <w:trHeight w:val="945"/>
        </w:trPr>
        <w:tc>
          <w:tcPr>
            <w:tcW w:w="675" w:type="dxa"/>
            <w:shd w:val="clear" w:color="auto" w:fill="C6EFCE"/>
            <w:vAlign w:val="center"/>
          </w:tcPr>
          <w:p w14:paraId="6AAFD642" w14:textId="77777777" w:rsidR="00615E2D" w:rsidRDefault="00C83E46">
            <w:pPr>
              <w:pStyle w:val="P68B1DB1-Normal28"/>
              <w:spacing w:line="240" w:lineRule="auto"/>
              <w:jc w:val="center"/>
              <w:rPr>
                <w:noProof/>
              </w:rPr>
            </w:pPr>
            <w:r>
              <w:rPr>
                <w:noProof/>
              </w:rPr>
              <w:t>70</w:t>
            </w:r>
          </w:p>
        </w:tc>
        <w:tc>
          <w:tcPr>
            <w:tcW w:w="1278" w:type="dxa"/>
            <w:shd w:val="clear" w:color="auto" w:fill="C6EFCE"/>
            <w:vAlign w:val="center"/>
          </w:tcPr>
          <w:p w14:paraId="76BB9583" w14:textId="77777777" w:rsidR="00615E2D" w:rsidRDefault="00C83E46">
            <w:pPr>
              <w:pStyle w:val="P68B1DB1-Normal28"/>
              <w:spacing w:line="240" w:lineRule="auto"/>
              <w:rPr>
                <w:noProof/>
              </w:rPr>
            </w:pPr>
            <w:r>
              <w:rPr>
                <w:noProof/>
              </w:rPr>
              <w:t>Ulaganje 2: Europski referentni centar za ispitivanje i eksperimentiranje</w:t>
            </w:r>
          </w:p>
        </w:tc>
        <w:tc>
          <w:tcPr>
            <w:tcW w:w="1134" w:type="dxa"/>
            <w:shd w:val="clear" w:color="auto" w:fill="C6EFCE"/>
            <w:vAlign w:val="center"/>
          </w:tcPr>
          <w:p w14:paraId="1563C63E" w14:textId="77777777" w:rsidR="00615E2D" w:rsidRDefault="00C83E46">
            <w:pPr>
              <w:pStyle w:val="P68B1DB1-Normal28"/>
              <w:spacing w:line="240" w:lineRule="auto"/>
              <w:rPr>
                <w:noProof/>
              </w:rPr>
            </w:pPr>
            <w:r>
              <w:rPr>
                <w:noProof/>
              </w:rPr>
              <w:t>Ciljna</w:t>
            </w:r>
          </w:p>
        </w:tc>
        <w:tc>
          <w:tcPr>
            <w:tcW w:w="1134" w:type="dxa"/>
            <w:shd w:val="clear" w:color="auto" w:fill="C6EFCE"/>
            <w:vAlign w:val="center"/>
          </w:tcPr>
          <w:p w14:paraId="2FB8F18C" w14:textId="77777777" w:rsidR="00615E2D" w:rsidRDefault="00C83E46">
            <w:pPr>
              <w:pStyle w:val="P68B1DB1-Normal28"/>
              <w:spacing w:line="240" w:lineRule="auto"/>
              <w:rPr>
                <w:noProof/>
              </w:rPr>
            </w:pPr>
            <w:r>
              <w:rPr>
                <w:noProof/>
              </w:rPr>
              <w:t>Stvaranje europskog referentnog objekta za testiranje i eksperimentiranje</w:t>
            </w:r>
          </w:p>
        </w:tc>
        <w:tc>
          <w:tcPr>
            <w:tcW w:w="1247" w:type="dxa"/>
            <w:shd w:val="clear" w:color="auto" w:fill="C6EFCE"/>
            <w:vAlign w:val="center"/>
          </w:tcPr>
          <w:p w14:paraId="6517441A" w14:textId="77777777" w:rsidR="00615E2D" w:rsidRDefault="00615E2D">
            <w:pPr>
              <w:spacing w:line="240" w:lineRule="auto"/>
              <w:rPr>
                <w:noProof/>
                <w:color w:val="006100"/>
                <w:sz w:val="18"/>
              </w:rPr>
            </w:pPr>
          </w:p>
        </w:tc>
        <w:tc>
          <w:tcPr>
            <w:tcW w:w="1134" w:type="dxa"/>
            <w:shd w:val="clear" w:color="auto" w:fill="C6EFCE"/>
            <w:vAlign w:val="center"/>
          </w:tcPr>
          <w:p w14:paraId="489C74C8" w14:textId="77777777" w:rsidR="00615E2D" w:rsidRDefault="00C83E46">
            <w:pPr>
              <w:pStyle w:val="P68B1DB1-Normal28"/>
              <w:spacing w:line="240" w:lineRule="auto"/>
              <w:rPr>
                <w:noProof/>
              </w:rPr>
            </w:pPr>
            <w:r>
              <w:rPr>
                <w:noProof/>
              </w:rPr>
              <w:t>Broj europskih referentnih objekata za ispitivanje i eksperimentiranje</w:t>
            </w:r>
          </w:p>
        </w:tc>
        <w:tc>
          <w:tcPr>
            <w:tcW w:w="1077" w:type="dxa"/>
            <w:shd w:val="clear" w:color="auto" w:fill="C6EFCE"/>
            <w:vAlign w:val="center"/>
          </w:tcPr>
          <w:p w14:paraId="3539069B" w14:textId="77777777" w:rsidR="00615E2D" w:rsidRDefault="00C83E46">
            <w:pPr>
              <w:pStyle w:val="P68B1DB1-Normal28"/>
              <w:spacing w:line="240" w:lineRule="auto"/>
              <w:jc w:val="center"/>
              <w:rPr>
                <w:noProof/>
              </w:rPr>
            </w:pPr>
            <w:r>
              <w:rPr>
                <w:noProof/>
              </w:rPr>
              <w:t>0</w:t>
            </w:r>
          </w:p>
        </w:tc>
        <w:tc>
          <w:tcPr>
            <w:tcW w:w="1134" w:type="dxa"/>
            <w:shd w:val="clear" w:color="auto" w:fill="C6EFCE"/>
            <w:vAlign w:val="center"/>
          </w:tcPr>
          <w:p w14:paraId="67BF3C00" w14:textId="77777777" w:rsidR="00615E2D" w:rsidRDefault="00C83E46">
            <w:pPr>
              <w:pStyle w:val="P68B1DB1-Normal28"/>
              <w:spacing w:line="240" w:lineRule="auto"/>
              <w:jc w:val="center"/>
              <w:rPr>
                <w:noProof/>
              </w:rPr>
            </w:pPr>
            <w:r>
              <w:rPr>
                <w:noProof/>
              </w:rPr>
              <w:t>1</w:t>
            </w:r>
          </w:p>
        </w:tc>
        <w:tc>
          <w:tcPr>
            <w:tcW w:w="1076" w:type="dxa"/>
            <w:shd w:val="clear" w:color="auto" w:fill="C6EFCE"/>
            <w:vAlign w:val="center"/>
          </w:tcPr>
          <w:p w14:paraId="2E6DC815" w14:textId="5C08EAA8" w:rsidR="00615E2D" w:rsidRDefault="00C83E46">
            <w:pPr>
              <w:pStyle w:val="P68B1DB1-Normal28"/>
              <w:spacing w:line="240" w:lineRule="auto"/>
              <w:jc w:val="center"/>
              <w:rPr>
                <w:noProof/>
              </w:rPr>
            </w:pPr>
            <w:r>
              <w:rPr>
                <w:noProof/>
              </w:rPr>
              <w:t>ČETVRTO TROMJESEČJE</w:t>
            </w:r>
          </w:p>
        </w:tc>
        <w:tc>
          <w:tcPr>
            <w:tcW w:w="1050" w:type="dxa"/>
            <w:shd w:val="clear" w:color="auto" w:fill="C6EFCE"/>
            <w:vAlign w:val="center"/>
          </w:tcPr>
          <w:p w14:paraId="44A19FAD" w14:textId="5D1F1D8D" w:rsidR="00615E2D" w:rsidRDefault="00C83E46">
            <w:pPr>
              <w:pStyle w:val="P68B1DB1-Normal28"/>
              <w:spacing w:line="240" w:lineRule="auto"/>
              <w:jc w:val="center"/>
              <w:rPr>
                <w:noProof/>
              </w:rPr>
            </w:pPr>
            <w:r>
              <w:rPr>
                <w:noProof/>
              </w:rPr>
              <w:t>2024</w:t>
            </w:r>
          </w:p>
        </w:tc>
        <w:tc>
          <w:tcPr>
            <w:tcW w:w="4675" w:type="dxa"/>
            <w:shd w:val="clear" w:color="auto" w:fill="C6EFCE"/>
            <w:vAlign w:val="center"/>
          </w:tcPr>
          <w:p w14:paraId="077785B8" w14:textId="3A0A50CA" w:rsidR="00615E2D" w:rsidRDefault="00C83E46">
            <w:pPr>
              <w:pStyle w:val="P68B1DB1-Normal12"/>
              <w:spacing w:line="240" w:lineRule="auto"/>
              <w:rPr>
                <w:noProof/>
                <w:color w:val="006100"/>
              </w:rPr>
            </w:pPr>
            <w:r>
              <w:rPr>
                <w:noProof/>
                <w:color w:val="006100"/>
              </w:rPr>
              <w:t>Uspostavlja se europski referentni objekt za testiranje i eksperimentiranje te se pokreće njegov rad.</w:t>
            </w:r>
            <w:r>
              <w:rPr>
                <w:rFonts w:ascii="Calibri" w:hAnsi="Calibri"/>
                <w:noProof/>
              </w:rPr>
              <w:t xml:space="preserve"> </w:t>
            </w:r>
            <w:r>
              <w:rPr>
                <w:noProof/>
                <w:color w:val="006100"/>
              </w:rPr>
              <w:t>Tim se instrumentom uspostavlja veza između istraživačkih sektora i šireg gospodarstva (kao što su europski i nacionalni digitalnoinovacijski centri) tako što će se poduzećima (npr. malim i srednjim poduzećima) omogućiti da testiraju tehnologije i aplikacije razvijene kako bi se mogle upotrebljavati u svojem poslovanju.</w:t>
            </w:r>
          </w:p>
        </w:tc>
      </w:tr>
      <w:tr w:rsidR="00615E2D" w14:paraId="776E5F35" w14:textId="77777777">
        <w:trPr>
          <w:trHeight w:val="945"/>
        </w:trPr>
        <w:tc>
          <w:tcPr>
            <w:tcW w:w="675" w:type="dxa"/>
            <w:shd w:val="clear" w:color="auto" w:fill="C6EFCE"/>
            <w:vAlign w:val="center"/>
          </w:tcPr>
          <w:p w14:paraId="4912ABDB" w14:textId="77777777" w:rsidR="00615E2D" w:rsidRDefault="00C83E46">
            <w:pPr>
              <w:pStyle w:val="P68B1DB1-Normal28"/>
              <w:spacing w:line="240" w:lineRule="auto"/>
              <w:jc w:val="center"/>
              <w:rPr>
                <w:noProof/>
              </w:rPr>
            </w:pPr>
            <w:r>
              <w:rPr>
                <w:noProof/>
              </w:rPr>
              <w:t>71</w:t>
            </w:r>
          </w:p>
        </w:tc>
        <w:tc>
          <w:tcPr>
            <w:tcW w:w="1278" w:type="dxa"/>
            <w:shd w:val="clear" w:color="auto" w:fill="C6EFCE"/>
            <w:vAlign w:val="center"/>
          </w:tcPr>
          <w:p w14:paraId="6C57D14A" w14:textId="77777777" w:rsidR="00615E2D" w:rsidRDefault="00C83E46">
            <w:pPr>
              <w:pStyle w:val="P68B1DB1-Normal28"/>
              <w:spacing w:line="240" w:lineRule="auto"/>
              <w:rPr>
                <w:noProof/>
              </w:rPr>
            </w:pPr>
            <w:r>
              <w:rPr>
                <w:noProof/>
              </w:rPr>
              <w:t>Ulaganje 3: Digitalna transformacija proizvodnih i neproizvodnih poduzeća i povećanje njihove otpornosti</w:t>
            </w:r>
          </w:p>
        </w:tc>
        <w:tc>
          <w:tcPr>
            <w:tcW w:w="1134" w:type="dxa"/>
            <w:shd w:val="clear" w:color="auto" w:fill="C6EFCE"/>
            <w:vAlign w:val="center"/>
          </w:tcPr>
          <w:p w14:paraId="0004F0D5" w14:textId="77777777" w:rsidR="00615E2D" w:rsidRDefault="00C83E46">
            <w:pPr>
              <w:pStyle w:val="P68B1DB1-Normal28"/>
              <w:spacing w:line="240" w:lineRule="auto"/>
              <w:rPr>
                <w:noProof/>
              </w:rPr>
            </w:pPr>
            <w:r>
              <w:rPr>
                <w:noProof/>
              </w:rPr>
              <w:t>Ciljna</w:t>
            </w:r>
          </w:p>
        </w:tc>
        <w:tc>
          <w:tcPr>
            <w:tcW w:w="1134" w:type="dxa"/>
            <w:shd w:val="clear" w:color="auto" w:fill="C6EFCE"/>
            <w:vAlign w:val="center"/>
          </w:tcPr>
          <w:p w14:paraId="5897D30D" w14:textId="77777777" w:rsidR="00615E2D" w:rsidRDefault="00C83E46">
            <w:pPr>
              <w:pStyle w:val="P68B1DB1-Normal28"/>
              <w:spacing w:line="240" w:lineRule="auto"/>
              <w:rPr>
                <w:noProof/>
              </w:rPr>
            </w:pPr>
            <w:r>
              <w:rPr>
                <w:noProof/>
              </w:rPr>
              <w:t xml:space="preserve">Izravna potpora poduzećima za digitalnu transformaciju </w:t>
            </w:r>
          </w:p>
        </w:tc>
        <w:tc>
          <w:tcPr>
            <w:tcW w:w="1247" w:type="dxa"/>
            <w:shd w:val="clear" w:color="auto" w:fill="C6EFCE"/>
            <w:vAlign w:val="center"/>
          </w:tcPr>
          <w:p w14:paraId="538871FD" w14:textId="77777777" w:rsidR="00615E2D" w:rsidRDefault="00615E2D">
            <w:pPr>
              <w:spacing w:line="240" w:lineRule="auto"/>
              <w:rPr>
                <w:noProof/>
                <w:color w:val="006100"/>
                <w:sz w:val="18"/>
              </w:rPr>
            </w:pPr>
          </w:p>
        </w:tc>
        <w:tc>
          <w:tcPr>
            <w:tcW w:w="1134" w:type="dxa"/>
            <w:shd w:val="clear" w:color="auto" w:fill="C6EFCE"/>
            <w:vAlign w:val="center"/>
          </w:tcPr>
          <w:p w14:paraId="3489DD90" w14:textId="77777777" w:rsidR="00615E2D" w:rsidRDefault="00C83E46">
            <w:pPr>
              <w:pStyle w:val="P68B1DB1-Normal28"/>
              <w:spacing w:line="240" w:lineRule="auto"/>
              <w:rPr>
                <w:noProof/>
              </w:rPr>
            </w:pPr>
            <w:r>
              <w:rPr>
                <w:noProof/>
              </w:rPr>
              <w:t>Broj poduzeća</w:t>
            </w:r>
          </w:p>
        </w:tc>
        <w:tc>
          <w:tcPr>
            <w:tcW w:w="1077" w:type="dxa"/>
            <w:shd w:val="clear" w:color="auto" w:fill="C6EFCE"/>
            <w:vAlign w:val="center"/>
          </w:tcPr>
          <w:p w14:paraId="2805B14F" w14:textId="77777777" w:rsidR="00615E2D" w:rsidRDefault="00C83E46">
            <w:pPr>
              <w:pStyle w:val="P68B1DB1-Normal28"/>
              <w:spacing w:line="240" w:lineRule="auto"/>
              <w:jc w:val="center"/>
              <w:rPr>
                <w:noProof/>
              </w:rPr>
            </w:pPr>
            <w:r>
              <w:rPr>
                <w:noProof/>
              </w:rPr>
              <w:t>0</w:t>
            </w:r>
          </w:p>
        </w:tc>
        <w:tc>
          <w:tcPr>
            <w:tcW w:w="1134" w:type="dxa"/>
            <w:shd w:val="clear" w:color="auto" w:fill="C6EFCE"/>
            <w:vAlign w:val="center"/>
          </w:tcPr>
          <w:p w14:paraId="7D6FEEEC" w14:textId="77777777" w:rsidR="00615E2D" w:rsidRDefault="00C83E46">
            <w:pPr>
              <w:pStyle w:val="P68B1DB1-Normal28"/>
              <w:spacing w:line="240" w:lineRule="auto"/>
              <w:jc w:val="center"/>
              <w:rPr>
                <w:noProof/>
              </w:rPr>
            </w:pPr>
            <w:r>
              <w:rPr>
                <w:noProof/>
              </w:rPr>
              <w:t xml:space="preserve">377 </w:t>
            </w:r>
          </w:p>
        </w:tc>
        <w:tc>
          <w:tcPr>
            <w:tcW w:w="1076" w:type="dxa"/>
            <w:shd w:val="clear" w:color="auto" w:fill="C6EFCE"/>
            <w:vAlign w:val="center"/>
          </w:tcPr>
          <w:p w14:paraId="4A2DE206" w14:textId="77777777" w:rsidR="00615E2D" w:rsidRDefault="00C83E46">
            <w:pPr>
              <w:pStyle w:val="P68B1DB1-Normal28"/>
              <w:spacing w:line="240" w:lineRule="auto"/>
              <w:jc w:val="center"/>
              <w:rPr>
                <w:noProof/>
              </w:rPr>
            </w:pPr>
            <w:r>
              <w:rPr>
                <w:noProof/>
              </w:rPr>
              <w:t>ČETVRTO TROMJESEČJE</w:t>
            </w:r>
          </w:p>
        </w:tc>
        <w:tc>
          <w:tcPr>
            <w:tcW w:w="1050" w:type="dxa"/>
            <w:shd w:val="clear" w:color="auto" w:fill="C6EFCE"/>
            <w:vAlign w:val="center"/>
          </w:tcPr>
          <w:p w14:paraId="5D44D79F" w14:textId="77777777" w:rsidR="00615E2D" w:rsidRDefault="00C83E46">
            <w:pPr>
              <w:pStyle w:val="P68B1DB1-Normal28"/>
              <w:spacing w:line="240" w:lineRule="auto"/>
              <w:jc w:val="center"/>
              <w:rPr>
                <w:noProof/>
              </w:rPr>
            </w:pPr>
            <w:r>
              <w:rPr>
                <w:noProof/>
              </w:rPr>
              <w:t>2025</w:t>
            </w:r>
          </w:p>
        </w:tc>
        <w:tc>
          <w:tcPr>
            <w:tcW w:w="4675" w:type="dxa"/>
            <w:shd w:val="clear" w:color="auto" w:fill="C6EFCE"/>
            <w:vAlign w:val="center"/>
          </w:tcPr>
          <w:p w14:paraId="3510C7A1" w14:textId="77777777" w:rsidR="00615E2D" w:rsidRDefault="00C83E46">
            <w:pPr>
              <w:pStyle w:val="P68B1DB1-Normal28"/>
              <w:spacing w:line="240" w:lineRule="auto"/>
              <w:rPr>
                <w:noProof/>
              </w:rPr>
            </w:pPr>
            <w:r>
              <w:rPr>
                <w:noProof/>
              </w:rPr>
              <w:t>377 poduzeća mora biti digitalno transformirano. Tom se digitalnom transformacijom povećavaju digitalni procesi, posebno u MSP-ovima. Potpora se pruža aktivnostima kao što su uvođenje digitalizacije u poduzeća, uključujući potrebnu analizu procesa, uvođenje digitalnih rješenja u područjima povezanima s umjetnom inteligencijom, automatizacijom procesa, robotikom i kibersigurnošću internetskih i kiberfizičkih sustava te uvođenje novih tehnologija, nabava novih tehnoloških uređaja i opreme, uključujući potrebnu infrastrukturu, međusobno povezivanje stečenih ili postojećih tehnologija upotrebom najsuvremenijih komunikacijskih kanala i protokola (autonomna dvosmjerna komunikacija).</w:t>
            </w:r>
          </w:p>
          <w:p w14:paraId="5FC72F4C" w14:textId="7D4A40A6" w:rsidR="00615E2D" w:rsidRDefault="00C83E46">
            <w:pPr>
              <w:pStyle w:val="P68B1DB1-Normal28"/>
              <w:spacing w:line="240" w:lineRule="auto"/>
              <w:rPr>
                <w:noProof/>
              </w:rPr>
            </w:pPr>
            <w:r>
              <w:rPr>
                <w:noProof/>
              </w:rPr>
              <w:t>Najmanje dvije trećine dodijeljenih potpora mora biti usmjereno na MSP-ove i poduzeća srednje tržišne kapitalizacije.</w:t>
            </w:r>
          </w:p>
        </w:tc>
      </w:tr>
    </w:tbl>
    <w:p w14:paraId="604763F8" w14:textId="77777777" w:rsidR="00615E2D" w:rsidRDefault="00615E2D">
      <w:pPr>
        <w:tabs>
          <w:tab w:val="left" w:pos="993"/>
        </w:tabs>
        <w:spacing w:line="240" w:lineRule="auto"/>
        <w:jc w:val="both"/>
        <w:rPr>
          <w:b/>
          <w:noProof/>
          <w:u w:val="single"/>
        </w:rPr>
        <w:sectPr w:rsidR="00615E2D" w:rsidSect="00507AA7">
          <w:headerReference w:type="even" r:id="rId108"/>
          <w:headerReference w:type="default" r:id="rId109"/>
          <w:footerReference w:type="even" r:id="rId110"/>
          <w:footerReference w:type="default" r:id="rId111"/>
          <w:headerReference w:type="first" r:id="rId112"/>
          <w:footerReference w:type="first" r:id="rId113"/>
          <w:pgSz w:w="16839" w:h="11907" w:orient="landscape"/>
          <w:pgMar w:top="1134" w:right="1134" w:bottom="1134" w:left="1134" w:header="567" w:footer="567" w:gutter="0"/>
          <w:cols w:space="720"/>
          <w:docGrid w:linePitch="326"/>
        </w:sectPr>
      </w:pPr>
    </w:p>
    <w:p w14:paraId="0B7B7ABC" w14:textId="2EB6FC81" w:rsidR="00615E2D" w:rsidRDefault="00C83E46">
      <w:pPr>
        <w:pStyle w:val="P68B1DB1-Normal5"/>
        <w:spacing w:line="240" w:lineRule="auto"/>
        <w:jc w:val="both"/>
        <w:rPr>
          <w:noProof/>
        </w:rPr>
      </w:pPr>
      <w:r>
        <w:rPr>
          <w:noProof/>
        </w:rPr>
        <w:t>E.3. Opis reformi i ulaganja za zajam</w:t>
      </w:r>
    </w:p>
    <w:p w14:paraId="1B2022B7" w14:textId="77777777" w:rsidR="00615E2D" w:rsidRDefault="00C83E46">
      <w:pPr>
        <w:pStyle w:val="P68B1DB1-Normal26"/>
        <w:rPr>
          <w:noProof/>
        </w:rPr>
      </w:pPr>
      <w:r>
        <w:rPr>
          <w:noProof/>
        </w:rPr>
        <w:t>Ulaganje 4 – IPCEI Mikroelektronika i komunikacijske tehnologije</w:t>
      </w:r>
    </w:p>
    <w:p w14:paraId="3AE08499" w14:textId="6C5784C6" w:rsidR="00615E2D" w:rsidRDefault="00C83E46">
      <w:pPr>
        <w:pStyle w:val="P68B1DB1-Normal3"/>
        <w:autoSpaceDE w:val="0"/>
        <w:autoSpaceDN w:val="0"/>
        <w:adjustRightInd w:val="0"/>
        <w:spacing w:line="240" w:lineRule="auto"/>
        <w:jc w:val="both"/>
        <w:rPr>
          <w:noProof/>
        </w:rPr>
      </w:pPr>
      <w:r>
        <w:rPr>
          <w:noProof/>
        </w:rPr>
        <w:t>Cilj je ulaganja pružiti potporu u obliku izravnih bespovratnih sredstava odabranim poduzećima koja sudjeluju u četiri projekta, koji su dio važnih projekata od zajedničkog europskog interesa u području mikroelektronike i komunikacijskih tehnologija. Cilj je mjere pridonijeti prekograničnoj inicijativi za potporu istraživanju i razvoju, a time i jačanju strateške autonomije i kapaciteta EU-a u osmišljavanju i uvođenju sljedeće generacije mikroprocesora, poluvodiča i komunikacijskih tehnologija.</w:t>
      </w:r>
    </w:p>
    <w:p w14:paraId="524BAB50" w14:textId="44EE1355" w:rsidR="00615E2D" w:rsidRDefault="00C83E46">
      <w:pPr>
        <w:pStyle w:val="P68B1DB1-Normal3"/>
        <w:autoSpaceDE w:val="0"/>
        <w:autoSpaceDN w:val="0"/>
        <w:adjustRightInd w:val="0"/>
        <w:spacing w:line="240" w:lineRule="auto"/>
        <w:jc w:val="both"/>
        <w:rPr>
          <w:noProof/>
        </w:rPr>
        <w:sectPr w:rsidR="00615E2D" w:rsidSect="00507AA7">
          <w:headerReference w:type="even" r:id="rId114"/>
          <w:headerReference w:type="default" r:id="rId115"/>
          <w:footerReference w:type="even" r:id="rId116"/>
          <w:footerReference w:type="default" r:id="rId117"/>
          <w:headerReference w:type="first" r:id="rId118"/>
          <w:footerReference w:type="first" r:id="rId119"/>
          <w:pgSz w:w="11907" w:h="16839"/>
          <w:pgMar w:top="1134" w:right="1134" w:bottom="1134" w:left="1134" w:header="567" w:footer="567" w:gutter="0"/>
          <w:cols w:space="720"/>
          <w:docGrid w:linePitch="326"/>
        </w:sectPr>
      </w:pPr>
      <w:r>
        <w:rPr>
          <w:noProof/>
        </w:rPr>
        <w:t>Ulaganje se provodi do 30. lipnja 2026.</w:t>
      </w:r>
    </w:p>
    <w:p w14:paraId="5D7E0D2E" w14:textId="32B4A5CE" w:rsidR="00615E2D" w:rsidRDefault="00C83E46">
      <w:pPr>
        <w:pStyle w:val="P68B1DB1-Normal5"/>
        <w:tabs>
          <w:tab w:val="left" w:pos="993"/>
        </w:tabs>
        <w:spacing w:line="240" w:lineRule="auto"/>
        <w:jc w:val="both"/>
        <w:rPr>
          <w:noProof/>
        </w:rPr>
      </w:pPr>
      <w:r>
        <w:rPr>
          <w:noProof/>
        </w:rPr>
        <w:t>E.4. Ključne etape, ciljne vrijednosti, pokazatelji i vremenski raspored za praćenje i provedbu zajma</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29"/>
        <w:gridCol w:w="1542"/>
        <w:gridCol w:w="1093"/>
        <w:gridCol w:w="1467"/>
        <w:gridCol w:w="1704"/>
        <w:gridCol w:w="990"/>
        <w:gridCol w:w="990"/>
        <w:gridCol w:w="990"/>
        <w:gridCol w:w="1093"/>
        <w:gridCol w:w="632"/>
        <w:gridCol w:w="3891"/>
      </w:tblGrid>
      <w:tr w:rsidR="00615E2D" w14:paraId="7D0AB97E" w14:textId="77777777">
        <w:trPr>
          <w:trHeight w:val="672"/>
          <w:tblHeader/>
          <w:jc w:val="center"/>
        </w:trPr>
        <w:tc>
          <w:tcPr>
            <w:tcW w:w="647" w:type="dxa"/>
            <w:vMerge w:val="restart"/>
            <w:shd w:val="clear" w:color="auto" w:fill="BDD7EE"/>
            <w:vAlign w:val="center"/>
            <w:hideMark/>
          </w:tcPr>
          <w:p w14:paraId="47CC8842" w14:textId="77777777" w:rsidR="00615E2D" w:rsidRDefault="00C83E46">
            <w:pPr>
              <w:pStyle w:val="P68B1DB1-Normal9"/>
              <w:spacing w:before="0" w:after="0" w:line="240" w:lineRule="auto"/>
              <w:jc w:val="center"/>
              <w:rPr>
                <w:noProof/>
              </w:rPr>
            </w:pPr>
            <w:r>
              <w:rPr>
                <w:noProof/>
              </w:rPr>
              <w:t>Sljedeće NUM.</w:t>
            </w:r>
          </w:p>
        </w:tc>
        <w:tc>
          <w:tcPr>
            <w:tcW w:w="1603" w:type="dxa"/>
            <w:vMerge w:val="restart"/>
            <w:shd w:val="clear" w:color="auto" w:fill="BDD7EE"/>
            <w:vAlign w:val="center"/>
            <w:hideMark/>
          </w:tcPr>
          <w:p w14:paraId="0C94310F"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2C2AC133" w14:textId="77777777" w:rsidR="00615E2D" w:rsidRDefault="00C83E46">
            <w:pPr>
              <w:pStyle w:val="P68B1DB1-Normal9"/>
              <w:spacing w:before="0" w:after="0" w:line="240" w:lineRule="auto"/>
              <w:jc w:val="center"/>
              <w:rPr>
                <w:noProof/>
              </w:rPr>
            </w:pPr>
            <w:r>
              <w:rPr>
                <w:noProof/>
              </w:rPr>
              <w:t>Ključna etapa/ciljna vrijednost</w:t>
            </w:r>
          </w:p>
        </w:tc>
        <w:tc>
          <w:tcPr>
            <w:tcW w:w="1525" w:type="dxa"/>
            <w:vMerge w:val="restart"/>
            <w:shd w:val="clear" w:color="auto" w:fill="BDD7EE"/>
            <w:vAlign w:val="center"/>
            <w:hideMark/>
          </w:tcPr>
          <w:p w14:paraId="7F429691" w14:textId="77777777" w:rsidR="00615E2D" w:rsidRDefault="00C83E46">
            <w:pPr>
              <w:pStyle w:val="P68B1DB1-Normal9"/>
              <w:spacing w:before="0" w:after="0" w:line="240" w:lineRule="auto"/>
              <w:jc w:val="center"/>
              <w:rPr>
                <w:noProof/>
              </w:rPr>
            </w:pPr>
            <w:r>
              <w:rPr>
                <w:noProof/>
              </w:rPr>
              <w:t>Ime</w:t>
            </w:r>
          </w:p>
        </w:tc>
        <w:tc>
          <w:tcPr>
            <w:tcW w:w="1774" w:type="dxa"/>
            <w:vMerge w:val="restart"/>
            <w:shd w:val="clear" w:color="auto" w:fill="BDD7EE"/>
            <w:vAlign w:val="center"/>
            <w:hideMark/>
          </w:tcPr>
          <w:p w14:paraId="38973F19"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3078" w:type="dxa"/>
            <w:gridSpan w:val="3"/>
            <w:shd w:val="clear" w:color="auto" w:fill="BDD7EE"/>
            <w:vAlign w:val="center"/>
            <w:hideMark/>
          </w:tcPr>
          <w:p w14:paraId="1D5C76D4"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303" w:type="dxa"/>
            <w:gridSpan w:val="2"/>
            <w:shd w:val="clear" w:color="auto" w:fill="BDD7EE"/>
            <w:vAlign w:val="center"/>
            <w:hideMark/>
          </w:tcPr>
          <w:p w14:paraId="7F476732"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065" w:type="dxa"/>
            <w:vMerge w:val="restart"/>
            <w:shd w:val="clear" w:color="auto" w:fill="BDD7EE"/>
            <w:vAlign w:val="center"/>
            <w:hideMark/>
          </w:tcPr>
          <w:p w14:paraId="714EF49A"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5975C508" w14:textId="77777777">
        <w:trPr>
          <w:trHeight w:val="458"/>
          <w:tblHeader/>
          <w:jc w:val="center"/>
        </w:trPr>
        <w:tc>
          <w:tcPr>
            <w:tcW w:w="647" w:type="dxa"/>
            <w:vMerge/>
            <w:vAlign w:val="center"/>
            <w:hideMark/>
          </w:tcPr>
          <w:p w14:paraId="1F7B193A" w14:textId="77777777" w:rsidR="00615E2D" w:rsidRDefault="00615E2D">
            <w:pPr>
              <w:spacing w:before="0" w:after="0" w:line="240" w:lineRule="auto"/>
              <w:rPr>
                <w:rFonts w:eastAsia="Times New Roman"/>
                <w:b/>
                <w:noProof/>
                <w:sz w:val="18"/>
              </w:rPr>
            </w:pPr>
          </w:p>
        </w:tc>
        <w:tc>
          <w:tcPr>
            <w:tcW w:w="1603" w:type="dxa"/>
            <w:vMerge/>
            <w:vAlign w:val="center"/>
            <w:hideMark/>
          </w:tcPr>
          <w:p w14:paraId="508382B0" w14:textId="77777777" w:rsidR="00615E2D" w:rsidRDefault="00615E2D">
            <w:pPr>
              <w:spacing w:before="0" w:after="0" w:line="240" w:lineRule="auto"/>
              <w:rPr>
                <w:rFonts w:eastAsia="Times New Roman"/>
                <w:b/>
                <w:noProof/>
                <w:sz w:val="18"/>
              </w:rPr>
            </w:pPr>
          </w:p>
        </w:tc>
        <w:tc>
          <w:tcPr>
            <w:tcW w:w="1134" w:type="dxa"/>
            <w:vMerge/>
            <w:vAlign w:val="center"/>
            <w:hideMark/>
          </w:tcPr>
          <w:p w14:paraId="603971C0" w14:textId="77777777" w:rsidR="00615E2D" w:rsidRDefault="00615E2D">
            <w:pPr>
              <w:spacing w:before="0" w:after="0" w:line="240" w:lineRule="auto"/>
              <w:rPr>
                <w:rFonts w:eastAsia="Times New Roman"/>
                <w:b/>
                <w:noProof/>
                <w:sz w:val="18"/>
              </w:rPr>
            </w:pPr>
          </w:p>
        </w:tc>
        <w:tc>
          <w:tcPr>
            <w:tcW w:w="1525" w:type="dxa"/>
            <w:vMerge/>
            <w:vAlign w:val="center"/>
            <w:hideMark/>
          </w:tcPr>
          <w:p w14:paraId="16CDCE76" w14:textId="77777777" w:rsidR="00615E2D" w:rsidRDefault="00615E2D">
            <w:pPr>
              <w:spacing w:before="0" w:after="0" w:line="240" w:lineRule="auto"/>
              <w:rPr>
                <w:rFonts w:eastAsia="Times New Roman"/>
                <w:b/>
                <w:noProof/>
                <w:sz w:val="18"/>
              </w:rPr>
            </w:pPr>
          </w:p>
        </w:tc>
        <w:tc>
          <w:tcPr>
            <w:tcW w:w="1774" w:type="dxa"/>
            <w:vMerge/>
            <w:vAlign w:val="center"/>
            <w:hideMark/>
          </w:tcPr>
          <w:p w14:paraId="70763412" w14:textId="77777777" w:rsidR="00615E2D" w:rsidRDefault="00615E2D">
            <w:pPr>
              <w:spacing w:before="0" w:after="0" w:line="240" w:lineRule="auto"/>
              <w:rPr>
                <w:rFonts w:eastAsia="Times New Roman"/>
                <w:b/>
                <w:noProof/>
                <w:sz w:val="18"/>
              </w:rPr>
            </w:pPr>
          </w:p>
        </w:tc>
        <w:tc>
          <w:tcPr>
            <w:tcW w:w="1026" w:type="dxa"/>
            <w:shd w:val="clear" w:color="auto" w:fill="BDD7EE"/>
            <w:vAlign w:val="center"/>
            <w:hideMark/>
          </w:tcPr>
          <w:p w14:paraId="01B88104" w14:textId="77777777" w:rsidR="00615E2D" w:rsidRDefault="00C83E46">
            <w:pPr>
              <w:pStyle w:val="P68B1DB1-Normal9"/>
              <w:spacing w:before="0" w:after="0" w:line="240" w:lineRule="auto"/>
              <w:jc w:val="center"/>
              <w:rPr>
                <w:noProof/>
              </w:rPr>
            </w:pPr>
            <w:r>
              <w:rPr>
                <w:noProof/>
              </w:rPr>
              <w:t>Jedinica mjere</w:t>
            </w:r>
          </w:p>
        </w:tc>
        <w:tc>
          <w:tcPr>
            <w:tcW w:w="1026" w:type="dxa"/>
            <w:shd w:val="clear" w:color="auto" w:fill="BDD7EE"/>
            <w:vAlign w:val="center"/>
            <w:hideMark/>
          </w:tcPr>
          <w:p w14:paraId="1E3A2E47" w14:textId="77777777" w:rsidR="00615E2D" w:rsidRDefault="00C83E46">
            <w:pPr>
              <w:pStyle w:val="P68B1DB1-Normal9"/>
              <w:spacing w:before="0" w:after="0" w:line="240" w:lineRule="auto"/>
              <w:jc w:val="center"/>
              <w:rPr>
                <w:noProof/>
              </w:rPr>
            </w:pPr>
            <w:r>
              <w:rPr>
                <w:noProof/>
              </w:rPr>
              <w:t xml:space="preserve">Osnovna vrijednost </w:t>
            </w:r>
          </w:p>
        </w:tc>
        <w:tc>
          <w:tcPr>
            <w:tcW w:w="1026" w:type="dxa"/>
            <w:shd w:val="clear" w:color="auto" w:fill="BDD7EE"/>
            <w:vAlign w:val="center"/>
            <w:hideMark/>
          </w:tcPr>
          <w:p w14:paraId="390E19A3" w14:textId="77777777" w:rsidR="00615E2D" w:rsidRDefault="00C83E46">
            <w:pPr>
              <w:pStyle w:val="P68B1DB1-Normal9"/>
              <w:spacing w:before="0" w:after="0" w:line="240" w:lineRule="auto"/>
              <w:jc w:val="center"/>
              <w:rPr>
                <w:noProof/>
              </w:rPr>
            </w:pPr>
            <w:r>
              <w:rPr>
                <w:noProof/>
              </w:rPr>
              <w:t xml:space="preserve">Cilj </w:t>
            </w:r>
          </w:p>
        </w:tc>
        <w:tc>
          <w:tcPr>
            <w:tcW w:w="1134" w:type="dxa"/>
            <w:shd w:val="clear" w:color="auto" w:fill="BDD7EE"/>
            <w:vAlign w:val="center"/>
            <w:hideMark/>
          </w:tcPr>
          <w:p w14:paraId="6CFA4366" w14:textId="77777777" w:rsidR="00615E2D" w:rsidRDefault="00C83E46">
            <w:pPr>
              <w:pStyle w:val="P68B1DB1-Normal9"/>
              <w:spacing w:before="0" w:after="0" w:line="240" w:lineRule="auto"/>
              <w:jc w:val="center"/>
              <w:rPr>
                <w:noProof/>
              </w:rPr>
            </w:pPr>
            <w:r>
              <w:rPr>
                <w:noProof/>
              </w:rPr>
              <w:t>Tromjesečje</w:t>
            </w:r>
          </w:p>
        </w:tc>
        <w:tc>
          <w:tcPr>
            <w:tcW w:w="651" w:type="dxa"/>
            <w:shd w:val="clear" w:color="auto" w:fill="BDD7EE"/>
            <w:vAlign w:val="center"/>
            <w:hideMark/>
          </w:tcPr>
          <w:p w14:paraId="57F8A14E" w14:textId="77777777" w:rsidR="00615E2D" w:rsidRDefault="00C83E46">
            <w:pPr>
              <w:pStyle w:val="P68B1DB1-Normal9"/>
              <w:spacing w:before="0" w:after="0" w:line="240" w:lineRule="auto"/>
              <w:jc w:val="center"/>
              <w:rPr>
                <w:noProof/>
              </w:rPr>
            </w:pPr>
            <w:r>
              <w:rPr>
                <w:noProof/>
              </w:rPr>
              <w:t>Godina</w:t>
            </w:r>
          </w:p>
        </w:tc>
        <w:tc>
          <w:tcPr>
            <w:tcW w:w="4065" w:type="dxa"/>
            <w:vMerge/>
            <w:vAlign w:val="center"/>
            <w:hideMark/>
          </w:tcPr>
          <w:p w14:paraId="785113E9" w14:textId="77777777" w:rsidR="00615E2D" w:rsidRDefault="00615E2D">
            <w:pPr>
              <w:spacing w:before="0" w:after="0" w:line="240" w:lineRule="auto"/>
              <w:rPr>
                <w:rFonts w:eastAsia="Times New Roman"/>
                <w:b/>
                <w:noProof/>
                <w:sz w:val="18"/>
              </w:rPr>
            </w:pPr>
          </w:p>
        </w:tc>
      </w:tr>
      <w:tr w:rsidR="00615E2D" w14:paraId="37DA5FBF" w14:textId="77777777">
        <w:trPr>
          <w:trHeight w:val="309"/>
          <w:jc w:val="center"/>
        </w:trPr>
        <w:tc>
          <w:tcPr>
            <w:tcW w:w="647" w:type="dxa"/>
            <w:shd w:val="clear" w:color="auto" w:fill="C6EFCE"/>
            <w:vAlign w:val="center"/>
            <w:hideMark/>
          </w:tcPr>
          <w:p w14:paraId="1614B99F" w14:textId="71736C1A" w:rsidR="00615E2D" w:rsidRDefault="00C83E46">
            <w:pPr>
              <w:pStyle w:val="P68B1DB1-Normal15"/>
              <w:spacing w:before="0" w:after="0" w:line="240" w:lineRule="auto"/>
              <w:jc w:val="center"/>
              <w:rPr>
                <w:noProof/>
              </w:rPr>
            </w:pPr>
            <w:r>
              <w:rPr>
                <w:noProof/>
              </w:rPr>
              <w:t>254</w:t>
            </w:r>
          </w:p>
        </w:tc>
        <w:tc>
          <w:tcPr>
            <w:tcW w:w="1603" w:type="dxa"/>
            <w:shd w:val="clear" w:color="auto" w:fill="C6EFCE"/>
            <w:vAlign w:val="center"/>
            <w:hideMark/>
          </w:tcPr>
          <w:p w14:paraId="3421C9F3" w14:textId="77777777" w:rsidR="00615E2D" w:rsidRDefault="00C83E46">
            <w:pPr>
              <w:pStyle w:val="P68B1DB1-Normal15"/>
              <w:spacing w:before="0" w:after="0" w:line="240" w:lineRule="auto"/>
              <w:rPr>
                <w:noProof/>
              </w:rPr>
            </w:pPr>
            <w:r>
              <w:rPr>
                <w:noProof/>
              </w:rPr>
              <w:t>Ulaganje 4: Važni projekti od zajedničkog europskog interesa Mikroelektronika i komunikacijske tehnologije</w:t>
            </w:r>
          </w:p>
        </w:tc>
        <w:tc>
          <w:tcPr>
            <w:tcW w:w="1134" w:type="dxa"/>
            <w:shd w:val="clear" w:color="auto" w:fill="C6EFCE"/>
            <w:vAlign w:val="center"/>
            <w:hideMark/>
          </w:tcPr>
          <w:p w14:paraId="0F4D4A2B" w14:textId="77777777" w:rsidR="00615E2D" w:rsidRDefault="00C83E46">
            <w:pPr>
              <w:pStyle w:val="P68B1DB1-Normal15"/>
              <w:spacing w:before="0" w:after="0" w:line="240" w:lineRule="auto"/>
              <w:rPr>
                <w:noProof/>
              </w:rPr>
            </w:pPr>
            <w:r>
              <w:rPr>
                <w:noProof/>
              </w:rPr>
              <w:t>Prekretnica</w:t>
            </w:r>
          </w:p>
        </w:tc>
        <w:tc>
          <w:tcPr>
            <w:tcW w:w="1525" w:type="dxa"/>
            <w:shd w:val="clear" w:color="auto" w:fill="C6EFCE"/>
            <w:vAlign w:val="center"/>
            <w:hideMark/>
          </w:tcPr>
          <w:p w14:paraId="232313C3" w14:textId="0811B39B" w:rsidR="00615E2D" w:rsidRDefault="00C83E46">
            <w:pPr>
              <w:pStyle w:val="P68B1DB1-Normal15"/>
              <w:spacing w:before="0" w:after="0" w:line="240" w:lineRule="auto"/>
              <w:rPr>
                <w:noProof/>
              </w:rPr>
            </w:pPr>
            <w:r>
              <w:rPr>
                <w:noProof/>
              </w:rPr>
              <w:t>Potpisivanje sporazuma o dodjeli bespovratnih sredstava</w:t>
            </w:r>
          </w:p>
        </w:tc>
        <w:tc>
          <w:tcPr>
            <w:tcW w:w="1774" w:type="dxa"/>
            <w:shd w:val="clear" w:color="auto" w:fill="C6EFCE"/>
            <w:vAlign w:val="center"/>
            <w:hideMark/>
          </w:tcPr>
          <w:p w14:paraId="13B9E5E7" w14:textId="3F4D61E2" w:rsidR="00615E2D" w:rsidRDefault="00C83E46">
            <w:pPr>
              <w:pStyle w:val="P68B1DB1-Normal15"/>
              <w:spacing w:before="0" w:after="0" w:line="240" w:lineRule="auto"/>
              <w:rPr>
                <w:noProof/>
              </w:rPr>
            </w:pPr>
            <w:r>
              <w:rPr>
                <w:noProof/>
              </w:rPr>
              <w:t>Potpisani sporazumi o dodjeli bespovratnih sredstava</w:t>
            </w:r>
          </w:p>
        </w:tc>
        <w:tc>
          <w:tcPr>
            <w:tcW w:w="1026" w:type="dxa"/>
            <w:shd w:val="clear" w:color="auto" w:fill="C6EFCE"/>
            <w:vAlign w:val="center"/>
          </w:tcPr>
          <w:p w14:paraId="5DB57C06" w14:textId="77777777" w:rsidR="00615E2D" w:rsidRDefault="00615E2D">
            <w:pPr>
              <w:spacing w:before="0" w:after="0" w:line="240" w:lineRule="auto"/>
              <w:rPr>
                <w:rFonts w:eastAsia="Times New Roman"/>
                <w:noProof/>
                <w:color w:val="004300"/>
                <w:sz w:val="18"/>
              </w:rPr>
            </w:pPr>
          </w:p>
        </w:tc>
        <w:tc>
          <w:tcPr>
            <w:tcW w:w="1026" w:type="dxa"/>
            <w:shd w:val="clear" w:color="auto" w:fill="C6EFCE"/>
            <w:vAlign w:val="center"/>
          </w:tcPr>
          <w:p w14:paraId="1663D95C" w14:textId="77777777" w:rsidR="00615E2D" w:rsidRDefault="00615E2D">
            <w:pPr>
              <w:spacing w:before="0" w:after="0" w:line="240" w:lineRule="auto"/>
              <w:jc w:val="center"/>
              <w:rPr>
                <w:rFonts w:eastAsia="Times New Roman"/>
                <w:noProof/>
                <w:color w:val="004300"/>
                <w:sz w:val="18"/>
              </w:rPr>
            </w:pPr>
          </w:p>
        </w:tc>
        <w:tc>
          <w:tcPr>
            <w:tcW w:w="1026" w:type="dxa"/>
            <w:shd w:val="clear" w:color="auto" w:fill="C6EFCE"/>
            <w:vAlign w:val="center"/>
          </w:tcPr>
          <w:p w14:paraId="0F965679" w14:textId="77777777" w:rsidR="00615E2D" w:rsidRDefault="00615E2D">
            <w:pPr>
              <w:spacing w:before="0" w:after="0" w:line="240" w:lineRule="auto"/>
              <w:jc w:val="center"/>
              <w:rPr>
                <w:rFonts w:eastAsia="Times New Roman"/>
                <w:noProof/>
                <w:color w:val="004300"/>
                <w:sz w:val="18"/>
              </w:rPr>
            </w:pPr>
          </w:p>
        </w:tc>
        <w:tc>
          <w:tcPr>
            <w:tcW w:w="1134" w:type="dxa"/>
            <w:shd w:val="clear" w:color="auto" w:fill="C6EFCE"/>
            <w:vAlign w:val="center"/>
            <w:hideMark/>
          </w:tcPr>
          <w:p w14:paraId="15800E57" w14:textId="77777777" w:rsidR="00615E2D" w:rsidRDefault="00C83E46">
            <w:pPr>
              <w:pStyle w:val="P68B1DB1-Normal15"/>
              <w:spacing w:before="0" w:after="0" w:line="240" w:lineRule="auto"/>
              <w:jc w:val="center"/>
              <w:rPr>
                <w:noProof/>
              </w:rPr>
            </w:pPr>
            <w:r>
              <w:rPr>
                <w:noProof/>
              </w:rPr>
              <w:t>TROMJESEČJE</w:t>
            </w:r>
          </w:p>
        </w:tc>
        <w:tc>
          <w:tcPr>
            <w:tcW w:w="651" w:type="dxa"/>
            <w:shd w:val="clear" w:color="auto" w:fill="C6EFCE"/>
            <w:vAlign w:val="center"/>
            <w:hideMark/>
          </w:tcPr>
          <w:p w14:paraId="6CB2E3CA" w14:textId="77777777" w:rsidR="00615E2D" w:rsidRDefault="00C83E46">
            <w:pPr>
              <w:pStyle w:val="P68B1DB1-Normal15"/>
              <w:spacing w:before="0" w:after="0" w:line="240" w:lineRule="auto"/>
              <w:jc w:val="center"/>
              <w:rPr>
                <w:noProof/>
              </w:rPr>
            </w:pPr>
            <w:r>
              <w:rPr>
                <w:noProof/>
              </w:rPr>
              <w:t>2024</w:t>
            </w:r>
          </w:p>
        </w:tc>
        <w:tc>
          <w:tcPr>
            <w:tcW w:w="4065" w:type="dxa"/>
            <w:shd w:val="clear" w:color="auto" w:fill="C6EFCE"/>
            <w:vAlign w:val="center"/>
            <w:hideMark/>
          </w:tcPr>
          <w:p w14:paraId="25D9A177" w14:textId="16B0F2D8" w:rsidR="00615E2D" w:rsidRDefault="00C83E46">
            <w:pPr>
              <w:pStyle w:val="P68B1DB1-Normal15"/>
              <w:spacing w:before="0" w:after="0" w:line="240" w:lineRule="auto"/>
              <w:rPr>
                <w:noProof/>
              </w:rPr>
            </w:pPr>
            <w:r>
              <w:rPr>
                <w:noProof/>
              </w:rPr>
              <w:t>Sporazum o dodjeli bespovratnih sredstava potpisuje se s odabranim poduzećima koja sudjeluju u projektima IPCEI ME/CT.</w:t>
            </w:r>
          </w:p>
        </w:tc>
      </w:tr>
      <w:tr w:rsidR="00615E2D" w14:paraId="67D5CB3C" w14:textId="77777777">
        <w:trPr>
          <w:trHeight w:val="309"/>
          <w:jc w:val="center"/>
        </w:trPr>
        <w:tc>
          <w:tcPr>
            <w:tcW w:w="647" w:type="dxa"/>
            <w:shd w:val="clear" w:color="auto" w:fill="C6EFCE"/>
            <w:vAlign w:val="center"/>
          </w:tcPr>
          <w:p w14:paraId="005F801A" w14:textId="6707F503" w:rsidR="00615E2D" w:rsidRDefault="00C83E46">
            <w:pPr>
              <w:pStyle w:val="P68B1DB1-Normal15"/>
              <w:spacing w:before="0" w:after="0" w:line="240" w:lineRule="auto"/>
              <w:jc w:val="center"/>
              <w:rPr>
                <w:noProof/>
              </w:rPr>
            </w:pPr>
            <w:r>
              <w:rPr>
                <w:noProof/>
              </w:rPr>
              <w:t>255</w:t>
            </w:r>
          </w:p>
        </w:tc>
        <w:tc>
          <w:tcPr>
            <w:tcW w:w="1603" w:type="dxa"/>
            <w:shd w:val="clear" w:color="auto" w:fill="C6EFCE"/>
            <w:vAlign w:val="center"/>
          </w:tcPr>
          <w:p w14:paraId="6AC21B04" w14:textId="77777777" w:rsidR="00615E2D" w:rsidRDefault="00C83E46">
            <w:pPr>
              <w:pStyle w:val="P68B1DB1-Normal15"/>
              <w:spacing w:before="0" w:after="0" w:line="240" w:lineRule="auto"/>
              <w:rPr>
                <w:noProof/>
              </w:rPr>
            </w:pPr>
            <w:r>
              <w:rPr>
                <w:noProof/>
              </w:rPr>
              <w:t>Ulaganje 4: Važni projekti od zajedničkog europskog interesa Mikroelektronika i komunikacijske tehnologije</w:t>
            </w:r>
          </w:p>
        </w:tc>
        <w:tc>
          <w:tcPr>
            <w:tcW w:w="1134" w:type="dxa"/>
            <w:shd w:val="clear" w:color="auto" w:fill="C6EFCE"/>
            <w:vAlign w:val="center"/>
          </w:tcPr>
          <w:p w14:paraId="339363CA" w14:textId="77777777" w:rsidR="00615E2D" w:rsidRDefault="00C83E46">
            <w:pPr>
              <w:pStyle w:val="P68B1DB1-Normal15"/>
              <w:spacing w:before="0" w:after="0" w:line="240" w:lineRule="auto"/>
              <w:rPr>
                <w:noProof/>
              </w:rPr>
            </w:pPr>
            <w:r>
              <w:rPr>
                <w:noProof/>
              </w:rPr>
              <w:t>Ciljna</w:t>
            </w:r>
          </w:p>
        </w:tc>
        <w:tc>
          <w:tcPr>
            <w:tcW w:w="1525" w:type="dxa"/>
            <w:shd w:val="clear" w:color="auto" w:fill="C6EFCE"/>
            <w:vAlign w:val="center"/>
          </w:tcPr>
          <w:p w14:paraId="3867FD7F" w14:textId="77777777" w:rsidR="00615E2D" w:rsidRDefault="00C83E46">
            <w:pPr>
              <w:pStyle w:val="P68B1DB1-Normal15"/>
              <w:spacing w:before="0" w:after="0" w:line="240" w:lineRule="auto"/>
              <w:rPr>
                <w:noProof/>
              </w:rPr>
            </w:pPr>
            <w:r>
              <w:rPr>
                <w:noProof/>
              </w:rPr>
              <w:t>Razvoj pilot-rješenja</w:t>
            </w:r>
          </w:p>
        </w:tc>
        <w:tc>
          <w:tcPr>
            <w:tcW w:w="1774" w:type="dxa"/>
            <w:shd w:val="clear" w:color="auto" w:fill="C6EFCE"/>
            <w:vAlign w:val="center"/>
          </w:tcPr>
          <w:p w14:paraId="0874C50F" w14:textId="77777777" w:rsidR="00615E2D" w:rsidRDefault="00615E2D">
            <w:pPr>
              <w:spacing w:before="0" w:after="0" w:line="240" w:lineRule="auto"/>
              <w:rPr>
                <w:rFonts w:eastAsia="Times New Roman"/>
                <w:noProof/>
                <w:color w:val="004300"/>
                <w:sz w:val="18"/>
              </w:rPr>
            </w:pPr>
          </w:p>
        </w:tc>
        <w:tc>
          <w:tcPr>
            <w:tcW w:w="1026" w:type="dxa"/>
            <w:shd w:val="clear" w:color="auto" w:fill="C6EFCE"/>
            <w:vAlign w:val="center"/>
          </w:tcPr>
          <w:p w14:paraId="02B894B7" w14:textId="77777777" w:rsidR="00615E2D" w:rsidRDefault="00C83E46">
            <w:pPr>
              <w:pStyle w:val="P68B1DB1-Normal15"/>
              <w:spacing w:before="0" w:after="0" w:line="240" w:lineRule="auto"/>
              <w:rPr>
                <w:noProof/>
              </w:rPr>
            </w:pPr>
            <w:r>
              <w:rPr>
                <w:noProof/>
              </w:rPr>
              <w:t>Broj</w:t>
            </w:r>
          </w:p>
        </w:tc>
        <w:tc>
          <w:tcPr>
            <w:tcW w:w="1026" w:type="dxa"/>
            <w:shd w:val="clear" w:color="auto" w:fill="C6EFCE"/>
            <w:vAlign w:val="center"/>
          </w:tcPr>
          <w:p w14:paraId="7E2DCFCC" w14:textId="77777777" w:rsidR="00615E2D" w:rsidRDefault="00C83E46">
            <w:pPr>
              <w:pStyle w:val="P68B1DB1-Normal15"/>
              <w:spacing w:before="0" w:after="0" w:line="240" w:lineRule="auto"/>
              <w:jc w:val="center"/>
              <w:rPr>
                <w:noProof/>
              </w:rPr>
            </w:pPr>
            <w:r>
              <w:rPr>
                <w:noProof/>
              </w:rPr>
              <w:t>0</w:t>
            </w:r>
          </w:p>
        </w:tc>
        <w:tc>
          <w:tcPr>
            <w:tcW w:w="1026" w:type="dxa"/>
            <w:shd w:val="clear" w:color="auto" w:fill="C6EFCE"/>
            <w:vAlign w:val="center"/>
          </w:tcPr>
          <w:p w14:paraId="3E89C278" w14:textId="77777777" w:rsidR="00615E2D" w:rsidRDefault="00C83E46">
            <w:pPr>
              <w:pStyle w:val="P68B1DB1-Normal15"/>
              <w:spacing w:before="0" w:after="0" w:line="240" w:lineRule="auto"/>
              <w:jc w:val="center"/>
              <w:rPr>
                <w:noProof/>
              </w:rPr>
            </w:pPr>
            <w:r>
              <w:rPr>
                <w:noProof/>
              </w:rPr>
              <w:t>4</w:t>
            </w:r>
          </w:p>
        </w:tc>
        <w:tc>
          <w:tcPr>
            <w:tcW w:w="1134" w:type="dxa"/>
            <w:shd w:val="clear" w:color="auto" w:fill="C6EFCE"/>
            <w:vAlign w:val="center"/>
          </w:tcPr>
          <w:p w14:paraId="45F63BA7" w14:textId="28B2E2F5" w:rsidR="00615E2D" w:rsidRDefault="00C83E46">
            <w:pPr>
              <w:pStyle w:val="P68B1DB1-Normal15"/>
              <w:spacing w:before="0" w:after="0" w:line="240" w:lineRule="auto"/>
              <w:jc w:val="center"/>
              <w:rPr>
                <w:noProof/>
              </w:rPr>
            </w:pPr>
            <w:r>
              <w:rPr>
                <w:noProof/>
              </w:rPr>
              <w:t>TROMJESEČJE</w:t>
            </w:r>
          </w:p>
        </w:tc>
        <w:tc>
          <w:tcPr>
            <w:tcW w:w="651" w:type="dxa"/>
            <w:shd w:val="clear" w:color="auto" w:fill="C6EFCE"/>
            <w:vAlign w:val="center"/>
          </w:tcPr>
          <w:p w14:paraId="125B4924" w14:textId="77777777" w:rsidR="00615E2D" w:rsidRDefault="00C83E46">
            <w:pPr>
              <w:pStyle w:val="P68B1DB1-Normal15"/>
              <w:spacing w:before="0" w:after="0" w:line="240" w:lineRule="auto"/>
              <w:jc w:val="center"/>
              <w:rPr>
                <w:noProof/>
              </w:rPr>
            </w:pPr>
            <w:r>
              <w:rPr>
                <w:noProof/>
              </w:rPr>
              <w:t>2026</w:t>
            </w:r>
          </w:p>
        </w:tc>
        <w:tc>
          <w:tcPr>
            <w:tcW w:w="4065" w:type="dxa"/>
            <w:shd w:val="clear" w:color="auto" w:fill="C6EFCE"/>
            <w:vAlign w:val="center"/>
          </w:tcPr>
          <w:p w14:paraId="5311AAE4" w14:textId="1D6116D9" w:rsidR="00615E2D" w:rsidRDefault="00C83E46">
            <w:pPr>
              <w:pStyle w:val="P68B1DB1-Normal15"/>
              <w:spacing w:before="0" w:after="0" w:line="240" w:lineRule="auto"/>
              <w:rPr>
                <w:noProof/>
              </w:rPr>
            </w:pPr>
            <w:r>
              <w:rPr>
                <w:noProof/>
              </w:rPr>
              <w:t>Razvija se jedno pilot-rješenje po projektu i isplaćuje najmanje 90 % sredstava.</w:t>
            </w:r>
          </w:p>
        </w:tc>
      </w:tr>
    </w:tbl>
    <w:p w14:paraId="12E03C1C" w14:textId="77777777" w:rsidR="00615E2D" w:rsidRDefault="00615E2D">
      <w:pPr>
        <w:autoSpaceDE w:val="0"/>
        <w:autoSpaceDN w:val="0"/>
        <w:adjustRightInd w:val="0"/>
        <w:spacing w:line="240" w:lineRule="auto"/>
        <w:jc w:val="both"/>
        <w:rPr>
          <w:rFonts w:eastAsia="Times New Roman"/>
          <w:noProof/>
        </w:rPr>
      </w:pPr>
    </w:p>
    <w:p w14:paraId="1451829A" w14:textId="77777777" w:rsidR="00615E2D" w:rsidRDefault="00615E2D">
      <w:pPr>
        <w:rPr>
          <w:rFonts w:eastAsia="Times New Roman"/>
          <w:noProof/>
        </w:rPr>
      </w:pPr>
    </w:p>
    <w:p w14:paraId="6A20102D" w14:textId="77777777" w:rsidR="00615E2D" w:rsidRDefault="00615E2D">
      <w:pPr>
        <w:rPr>
          <w:rFonts w:eastAsia="Times New Roman"/>
          <w:noProof/>
        </w:rPr>
      </w:pPr>
    </w:p>
    <w:p w14:paraId="493D456B" w14:textId="77777777" w:rsidR="00615E2D" w:rsidRDefault="00615E2D">
      <w:pPr>
        <w:rPr>
          <w:rFonts w:eastAsia="Times New Roman"/>
          <w:noProof/>
        </w:rPr>
      </w:pPr>
    </w:p>
    <w:p w14:paraId="77C54D33" w14:textId="77777777" w:rsidR="00615E2D" w:rsidRDefault="00615E2D">
      <w:pPr>
        <w:rPr>
          <w:rFonts w:eastAsia="Times New Roman"/>
          <w:noProof/>
        </w:rPr>
      </w:pPr>
    </w:p>
    <w:p w14:paraId="2530C9CF" w14:textId="77777777" w:rsidR="00615E2D" w:rsidRDefault="00615E2D">
      <w:pPr>
        <w:rPr>
          <w:rFonts w:eastAsia="Times New Roman"/>
          <w:noProof/>
        </w:rPr>
      </w:pPr>
    </w:p>
    <w:p w14:paraId="27F131AA" w14:textId="7AFAB7CA" w:rsidR="00615E2D" w:rsidRDefault="00615E2D">
      <w:pPr>
        <w:tabs>
          <w:tab w:val="left" w:pos="2790"/>
        </w:tabs>
        <w:rPr>
          <w:rFonts w:eastAsia="Times New Roman"/>
          <w:noProof/>
        </w:rPr>
      </w:pPr>
    </w:p>
    <w:p w14:paraId="23FA0A40" w14:textId="77777777" w:rsidR="00615E2D" w:rsidRDefault="00615E2D">
      <w:pPr>
        <w:rPr>
          <w:rFonts w:eastAsia="Times New Roman"/>
          <w:noProof/>
        </w:rPr>
      </w:pPr>
    </w:p>
    <w:p w14:paraId="0FE2B7E8" w14:textId="6B0B1A3A" w:rsidR="00615E2D" w:rsidRDefault="00615E2D">
      <w:pPr>
        <w:rPr>
          <w:rFonts w:eastAsia="Times New Roman"/>
          <w:noProof/>
        </w:rPr>
        <w:sectPr w:rsidR="00615E2D" w:rsidSect="00507AA7">
          <w:headerReference w:type="even" r:id="rId120"/>
          <w:headerReference w:type="default" r:id="rId121"/>
          <w:footerReference w:type="even" r:id="rId122"/>
          <w:footerReference w:type="default" r:id="rId123"/>
          <w:headerReference w:type="first" r:id="rId124"/>
          <w:footerReference w:type="first" r:id="rId125"/>
          <w:pgSz w:w="16839" w:h="11907" w:orient="landscape"/>
          <w:pgMar w:top="1134" w:right="1134" w:bottom="1134" w:left="1134" w:header="567" w:footer="567" w:gutter="0"/>
          <w:cols w:space="720"/>
          <w:docGrid w:linePitch="326"/>
        </w:sectPr>
      </w:pPr>
    </w:p>
    <w:p w14:paraId="2DD31AB4" w14:textId="37BD4367" w:rsidR="00615E2D" w:rsidRDefault="00C83E46">
      <w:pPr>
        <w:pStyle w:val="P68B1DB1-Normal2"/>
        <w:keepNext/>
        <w:tabs>
          <w:tab w:val="left" w:pos="850"/>
        </w:tabs>
        <w:spacing w:line="240" w:lineRule="auto"/>
        <w:jc w:val="both"/>
        <w:outlineLvl w:val="0"/>
        <w:rPr>
          <w:noProof/>
        </w:rPr>
      </w:pPr>
      <w:r>
        <w:rPr>
          <w:noProof/>
        </w:rPr>
        <w:t>F. SASTAVNI DIO 1.6: Ubrzanje i digitalizacija procesa izgradnje</w:t>
      </w:r>
    </w:p>
    <w:p w14:paraId="16B43DAA" w14:textId="77777777" w:rsidR="00615E2D" w:rsidRDefault="00C83E46">
      <w:pPr>
        <w:spacing w:line="240" w:lineRule="auto"/>
        <w:jc w:val="both"/>
        <w:rPr>
          <w:noProof/>
        </w:rPr>
      </w:pPr>
      <w:r>
        <w:rPr>
          <w:noProof/>
        </w:rPr>
        <w:t xml:space="preserve">Ta komponenta </w:t>
      </w:r>
      <w:r>
        <w:rPr>
          <w:rFonts w:eastAsia="Times New Roman"/>
          <w:noProof/>
        </w:rPr>
        <w:t xml:space="preserve">češkog plana za oporavak i otpornost pridonosi </w:t>
      </w:r>
      <w:r>
        <w:rPr>
          <w:noProof/>
        </w:rPr>
        <w:t>svladavanju izazova trenutačno dugotrajnih i administrativno teških postupaka za dobivanje građevinskih dozvola.</w:t>
      </w:r>
    </w:p>
    <w:p w14:paraId="1BAE672B" w14:textId="77777777" w:rsidR="00615E2D" w:rsidRDefault="00C83E46">
      <w:pPr>
        <w:spacing w:line="240" w:lineRule="auto"/>
        <w:jc w:val="both"/>
        <w:rPr>
          <w:noProof/>
        </w:rPr>
      </w:pPr>
      <w:r>
        <w:rPr>
          <w:noProof/>
        </w:rPr>
        <w:t xml:space="preserve">Cilj je komponente pojednostavniti i racionalizirati postupak izdavanja građevinskih dozvola. Očekuje se da će se znatnim ubrzanjem postupka izdavanja građevinskih dozvola znatno poboljšati poslovno i ulagačko okruženje u Češkoj. Također se uzimaju u obzir uvjeti za pravilnu provedbu digitalizacije upravljanja zgradama i prostornog planiranja. Potpuna racionalizacija paralelnih procesa u jedinstveni postupak, kao i institucionalna reforma, kako je predviđeno nacrtom Zakonika o gradnji, mogu skratiti prosječno vrijeme izdavanja dozvole s trenutačnih 5,4 godine na prosječno 1,25 godina. Očekuje se da će se samo digitalizacijom procesa prosječno vrijeme potrebno za dobivanje građevinske dozvole smanjiti za najmanje dvije godine. </w:t>
      </w:r>
    </w:p>
    <w:p w14:paraId="0CB8B03F" w14:textId="77777777" w:rsidR="00615E2D" w:rsidRDefault="00C83E46">
      <w:pPr>
        <w:spacing w:line="240" w:lineRule="auto"/>
        <w:jc w:val="both"/>
        <w:rPr>
          <w:noProof/>
        </w:rPr>
      </w:pPr>
      <w:r>
        <w:rPr>
          <w:noProof/>
        </w:rPr>
        <w:t>Komponentom se podupire odgovor na preporuku za pojedinu zemlju 3. 2019., u skladu s kojom će Češka smanjiti administrativno opterećenje ulaganja i podupirati tržišno natjecanje u javnoj nabavi koje se više temelji na kvaliteti, te preporuku za pojedinu zemlju br. 3 2020., u skladu s kojom Češka pruža potporu malim i srednjim poduzećima većom upotrebom financijskih instrumenata kako bi se osigurala potpora likvidnosti, smanjilo administrativno opterećenje i poboljšala e-uprava.</w:t>
      </w:r>
    </w:p>
    <w:p w14:paraId="3F091E59" w14:textId="5F24FE6A"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60C69898" w14:textId="4E61B01F" w:rsidR="00615E2D" w:rsidRDefault="00615E2D">
      <w:pPr>
        <w:spacing w:line="240" w:lineRule="auto"/>
        <w:jc w:val="both"/>
        <w:rPr>
          <w:noProof/>
        </w:rPr>
      </w:pPr>
    </w:p>
    <w:p w14:paraId="3DD8FB13" w14:textId="77777777" w:rsidR="00615E2D" w:rsidRDefault="00C83E46">
      <w:pPr>
        <w:pStyle w:val="P68B1DB1-Normal5"/>
        <w:spacing w:line="240" w:lineRule="auto"/>
        <w:rPr>
          <w:noProof/>
        </w:rPr>
      </w:pPr>
      <w:r>
        <w:rPr>
          <w:noProof/>
        </w:rPr>
        <w:t>F.1. Opis reformi i ulaganja za programe bespovratne financijske potpore</w:t>
      </w:r>
    </w:p>
    <w:p w14:paraId="4824EB68" w14:textId="77777777" w:rsidR="00615E2D" w:rsidRDefault="00C83E46">
      <w:pPr>
        <w:pStyle w:val="P68B1DB1-Normal7"/>
        <w:spacing w:line="240" w:lineRule="auto"/>
        <w:rPr>
          <w:noProof/>
        </w:rPr>
      </w:pPr>
      <w:r>
        <w:rPr>
          <w:noProof/>
        </w:rPr>
        <w:t xml:space="preserve">Reforma 1.: Provedba novog zakona o gradnji i zoniranje zakona u praksi </w:t>
      </w:r>
    </w:p>
    <w:p w14:paraId="4B67D703" w14:textId="404C0464" w:rsidR="00615E2D" w:rsidRDefault="00C83E46">
      <w:pPr>
        <w:spacing w:line="240" w:lineRule="auto"/>
        <w:jc w:val="both"/>
        <w:rPr>
          <w:noProof/>
        </w:rPr>
      </w:pPr>
      <w:r>
        <w:rPr>
          <w:noProof/>
        </w:rPr>
        <w:t xml:space="preserve">Reforma se sastoji od institucijskih i postupovnih promjena i njome se nastoji uvesti visok stupanj digitalizacije u postupak izdavanja građevinskih dozvola. Novi Zakon o gradnji stupa na snagu 30. rujna 2021. Njime se decentralizirana struktura tijela nadležnih za zgrade i njihovi uvjeti rada stavljaju pod odgovornost države. </w:t>
      </w:r>
    </w:p>
    <w:p w14:paraId="69B06CF2" w14:textId="2EA005A7" w:rsidR="00615E2D" w:rsidRDefault="00C83E46">
      <w:pPr>
        <w:spacing w:line="240" w:lineRule="auto"/>
        <w:jc w:val="both"/>
        <w:rPr>
          <w:noProof/>
        </w:rPr>
      </w:pPr>
      <w:r>
        <w:rPr>
          <w:noProof/>
        </w:rPr>
        <w:t>Reformom se ubrzavaju postupci izgradnje i nastoji povećati učinkovitost postupaka odobravanja. Relevantni akteri prolaze odgovarajuće osposobljavanje kako bi razumjeli nove procese, mogli upotrebljavati nove informacijske sustave i učinkovito raditi u novom organizacijskom okruženju. Postojeći podaci prenose se na novu platformu, a funkcioniranje postojećih pojedinačnih informacijskih sustava osigurava se dok se ne izgradi središnji informacijski sustav („AIS”). To uključuje osiguravanje potrebne informatičke opreme za funkcioniranje nove strukture građevinskih tijela.</w:t>
      </w:r>
    </w:p>
    <w:p w14:paraId="30507E78" w14:textId="4C05B48B" w:rsidR="00615E2D" w:rsidRDefault="00C83E46">
      <w:pPr>
        <w:spacing w:line="240" w:lineRule="auto"/>
        <w:jc w:val="both"/>
        <w:rPr>
          <w:noProof/>
        </w:rPr>
      </w:pPr>
      <w:r>
        <w:rPr>
          <w:noProof/>
        </w:rPr>
        <w:t xml:space="preserve">Ta se reforma provodi do 30. rujna 2024., </w:t>
      </w:r>
      <w:r>
        <w:rPr>
          <w:rFonts w:eastAsia="Times New Roman"/>
          <w:noProof/>
        </w:rPr>
        <w:t>a njezini prvi učinci mjere se do 31. prosinca 2025</w:t>
      </w:r>
      <w:r>
        <w:rPr>
          <w:noProof/>
        </w:rPr>
        <w:t xml:space="preserve">. </w:t>
      </w:r>
    </w:p>
    <w:p w14:paraId="1B10936B" w14:textId="77777777" w:rsidR="00615E2D" w:rsidRDefault="00C83E46">
      <w:pPr>
        <w:pStyle w:val="P68B1DB1-Normal7"/>
        <w:spacing w:line="240" w:lineRule="auto"/>
        <w:jc w:val="both"/>
        <w:rPr>
          <w:noProof/>
        </w:rPr>
      </w:pPr>
      <w:r>
        <w:rPr>
          <w:noProof/>
        </w:rPr>
        <w:t xml:space="preserve">Ulaganje 1: Središnji informacijski sustav („AIS”) </w:t>
      </w:r>
    </w:p>
    <w:p w14:paraId="65F430D5" w14:textId="77777777" w:rsidR="00615E2D" w:rsidRDefault="00C83E46">
      <w:pPr>
        <w:spacing w:line="240" w:lineRule="auto"/>
        <w:jc w:val="both"/>
        <w:rPr>
          <w:noProof/>
        </w:rPr>
      </w:pPr>
      <w:r>
        <w:rPr>
          <w:noProof/>
        </w:rPr>
        <w:t>Ulaganjem se uspostavlja informacijski</w:t>
      </w:r>
      <w:r>
        <w:rPr>
          <w:b/>
          <w:noProof/>
        </w:rPr>
        <w:t xml:space="preserve"> </w:t>
      </w:r>
      <w:r>
        <w:rPr>
          <w:noProof/>
        </w:rPr>
        <w:t xml:space="preserve">sustav za upravljanje procesima kojim će se koristiti državni službenici tijela uključenih u postupak izdavanja građevinskih dozvola. Sustav digitalizira postupke upravljanja zgradama na način kojim se osiguravaju transparentnost, učinkovitost i djelotvornost postupaka utvrđenih zakonodavstvom provedenim reformom 1. te komponente. Potrebne hardverske i softverske licencije kupuju se, zajedno s tehničkom podrškom, aplikacije koje obuhvaćaju potrebne funkcionalne i nefunkcionalne zahtjeve, pravilno ispitivanje sustava, servisiranje, rad i razvoj aplikacije. </w:t>
      </w:r>
    </w:p>
    <w:p w14:paraId="640247B9" w14:textId="11EC04AA" w:rsidR="00615E2D" w:rsidRDefault="00C83E46">
      <w:pPr>
        <w:spacing w:line="240" w:lineRule="auto"/>
        <w:jc w:val="both"/>
        <w:rPr>
          <w:noProof/>
        </w:rPr>
      </w:pPr>
      <w:r>
        <w:rPr>
          <w:noProof/>
        </w:rPr>
        <w:t xml:space="preserve">To se ulaganje provodi do 30. rujna 2024. </w:t>
      </w:r>
    </w:p>
    <w:p w14:paraId="46867712" w14:textId="77777777" w:rsidR="00615E2D" w:rsidRDefault="00C83E46">
      <w:pPr>
        <w:pStyle w:val="P68B1DB1-Normal7"/>
        <w:spacing w:line="240" w:lineRule="auto"/>
        <w:jc w:val="both"/>
        <w:rPr>
          <w:noProof/>
        </w:rPr>
      </w:pPr>
      <w:r>
        <w:rPr>
          <w:noProof/>
        </w:rPr>
        <w:t>Ulaganje 2: Razvoj i uporaba podataka javne uprave u prostornom planiranju</w:t>
      </w:r>
    </w:p>
    <w:p w14:paraId="2F92D8D6" w14:textId="77777777" w:rsidR="00615E2D" w:rsidRDefault="00C83E46">
      <w:pPr>
        <w:spacing w:line="240" w:lineRule="auto"/>
        <w:jc w:val="both"/>
        <w:rPr>
          <w:noProof/>
        </w:rPr>
      </w:pPr>
      <w:r>
        <w:rPr>
          <w:noProof/>
        </w:rPr>
        <w:t xml:space="preserve">Cilj ulaganja je uspostava središnje baze podataka prostorne analitičke dokumentacije u kontekstu informacijskog sustava prostornog uređenja koja se koristi za pružanje podataka i usluga tijelima za prostorno planiranje, drugim korisnicima iz javnog sektora i pružateljima dokumenata prostornog uređenja. Podaci se dostavljaju u obliku otvorenih podataka. Centralizacijom se omogućuje učinkovita razmjena podataka s drugim sustavima javne uprave (posebno s registrom teritorijalne identifikacije, adresa i nekretnina). </w:t>
      </w:r>
    </w:p>
    <w:p w14:paraId="2F9567C7" w14:textId="77777777" w:rsidR="00615E2D" w:rsidRDefault="00C83E46">
      <w:pPr>
        <w:spacing w:line="240" w:lineRule="auto"/>
        <w:jc w:val="both"/>
        <w:rPr>
          <w:noProof/>
        </w:rPr>
      </w:pPr>
      <w:r>
        <w:rPr>
          <w:noProof/>
        </w:rPr>
        <w:t xml:space="preserve">To se ulaganje provodi do 31. prosinca 2024. </w:t>
      </w:r>
    </w:p>
    <w:p w14:paraId="11BB1590" w14:textId="77777777" w:rsidR="00615E2D" w:rsidRDefault="00C83E46">
      <w:pPr>
        <w:spacing w:line="240" w:lineRule="auto"/>
        <w:jc w:val="both"/>
        <w:rPr>
          <w:noProof/>
        </w:rPr>
      </w:pPr>
      <w:r>
        <w:rPr>
          <w:b/>
          <w:noProof/>
        </w:rPr>
        <w:t>Ulaganje 3: Iskorištavanje svih prednosti digitalizacije kontrole zgrada</w:t>
      </w:r>
      <w:r>
        <w:rPr>
          <w:noProof/>
        </w:rPr>
        <w:t xml:space="preserve"> </w:t>
      </w:r>
    </w:p>
    <w:p w14:paraId="5136E7BD" w14:textId="77777777" w:rsidR="00615E2D" w:rsidRDefault="00C83E46">
      <w:pPr>
        <w:spacing w:line="240" w:lineRule="auto"/>
        <w:jc w:val="both"/>
        <w:rPr>
          <w:noProof/>
        </w:rPr>
      </w:pPr>
      <w:r>
        <w:rPr>
          <w:noProof/>
        </w:rPr>
        <w:t xml:space="preserve">Ulaganjem se stvara niz informacijskih sustava, standarda i metodologija potrebnih za potpunu digitalizaciju postupka izdavanja građevinskih dozvola i prostornog planiranja. </w:t>
      </w:r>
    </w:p>
    <w:p w14:paraId="426520DE" w14:textId="77777777" w:rsidR="00615E2D" w:rsidRDefault="00C83E46">
      <w:pPr>
        <w:spacing w:line="240" w:lineRule="auto"/>
        <w:jc w:val="both"/>
        <w:rPr>
          <w:noProof/>
        </w:rPr>
      </w:pPr>
      <w:r>
        <w:rPr>
          <w:noProof/>
        </w:rPr>
        <w:t xml:space="preserve">Uspostavljaju se tri informatička sustava kako bi se omogućilo međusobno povezivanje ključnih baza podataka i olakšao postupak izdavanja građevinske dozvole i prostorno planiranje: </w:t>
      </w:r>
    </w:p>
    <w:p w14:paraId="3CAAAB02" w14:textId="77777777" w:rsidR="00615E2D" w:rsidRDefault="00C83E46">
      <w:pPr>
        <w:pStyle w:val="P68B1DB1-Normal13"/>
        <w:numPr>
          <w:ilvl w:val="0"/>
          <w:numId w:val="165"/>
        </w:numPr>
        <w:pBdr>
          <w:top w:val="nil"/>
          <w:left w:val="nil"/>
          <w:bottom w:val="nil"/>
          <w:right w:val="nil"/>
          <w:between w:val="nil"/>
        </w:pBdr>
        <w:spacing w:line="259" w:lineRule="auto"/>
        <w:ind w:left="357" w:hanging="357"/>
        <w:jc w:val="both"/>
        <w:rPr>
          <w:noProof/>
        </w:rPr>
      </w:pPr>
      <w:r>
        <w:rPr>
          <w:noProof/>
        </w:rPr>
        <w:t>Sustav kojim se tehničke norme povezuju s provedbenim propisima, koji mora biti integriran u portal za razvoj zgrada i dostupan javnosti.</w:t>
      </w:r>
    </w:p>
    <w:p w14:paraId="7A6F34B4" w14:textId="77777777" w:rsidR="00615E2D" w:rsidRDefault="00C83E46">
      <w:pPr>
        <w:pStyle w:val="P68B1DB1-Normal13"/>
        <w:numPr>
          <w:ilvl w:val="0"/>
          <w:numId w:val="165"/>
        </w:numPr>
        <w:pBdr>
          <w:top w:val="nil"/>
          <w:left w:val="nil"/>
          <w:bottom w:val="nil"/>
          <w:right w:val="nil"/>
          <w:between w:val="nil"/>
        </w:pBdr>
        <w:spacing w:line="259" w:lineRule="auto"/>
        <w:ind w:left="357" w:hanging="357"/>
        <w:jc w:val="both"/>
        <w:rPr>
          <w:noProof/>
        </w:rPr>
      </w:pPr>
      <w:r>
        <w:rPr>
          <w:noProof/>
        </w:rPr>
        <w:t>Sustav za strukturirane zahtjeve u pogledu zgrada i postupaka, validaciju i kontrolu postupka izdavanja dozvola.</w:t>
      </w:r>
    </w:p>
    <w:p w14:paraId="1745DA73" w14:textId="77777777" w:rsidR="00615E2D" w:rsidRDefault="00C83E46">
      <w:pPr>
        <w:pStyle w:val="P68B1DB1-Normal13"/>
        <w:numPr>
          <w:ilvl w:val="0"/>
          <w:numId w:val="165"/>
        </w:numPr>
        <w:pBdr>
          <w:top w:val="nil"/>
          <w:left w:val="nil"/>
          <w:bottom w:val="nil"/>
          <w:right w:val="nil"/>
          <w:between w:val="nil"/>
        </w:pBdr>
        <w:spacing w:line="259" w:lineRule="auto"/>
        <w:ind w:left="357" w:hanging="357"/>
        <w:jc w:val="both"/>
        <w:rPr>
          <w:noProof/>
        </w:rPr>
      </w:pPr>
      <w:r>
        <w:rPr>
          <w:noProof/>
        </w:rPr>
        <w:t>Sustav za upravljanje podatkovnim standardima zgrada.</w:t>
      </w:r>
    </w:p>
    <w:p w14:paraId="6DDA2765" w14:textId="77777777" w:rsidR="00615E2D" w:rsidRDefault="00C83E46">
      <w:pPr>
        <w:spacing w:line="240" w:lineRule="auto"/>
        <w:rPr>
          <w:noProof/>
        </w:rPr>
      </w:pPr>
      <w:r>
        <w:rPr>
          <w:noProof/>
        </w:rPr>
        <w:t>To se ulaganje provodi do 31. prosinca 2025.</w:t>
      </w:r>
    </w:p>
    <w:p w14:paraId="652641AE" w14:textId="77777777" w:rsidR="00615E2D" w:rsidRDefault="00615E2D">
      <w:pPr>
        <w:spacing w:line="240" w:lineRule="auto"/>
        <w:rPr>
          <w:noProof/>
        </w:rPr>
        <w:sectPr w:rsidR="00615E2D" w:rsidSect="00507AA7">
          <w:headerReference w:type="even" r:id="rId126"/>
          <w:headerReference w:type="default" r:id="rId127"/>
          <w:footerReference w:type="even" r:id="rId128"/>
          <w:footerReference w:type="default" r:id="rId129"/>
          <w:headerReference w:type="first" r:id="rId130"/>
          <w:footerReference w:type="first" r:id="rId131"/>
          <w:pgSz w:w="11907" w:h="16839"/>
          <w:pgMar w:top="1134" w:right="1134" w:bottom="1134" w:left="1134" w:header="567" w:footer="567" w:gutter="0"/>
          <w:cols w:space="720"/>
          <w:docGrid w:linePitch="326"/>
        </w:sectPr>
      </w:pPr>
    </w:p>
    <w:p w14:paraId="686F5A7F" w14:textId="267BA68E" w:rsidR="00615E2D" w:rsidRDefault="00C83E46">
      <w:pPr>
        <w:pStyle w:val="P68B1DB1-Normal8"/>
        <w:pBdr>
          <w:top w:val="nil"/>
          <w:left w:val="nil"/>
          <w:bottom w:val="nil"/>
          <w:right w:val="nil"/>
          <w:between w:val="nil"/>
        </w:pBdr>
        <w:tabs>
          <w:tab w:val="left" w:pos="993"/>
        </w:tabs>
        <w:spacing w:line="240" w:lineRule="auto"/>
        <w:rPr>
          <w:rFonts w:ascii="Calibri" w:hAnsi="Calibri"/>
          <w:noProof/>
          <w:sz w:val="22"/>
        </w:rPr>
      </w:pPr>
      <w:r>
        <w:rPr>
          <w:noProof/>
        </w:rPr>
        <w:t xml:space="preserve">F.2. Ključne etape, ciljne vrijednosti i vremenski raspored za praćenje i provedbu programa bespovratne financijske potpore </w:t>
      </w:r>
    </w:p>
    <w:tbl>
      <w:tblPr>
        <w:tblW w:w="14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1303"/>
        <w:gridCol w:w="1075"/>
        <w:gridCol w:w="1377"/>
        <w:gridCol w:w="1605"/>
        <w:gridCol w:w="906"/>
        <w:gridCol w:w="1075"/>
        <w:gridCol w:w="678"/>
        <w:gridCol w:w="964"/>
        <w:gridCol w:w="772"/>
        <w:gridCol w:w="4025"/>
      </w:tblGrid>
      <w:tr w:rsidR="00615E2D" w14:paraId="57143DBC" w14:textId="77777777">
        <w:trPr>
          <w:trHeight w:val="246"/>
          <w:tblHeader/>
          <w:jc w:val="center"/>
        </w:trPr>
        <w:tc>
          <w:tcPr>
            <w:tcW w:w="645"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12EF9806" w14:textId="77777777" w:rsidR="00615E2D" w:rsidRDefault="00C83E46">
            <w:pPr>
              <w:pStyle w:val="P68B1DB1-Normal9"/>
              <w:spacing w:line="240" w:lineRule="auto"/>
              <w:jc w:val="center"/>
              <w:rPr>
                <w:noProof/>
              </w:rPr>
            </w:pPr>
            <w:r>
              <w:rPr>
                <w:noProof/>
              </w:rPr>
              <w:t xml:space="preserve">Sljedeće NUM. </w:t>
            </w:r>
          </w:p>
        </w:tc>
        <w:tc>
          <w:tcPr>
            <w:tcW w:w="1303"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0CA7E883" w14:textId="77777777" w:rsidR="00615E2D" w:rsidRDefault="00C83E46">
            <w:pPr>
              <w:pStyle w:val="P68B1DB1-Normal9"/>
              <w:spacing w:line="240" w:lineRule="auto"/>
              <w:jc w:val="center"/>
              <w:rPr>
                <w:noProof/>
              </w:rPr>
            </w:pPr>
            <w:r>
              <w:rPr>
                <w:noProof/>
              </w:rPr>
              <w:t xml:space="preserve">Povezana mjera (reforma ili ulaganje) </w:t>
            </w:r>
          </w:p>
        </w:tc>
        <w:tc>
          <w:tcPr>
            <w:tcW w:w="1075"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208FA443" w14:textId="77777777" w:rsidR="00615E2D" w:rsidRDefault="00C83E46">
            <w:pPr>
              <w:pStyle w:val="P68B1DB1-Normal9"/>
              <w:spacing w:line="240" w:lineRule="auto"/>
              <w:jc w:val="center"/>
              <w:rPr>
                <w:noProof/>
              </w:rPr>
            </w:pPr>
            <w:r>
              <w:rPr>
                <w:noProof/>
              </w:rPr>
              <w:t xml:space="preserve">Ključna etapa/ciljna vrijednost </w:t>
            </w:r>
          </w:p>
        </w:tc>
        <w:tc>
          <w:tcPr>
            <w:tcW w:w="1377"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419D5A6F" w14:textId="77777777" w:rsidR="00615E2D" w:rsidRDefault="00C83E46">
            <w:pPr>
              <w:pStyle w:val="P68B1DB1-Normal9"/>
              <w:spacing w:line="240" w:lineRule="auto"/>
              <w:jc w:val="center"/>
              <w:rPr>
                <w:noProof/>
              </w:rPr>
            </w:pPr>
            <w:r>
              <w:rPr>
                <w:noProof/>
              </w:rPr>
              <w:t xml:space="preserve">Ime </w:t>
            </w:r>
          </w:p>
        </w:tc>
        <w:tc>
          <w:tcPr>
            <w:tcW w:w="1605"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4CA321BA"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w:t>
            </w:r>
          </w:p>
        </w:tc>
        <w:tc>
          <w:tcPr>
            <w:tcW w:w="26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2951A866"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736" w:type="dxa"/>
            <w:gridSpan w:val="2"/>
            <w:tcBorders>
              <w:top w:val="single" w:sz="8" w:space="0" w:color="000000" w:themeColor="text1"/>
              <w:left w:val="nil"/>
              <w:bottom w:val="single" w:sz="8" w:space="0" w:color="000000" w:themeColor="text1"/>
              <w:right w:val="single" w:sz="8" w:space="0" w:color="000000" w:themeColor="text1"/>
            </w:tcBorders>
            <w:shd w:val="clear" w:color="auto" w:fill="BDD7EE"/>
            <w:vAlign w:val="center"/>
          </w:tcPr>
          <w:p w14:paraId="3CB62400" w14:textId="77777777" w:rsidR="00615E2D" w:rsidRDefault="00C83E46">
            <w:pPr>
              <w:pStyle w:val="P68B1DB1-Normal9"/>
              <w:spacing w:line="240" w:lineRule="auto"/>
              <w:jc w:val="center"/>
              <w:rPr>
                <w:noProof/>
              </w:rPr>
            </w:pPr>
            <w:r>
              <w:rPr>
                <w:noProof/>
              </w:rPr>
              <w:t xml:space="preserve">Okvirni vremenski okvir za dovršetak </w:t>
            </w:r>
          </w:p>
        </w:tc>
        <w:tc>
          <w:tcPr>
            <w:tcW w:w="4025" w:type="dxa"/>
            <w:vMerge w:val="restart"/>
            <w:tcBorders>
              <w:top w:val="single" w:sz="8" w:space="0" w:color="000000" w:themeColor="text1"/>
              <w:left w:val="nil"/>
              <w:right w:val="single" w:sz="8" w:space="0" w:color="000000" w:themeColor="text1"/>
            </w:tcBorders>
            <w:shd w:val="clear" w:color="auto" w:fill="BDD7EE"/>
            <w:vAlign w:val="center"/>
          </w:tcPr>
          <w:p w14:paraId="328FF0C3"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193494BC" w14:textId="77777777">
        <w:trPr>
          <w:trHeight w:val="326"/>
          <w:tblHeader/>
          <w:jc w:val="center"/>
        </w:trPr>
        <w:tc>
          <w:tcPr>
            <w:tcW w:w="645" w:type="dxa"/>
            <w:vMerge/>
            <w:vAlign w:val="center"/>
          </w:tcPr>
          <w:p w14:paraId="3E91276B"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303" w:type="dxa"/>
            <w:vMerge/>
            <w:vAlign w:val="center"/>
          </w:tcPr>
          <w:p w14:paraId="61A210B5"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075" w:type="dxa"/>
            <w:vMerge/>
            <w:vAlign w:val="center"/>
          </w:tcPr>
          <w:p w14:paraId="2167CB9E"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377" w:type="dxa"/>
            <w:vMerge/>
            <w:vAlign w:val="center"/>
          </w:tcPr>
          <w:p w14:paraId="25FB3A67"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605" w:type="dxa"/>
            <w:vMerge/>
            <w:vAlign w:val="center"/>
          </w:tcPr>
          <w:p w14:paraId="31FC3844"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3407610B" w14:textId="77777777" w:rsidR="00615E2D" w:rsidRDefault="00C83E46">
            <w:pPr>
              <w:pStyle w:val="P68B1DB1-Normal9"/>
              <w:spacing w:line="240" w:lineRule="auto"/>
              <w:jc w:val="center"/>
              <w:rPr>
                <w:noProof/>
              </w:rPr>
            </w:pPr>
            <w:r>
              <w:rPr>
                <w:noProof/>
              </w:rPr>
              <w:t>Jedinica mjere</w:t>
            </w:r>
          </w:p>
        </w:tc>
        <w:tc>
          <w:tcPr>
            <w:tcW w:w="1075"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1A22C2C2" w14:textId="77777777" w:rsidR="00615E2D" w:rsidRDefault="00C83E46">
            <w:pPr>
              <w:pStyle w:val="P68B1DB1-Normal9"/>
              <w:spacing w:line="240" w:lineRule="auto"/>
              <w:jc w:val="center"/>
              <w:rPr>
                <w:noProof/>
              </w:rPr>
            </w:pPr>
            <w:r>
              <w:rPr>
                <w:noProof/>
              </w:rPr>
              <w:t>Osnovna vrijednost</w:t>
            </w:r>
          </w:p>
        </w:tc>
        <w:tc>
          <w:tcPr>
            <w:tcW w:w="678"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42964533" w14:textId="77777777" w:rsidR="00615E2D" w:rsidRDefault="00C83E46">
            <w:pPr>
              <w:pStyle w:val="P68B1DB1-Normal9"/>
              <w:spacing w:line="240" w:lineRule="auto"/>
              <w:jc w:val="center"/>
              <w:rPr>
                <w:noProof/>
              </w:rPr>
            </w:pPr>
            <w:r>
              <w:rPr>
                <w:noProof/>
              </w:rPr>
              <w:t>Cilj</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19E97C43" w14:textId="77777777" w:rsidR="00615E2D" w:rsidRDefault="00C83E46">
            <w:pPr>
              <w:pStyle w:val="P68B1DB1-Normal9"/>
              <w:spacing w:line="240" w:lineRule="auto"/>
              <w:jc w:val="center"/>
              <w:rPr>
                <w:noProof/>
              </w:rPr>
            </w:pPr>
            <w:r>
              <w:rPr>
                <w:noProof/>
              </w:rPr>
              <w:t>Tromjesečje</w:t>
            </w:r>
          </w:p>
        </w:tc>
        <w:tc>
          <w:tcPr>
            <w:tcW w:w="6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2D50DBCD" w14:textId="77777777" w:rsidR="00615E2D" w:rsidRDefault="00C83E46">
            <w:pPr>
              <w:pStyle w:val="P68B1DB1-Normal9"/>
              <w:spacing w:line="240" w:lineRule="auto"/>
              <w:jc w:val="center"/>
              <w:rPr>
                <w:noProof/>
              </w:rPr>
            </w:pPr>
            <w:r>
              <w:rPr>
                <w:noProof/>
              </w:rPr>
              <w:t>Godina</w:t>
            </w:r>
          </w:p>
        </w:tc>
        <w:tc>
          <w:tcPr>
            <w:tcW w:w="4025" w:type="dxa"/>
            <w:vMerge/>
            <w:vAlign w:val="center"/>
          </w:tcPr>
          <w:p w14:paraId="120D0990"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r>
      <w:tr w:rsidR="00615E2D" w14:paraId="12050CD6" w14:textId="77777777">
        <w:trPr>
          <w:trHeight w:val="945"/>
          <w:jc w:val="center"/>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13AA559" w14:textId="77777777" w:rsidR="00615E2D" w:rsidRDefault="00C83E46">
            <w:pPr>
              <w:pStyle w:val="P68B1DB1-Normal28"/>
              <w:spacing w:line="240" w:lineRule="auto"/>
              <w:jc w:val="center"/>
              <w:rPr>
                <w:rFonts w:eastAsia="Times New Roman"/>
                <w:noProof/>
              </w:rPr>
            </w:pPr>
            <w:r>
              <w:rPr>
                <w:noProof/>
              </w:rPr>
              <w:t>72</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1E611E4" w14:textId="77777777" w:rsidR="00615E2D" w:rsidRDefault="00C83E46">
            <w:pPr>
              <w:pStyle w:val="P68B1DB1-Normal28"/>
              <w:spacing w:line="240" w:lineRule="auto"/>
              <w:rPr>
                <w:rFonts w:eastAsia="Times New Roman"/>
                <w:noProof/>
              </w:rPr>
            </w:pPr>
            <w:r>
              <w:rPr>
                <w:noProof/>
              </w:rPr>
              <w:t>Reforma 1.: Provedba novog zakona o gradnji i zoniranje zakona u praksi</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49010A" w14:textId="77777777" w:rsidR="00615E2D" w:rsidRDefault="00C83E46">
            <w:pPr>
              <w:pStyle w:val="P68B1DB1-Normal28"/>
              <w:spacing w:line="240" w:lineRule="auto"/>
              <w:rPr>
                <w:rFonts w:eastAsia="Times New Roman"/>
                <w:noProof/>
              </w:rPr>
            </w:pPr>
            <w:r>
              <w:rPr>
                <w:noProof/>
              </w:rPr>
              <w:t>Prekretnica</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5B9B2BB" w14:textId="77777777" w:rsidR="00615E2D" w:rsidRDefault="00C83E46">
            <w:pPr>
              <w:pStyle w:val="P68B1DB1-Normal28"/>
              <w:spacing w:line="240" w:lineRule="auto"/>
              <w:rPr>
                <w:rFonts w:eastAsia="Times New Roman"/>
                <w:noProof/>
              </w:rPr>
            </w:pPr>
            <w:r>
              <w:rPr>
                <w:noProof/>
              </w:rPr>
              <w:t xml:space="preserve">Stupanje na snagu novog zakona o gradnji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0A5818" w14:textId="77777777" w:rsidR="00615E2D" w:rsidRDefault="00C83E46">
            <w:pPr>
              <w:pStyle w:val="P68B1DB1-Normal28"/>
              <w:spacing w:line="240" w:lineRule="auto"/>
              <w:rPr>
                <w:rFonts w:eastAsia="Times New Roman"/>
                <w:noProof/>
              </w:rPr>
            </w:pPr>
            <w:r>
              <w:rPr>
                <w:noProof/>
              </w:rPr>
              <w:t>Zakonska odredba o stupanju na snagu novog zakona o gradnji</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7E27858" w14:textId="77777777" w:rsidR="00615E2D" w:rsidRDefault="00615E2D">
            <w:pPr>
              <w:spacing w:line="240" w:lineRule="auto"/>
              <w:rPr>
                <w:rFonts w:eastAsia="Times New Roman"/>
                <w:noProof/>
                <w:color w:val="006100"/>
                <w:sz w:val="18"/>
              </w:rPr>
            </w:pP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62FA9D2" w14:textId="77777777" w:rsidR="00615E2D" w:rsidRDefault="00615E2D">
            <w:pPr>
              <w:spacing w:line="240" w:lineRule="auto"/>
              <w:jc w:val="center"/>
              <w:rPr>
                <w:rFonts w:eastAsia="Times New Roman"/>
                <w:noProof/>
                <w:color w:val="006100"/>
                <w:sz w:val="18"/>
              </w:rPr>
            </w:pP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D92E609" w14:textId="77777777" w:rsidR="00615E2D" w:rsidRDefault="00615E2D">
            <w:pPr>
              <w:spacing w:line="240" w:lineRule="auto"/>
              <w:jc w:val="center"/>
              <w:rPr>
                <w:rFonts w:eastAsia="Times New Roman"/>
                <w:noProof/>
                <w:color w:val="006100"/>
                <w:sz w:val="18"/>
              </w:rPr>
            </w:pP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78FADC7" w14:textId="77777777" w:rsidR="00615E2D" w:rsidRDefault="00C83E46">
            <w:pPr>
              <w:pStyle w:val="P68B1DB1-Normal28"/>
              <w:spacing w:line="240" w:lineRule="auto"/>
              <w:jc w:val="center"/>
              <w:rPr>
                <w:rFonts w:eastAsia="Times New Roman"/>
                <w:noProof/>
              </w:rPr>
            </w:pPr>
            <w:r>
              <w:rPr>
                <w:noProof/>
              </w:rPr>
              <w:t>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E0A8236" w14:textId="77777777" w:rsidR="00615E2D" w:rsidRDefault="00C83E46">
            <w:pPr>
              <w:pStyle w:val="P68B1DB1-Normal11"/>
              <w:spacing w:line="240" w:lineRule="auto"/>
              <w:jc w:val="center"/>
              <w:rPr>
                <w:noProof/>
              </w:rPr>
            </w:pPr>
            <w:r>
              <w:rPr>
                <w:noProof/>
              </w:rPr>
              <w:t>2021</w:t>
            </w:r>
          </w:p>
        </w:tc>
        <w:tc>
          <w:tcPr>
            <w:tcW w:w="4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322012" w14:textId="77777777" w:rsidR="00615E2D" w:rsidRDefault="00C83E46">
            <w:pPr>
              <w:pStyle w:val="P68B1DB1-Normal28"/>
              <w:spacing w:line="240" w:lineRule="auto"/>
              <w:rPr>
                <w:rFonts w:eastAsia="Times New Roman"/>
                <w:noProof/>
              </w:rPr>
            </w:pPr>
            <w:r>
              <w:rPr>
                <w:noProof/>
              </w:rPr>
              <w:t>Novi zakon o gradnji kojim se ubrzava postupak izdavanja građevinskih dozvola, digitalizacija postupka i smanjenje broja regulatornih tijela stupa na snagu.</w:t>
            </w:r>
          </w:p>
        </w:tc>
      </w:tr>
      <w:tr w:rsidR="00615E2D" w14:paraId="3E2BFED0" w14:textId="77777777">
        <w:trPr>
          <w:trHeight w:val="945"/>
          <w:jc w:val="center"/>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6CA2D5B" w14:textId="77777777" w:rsidR="00615E2D" w:rsidRDefault="00C83E46">
            <w:pPr>
              <w:pStyle w:val="P68B1DB1-Normal28"/>
              <w:spacing w:line="240" w:lineRule="auto"/>
              <w:jc w:val="center"/>
              <w:rPr>
                <w:rFonts w:eastAsia="Times New Roman"/>
                <w:noProof/>
              </w:rPr>
            </w:pPr>
            <w:r>
              <w:rPr>
                <w:noProof/>
              </w:rPr>
              <w:t>73</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53ADE10" w14:textId="77777777" w:rsidR="00615E2D" w:rsidRDefault="00C83E46">
            <w:pPr>
              <w:pStyle w:val="P68B1DB1-Normal28"/>
              <w:spacing w:line="240" w:lineRule="auto"/>
              <w:rPr>
                <w:rFonts w:eastAsia="Times New Roman"/>
                <w:noProof/>
              </w:rPr>
            </w:pPr>
            <w:r>
              <w:rPr>
                <w:noProof/>
              </w:rPr>
              <w:t>Reforma 1.: Provedba novog zakona o gradnji i zoniranje zakona u praksi</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65FC21" w14:textId="77777777" w:rsidR="00615E2D" w:rsidRDefault="00C83E46">
            <w:pPr>
              <w:pStyle w:val="P68B1DB1-Normal28"/>
              <w:spacing w:line="240" w:lineRule="auto"/>
              <w:rPr>
                <w:rFonts w:eastAsia="Times New Roman"/>
                <w:noProof/>
              </w:rPr>
            </w:pPr>
            <w:r>
              <w:rPr>
                <w:noProof/>
              </w:rPr>
              <w:t>Prekretnica</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986629E" w14:textId="603ACF38" w:rsidR="00615E2D" w:rsidRDefault="00C83E46">
            <w:pPr>
              <w:pStyle w:val="P68B1DB1-Normal28"/>
              <w:spacing w:line="240" w:lineRule="auto"/>
              <w:rPr>
                <w:rFonts w:eastAsia="Times New Roman"/>
                <w:noProof/>
              </w:rPr>
            </w:pPr>
            <w:r>
              <w:rPr>
                <w:noProof/>
              </w:rPr>
              <w:t>Početak aktivnosti nove strukture građevinskih tijela</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821F24" w14:textId="2F5CD7E9" w:rsidR="00615E2D" w:rsidRDefault="00C83E46">
            <w:pPr>
              <w:pStyle w:val="P68B1DB1-Normal28"/>
              <w:spacing w:line="240" w:lineRule="auto"/>
              <w:rPr>
                <w:rFonts w:eastAsia="Times New Roman"/>
                <w:noProof/>
              </w:rPr>
            </w:pPr>
            <w:r>
              <w:rPr>
                <w:noProof/>
              </w:rPr>
              <w:t xml:space="preserve">Nova struktura građevinskih tijela započinje s radom.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1F17675" w14:textId="77777777" w:rsidR="00615E2D" w:rsidRDefault="00615E2D">
            <w:pPr>
              <w:spacing w:line="240" w:lineRule="auto"/>
              <w:rPr>
                <w:rFonts w:eastAsia="Times New Roman"/>
                <w:noProof/>
                <w:color w:val="006100"/>
                <w:sz w:val="18"/>
              </w:rPr>
            </w:pP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75A19D5" w14:textId="77777777" w:rsidR="00615E2D" w:rsidRDefault="00615E2D">
            <w:pPr>
              <w:spacing w:line="240" w:lineRule="auto"/>
              <w:jc w:val="center"/>
              <w:rPr>
                <w:rFonts w:eastAsia="Times New Roman"/>
                <w:noProof/>
                <w:color w:val="006100"/>
                <w:sz w:val="18"/>
              </w:rPr>
            </w:pP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69DC41E" w14:textId="77777777" w:rsidR="00615E2D" w:rsidRDefault="00615E2D">
            <w:pPr>
              <w:spacing w:line="240" w:lineRule="auto"/>
              <w:jc w:val="center"/>
              <w:rPr>
                <w:rFonts w:eastAsia="Times New Roman"/>
                <w:noProof/>
                <w:color w:val="006100"/>
                <w:sz w:val="18"/>
              </w:rPr>
            </w:pP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D79852C" w14:textId="77777777" w:rsidR="00615E2D" w:rsidRDefault="00C83E46">
            <w:pPr>
              <w:pStyle w:val="P68B1DB1-Normal28"/>
              <w:spacing w:line="240" w:lineRule="auto"/>
              <w:jc w:val="center"/>
              <w:rPr>
                <w:rFonts w:eastAsia="Times New Roman"/>
                <w:noProof/>
              </w:rPr>
            </w:pPr>
            <w:r>
              <w:rPr>
                <w:noProof/>
              </w:rPr>
              <w:t>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F6AD65" w14:textId="17D3D213" w:rsidR="00615E2D" w:rsidRDefault="00C83E46">
            <w:pPr>
              <w:pStyle w:val="P68B1DB1-Normal11"/>
              <w:spacing w:line="240" w:lineRule="auto"/>
              <w:jc w:val="center"/>
              <w:rPr>
                <w:noProof/>
              </w:rPr>
            </w:pPr>
            <w:r>
              <w:rPr>
                <w:noProof/>
              </w:rPr>
              <w:t>2024</w:t>
            </w:r>
          </w:p>
        </w:tc>
        <w:tc>
          <w:tcPr>
            <w:tcW w:w="4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766CF4F" w14:textId="057586CF" w:rsidR="00615E2D" w:rsidRDefault="00C83E46">
            <w:pPr>
              <w:pStyle w:val="P68B1DB1-Normal28"/>
              <w:spacing w:line="240" w:lineRule="auto"/>
              <w:rPr>
                <w:rFonts w:eastAsia="Times New Roman"/>
                <w:noProof/>
              </w:rPr>
            </w:pPr>
            <w:r>
              <w:rPr>
                <w:noProof/>
              </w:rPr>
              <w:t xml:space="preserve">Stvaranje nove državne strukture građevinskih tijela, uključujući unutarnje jedinice. Osiguravanje financijskog i informatičkog osoblja te osposobljavanje osoblja, čime se omogućuje pravilno funkcioniranje nove strukture. </w:t>
            </w:r>
          </w:p>
        </w:tc>
      </w:tr>
      <w:tr w:rsidR="00615E2D" w14:paraId="5721AF02" w14:textId="77777777">
        <w:trPr>
          <w:trHeight w:val="945"/>
          <w:jc w:val="center"/>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8DB47CE" w14:textId="77777777" w:rsidR="00615E2D" w:rsidRDefault="00C83E46">
            <w:pPr>
              <w:pStyle w:val="P68B1DB1-Normal28"/>
              <w:spacing w:line="240" w:lineRule="auto"/>
              <w:jc w:val="center"/>
              <w:rPr>
                <w:rFonts w:eastAsia="Times New Roman"/>
                <w:noProof/>
              </w:rPr>
            </w:pPr>
            <w:r>
              <w:rPr>
                <w:noProof/>
              </w:rPr>
              <w:t>74</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F5E864C" w14:textId="77777777" w:rsidR="00615E2D" w:rsidRDefault="00C83E46">
            <w:pPr>
              <w:pStyle w:val="P68B1DB1-Normal28"/>
              <w:spacing w:line="240" w:lineRule="auto"/>
              <w:rPr>
                <w:rFonts w:eastAsia="Times New Roman"/>
                <w:noProof/>
              </w:rPr>
            </w:pPr>
            <w:r>
              <w:rPr>
                <w:noProof/>
              </w:rPr>
              <w:t>Reforma 1.: Provedba novog zakona o gradnji i zoniranje zakona u praksi</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52F0FD" w14:textId="77777777" w:rsidR="00615E2D" w:rsidRDefault="00C83E46">
            <w:pPr>
              <w:pStyle w:val="P68B1DB1-Normal28"/>
              <w:spacing w:line="240" w:lineRule="auto"/>
              <w:rPr>
                <w:rFonts w:eastAsia="Times New Roman"/>
                <w:noProof/>
              </w:rPr>
            </w:pPr>
            <w:r>
              <w:rPr>
                <w:noProof/>
              </w:rPr>
              <w:t>Ciljna</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0F422E2" w14:textId="77777777" w:rsidR="00615E2D" w:rsidRDefault="00C83E46">
            <w:pPr>
              <w:pStyle w:val="P68B1DB1-Normal28"/>
              <w:spacing w:line="240" w:lineRule="auto"/>
              <w:rPr>
                <w:rFonts w:eastAsia="Times New Roman"/>
                <w:noProof/>
              </w:rPr>
            </w:pPr>
            <w:r>
              <w:rPr>
                <w:noProof/>
              </w:rPr>
              <w:t>Skraćivanje postupka izdavanja građevinske dozvole za najmanje dvije godine</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EAED13" w14:textId="77777777" w:rsidR="00615E2D" w:rsidRDefault="00615E2D">
            <w:pPr>
              <w:spacing w:line="240" w:lineRule="auto"/>
              <w:rPr>
                <w:rFonts w:eastAsia="Times New Roman"/>
                <w:noProof/>
                <w:color w:val="006100"/>
                <w:sz w:val="18"/>
              </w:rPr>
            </w:pP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95DBD9" w14:textId="77777777" w:rsidR="00615E2D" w:rsidRDefault="00C83E46">
            <w:pPr>
              <w:pStyle w:val="P68B1DB1-Normal28"/>
              <w:spacing w:line="240" w:lineRule="auto"/>
              <w:rPr>
                <w:rFonts w:eastAsia="Times New Roman"/>
                <w:noProof/>
              </w:rPr>
            </w:pPr>
            <w:r>
              <w:rPr>
                <w:noProof/>
              </w:rPr>
              <w:t>Godina</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200DE5" w14:textId="77777777" w:rsidR="00615E2D" w:rsidRDefault="00C83E46">
            <w:pPr>
              <w:pStyle w:val="P68B1DB1-Normal11"/>
              <w:spacing w:line="240" w:lineRule="auto"/>
              <w:jc w:val="center"/>
              <w:rPr>
                <w:noProof/>
              </w:rPr>
            </w:pPr>
            <w:r>
              <w:rPr>
                <w:noProof/>
              </w:rPr>
              <w:t>5,5</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FC1B98C" w14:textId="77777777" w:rsidR="00615E2D" w:rsidRDefault="00C83E46">
            <w:pPr>
              <w:pStyle w:val="P68B1DB1-Normal11"/>
              <w:spacing w:line="240" w:lineRule="auto"/>
              <w:jc w:val="center"/>
              <w:rPr>
                <w:noProof/>
              </w:rPr>
            </w:pPr>
            <w:r>
              <w:rPr>
                <w:noProof/>
              </w:rPr>
              <w:t>3,5</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5F801E8" w14:textId="77777777" w:rsidR="00615E2D" w:rsidRDefault="00C83E46">
            <w:pPr>
              <w:pStyle w:val="P68B1DB1-Normal28"/>
              <w:spacing w:line="240" w:lineRule="auto"/>
              <w:jc w:val="center"/>
              <w:rPr>
                <w:noProof/>
              </w:rPr>
            </w:pPr>
            <w:r>
              <w:rPr>
                <w:noProof/>
              </w:rPr>
              <w:t>ČETVRTO 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66DF727" w14:textId="77777777" w:rsidR="00615E2D" w:rsidRDefault="00C83E46">
            <w:pPr>
              <w:pStyle w:val="P68B1DB1-Normal11"/>
              <w:spacing w:line="240" w:lineRule="auto"/>
              <w:jc w:val="center"/>
              <w:rPr>
                <w:noProof/>
              </w:rPr>
            </w:pPr>
            <w:r>
              <w:rPr>
                <w:noProof/>
              </w:rPr>
              <w:t>2025</w:t>
            </w:r>
          </w:p>
        </w:tc>
        <w:tc>
          <w:tcPr>
            <w:tcW w:w="4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3AF4CC9" w14:textId="7E420FE1" w:rsidR="00615E2D" w:rsidRDefault="00C83E46">
            <w:pPr>
              <w:pStyle w:val="P68B1DB1-Normal28"/>
              <w:spacing w:line="240" w:lineRule="auto"/>
              <w:rPr>
                <w:noProof/>
              </w:rPr>
            </w:pPr>
            <w:r>
              <w:rPr>
                <w:noProof/>
              </w:rPr>
              <w:t>Prosječno trajanje postupka izdavanja građevinskih dozvola skraćuje se za najmanje dvije godine, s 5,5 na 3,5 godina ili manje, što potvrđuje Ministarstvo regionalnog razvoja na temelju nove statistike za prosječno trajanje postupka izdavanja dozvola u razdoblju 2024. – 2025.</w:t>
            </w:r>
          </w:p>
        </w:tc>
      </w:tr>
      <w:tr w:rsidR="00615E2D" w14:paraId="4E5E948F" w14:textId="77777777">
        <w:trPr>
          <w:trHeight w:val="945"/>
          <w:jc w:val="center"/>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43C076" w14:textId="77777777" w:rsidR="00615E2D" w:rsidRDefault="00C83E46">
            <w:pPr>
              <w:pStyle w:val="P68B1DB1-Normal28"/>
              <w:spacing w:line="240" w:lineRule="auto"/>
              <w:jc w:val="center"/>
              <w:rPr>
                <w:rFonts w:eastAsia="Times New Roman"/>
                <w:noProof/>
              </w:rPr>
            </w:pPr>
            <w:r>
              <w:rPr>
                <w:noProof/>
              </w:rPr>
              <w:t>75</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C3B3573" w14:textId="77777777" w:rsidR="00615E2D" w:rsidRDefault="00C83E46">
            <w:pPr>
              <w:pStyle w:val="P68B1DB1-Normal28"/>
              <w:spacing w:line="240" w:lineRule="auto"/>
              <w:rPr>
                <w:rFonts w:eastAsia="Times New Roman"/>
                <w:noProof/>
              </w:rPr>
            </w:pPr>
            <w:r>
              <w:rPr>
                <w:noProof/>
              </w:rPr>
              <w:t>Ulaganje 1: Stvaranje novog središnjeg informacijskog sustava („AIS”)</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67E5AAA" w14:textId="77777777" w:rsidR="00615E2D" w:rsidRDefault="00C83E46">
            <w:pPr>
              <w:pStyle w:val="P68B1DB1-Normal28"/>
              <w:spacing w:line="240" w:lineRule="auto"/>
              <w:rPr>
                <w:rFonts w:eastAsia="Times New Roman"/>
                <w:noProof/>
              </w:rPr>
            </w:pPr>
            <w:r>
              <w:rPr>
                <w:noProof/>
              </w:rPr>
              <w:t>Prekretnica</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68F615" w14:textId="77777777" w:rsidR="00615E2D" w:rsidRDefault="00C83E46">
            <w:pPr>
              <w:pStyle w:val="P68B1DB1-Normal28"/>
              <w:spacing w:line="240" w:lineRule="auto"/>
              <w:rPr>
                <w:rFonts w:eastAsia="Times New Roman"/>
                <w:noProof/>
              </w:rPr>
            </w:pPr>
            <w:r>
              <w:rPr>
                <w:noProof/>
              </w:rPr>
              <w:t>Potpuno operativan središnji informacijski sustav</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DB58B06" w14:textId="77777777" w:rsidR="00615E2D" w:rsidRDefault="00C83E46">
            <w:pPr>
              <w:pStyle w:val="P68B1DB1-Normal28"/>
              <w:spacing w:line="240" w:lineRule="auto"/>
              <w:rPr>
                <w:rFonts w:eastAsia="Times New Roman"/>
                <w:noProof/>
              </w:rPr>
            </w:pPr>
            <w:r>
              <w:rPr>
                <w:noProof/>
              </w:rPr>
              <w:t>Uvođenje sustava, početak upotrebe u uredima zgrade.</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8A347B5" w14:textId="77777777" w:rsidR="00615E2D" w:rsidRDefault="00615E2D">
            <w:pPr>
              <w:spacing w:line="240" w:lineRule="auto"/>
              <w:rPr>
                <w:rFonts w:eastAsia="Times New Roman"/>
                <w:noProof/>
                <w:color w:val="006100"/>
                <w:sz w:val="18"/>
              </w:rPr>
            </w:pP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B02E58F" w14:textId="77777777" w:rsidR="00615E2D" w:rsidRDefault="00615E2D">
            <w:pPr>
              <w:spacing w:line="240" w:lineRule="auto"/>
              <w:jc w:val="center"/>
              <w:rPr>
                <w:rFonts w:eastAsia="Times New Roman"/>
                <w:noProof/>
                <w:color w:val="006100"/>
                <w:sz w:val="18"/>
              </w:rPr>
            </w:pP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92D93FD" w14:textId="77777777" w:rsidR="00615E2D" w:rsidRDefault="00615E2D">
            <w:pPr>
              <w:spacing w:line="240" w:lineRule="auto"/>
              <w:jc w:val="center"/>
              <w:rPr>
                <w:rFonts w:eastAsia="Times New Roman"/>
                <w:noProof/>
                <w:color w:val="006100"/>
                <w:sz w:val="18"/>
              </w:rPr>
            </w:pP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93201D" w14:textId="77777777" w:rsidR="00615E2D" w:rsidRDefault="00C83E46">
            <w:pPr>
              <w:pStyle w:val="P68B1DB1-Normal28"/>
              <w:spacing w:line="240" w:lineRule="auto"/>
              <w:jc w:val="center"/>
              <w:rPr>
                <w:rFonts w:eastAsia="Times New Roman"/>
                <w:noProof/>
              </w:rPr>
            </w:pPr>
            <w:r>
              <w:rPr>
                <w:noProof/>
              </w:rPr>
              <w:t>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B43ABCA" w14:textId="4768228C" w:rsidR="00615E2D" w:rsidRDefault="00C83E46">
            <w:pPr>
              <w:pStyle w:val="P68B1DB1-Normal11"/>
              <w:spacing w:line="240" w:lineRule="auto"/>
              <w:jc w:val="center"/>
              <w:rPr>
                <w:noProof/>
              </w:rPr>
            </w:pPr>
            <w:r>
              <w:rPr>
                <w:noProof/>
              </w:rPr>
              <w:t>2024</w:t>
            </w:r>
          </w:p>
        </w:tc>
        <w:tc>
          <w:tcPr>
            <w:tcW w:w="4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222127" w14:textId="77777777" w:rsidR="00615E2D" w:rsidRDefault="00C83E46">
            <w:pPr>
              <w:pStyle w:val="P68B1DB1-Normal28"/>
              <w:spacing w:line="240" w:lineRule="auto"/>
              <w:rPr>
                <w:noProof/>
              </w:rPr>
            </w:pPr>
            <w:r>
              <w:rPr>
                <w:noProof/>
              </w:rPr>
              <w:t xml:space="preserve">Stvaranje novog središnjeg informacijskog sustava kojim će se koristiti državni službenici tijela uključenih u postupak izdavanja građevinskih dozvola. </w:t>
            </w:r>
          </w:p>
        </w:tc>
      </w:tr>
      <w:tr w:rsidR="00615E2D" w14:paraId="26FF659D" w14:textId="77777777">
        <w:trPr>
          <w:trHeight w:val="945"/>
          <w:jc w:val="center"/>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D75FF0E" w14:textId="77777777" w:rsidR="00615E2D" w:rsidRDefault="00C83E46">
            <w:pPr>
              <w:pStyle w:val="P68B1DB1-Normal28"/>
              <w:spacing w:line="240" w:lineRule="auto"/>
              <w:jc w:val="center"/>
              <w:rPr>
                <w:rFonts w:eastAsia="Times New Roman"/>
                <w:noProof/>
              </w:rPr>
            </w:pPr>
            <w:r>
              <w:rPr>
                <w:noProof/>
              </w:rPr>
              <w:t>76</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2C66C0A" w14:textId="77777777" w:rsidR="00615E2D" w:rsidRDefault="00C83E46">
            <w:pPr>
              <w:pStyle w:val="P68B1DB1-Normal28"/>
              <w:spacing w:line="240" w:lineRule="auto"/>
              <w:rPr>
                <w:rFonts w:eastAsia="Times New Roman"/>
                <w:noProof/>
              </w:rPr>
            </w:pPr>
            <w:r>
              <w:rPr>
                <w:noProof/>
              </w:rPr>
              <w:t>Ulaganje 2: Razvoj i upotreba podataka javne uprave u prostornom planiranju</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12B9F11" w14:textId="77777777" w:rsidR="00615E2D" w:rsidRDefault="00C83E46">
            <w:pPr>
              <w:pStyle w:val="P68B1DB1-Normal28"/>
              <w:spacing w:line="240" w:lineRule="auto"/>
              <w:rPr>
                <w:rFonts w:eastAsia="Times New Roman"/>
                <w:noProof/>
              </w:rPr>
            </w:pPr>
            <w:r>
              <w:rPr>
                <w:noProof/>
              </w:rPr>
              <w:t>Prekretnica</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1820414" w14:textId="77777777" w:rsidR="00615E2D" w:rsidRDefault="00C83E46">
            <w:pPr>
              <w:pStyle w:val="P68B1DB1-Normal28"/>
              <w:spacing w:line="240" w:lineRule="auto"/>
              <w:rPr>
                <w:rFonts w:eastAsia="Times New Roman"/>
                <w:noProof/>
              </w:rPr>
            </w:pPr>
            <w:r>
              <w:rPr>
                <w:noProof/>
              </w:rPr>
              <w:t>Stvaranje standardizirane baze podataka prostorne analitičke dokumentacije</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E32FE3" w14:textId="77777777" w:rsidR="00615E2D" w:rsidRDefault="00C83E46">
            <w:pPr>
              <w:pStyle w:val="P68B1DB1-Normal28"/>
              <w:spacing w:line="240" w:lineRule="auto"/>
              <w:rPr>
                <w:rFonts w:eastAsia="Times New Roman"/>
                <w:noProof/>
              </w:rPr>
            </w:pPr>
            <w:r>
              <w:rPr>
                <w:noProof/>
              </w:rPr>
              <w:t>Standardizirana baza podataka o prostornoj analitičkoj dokumentaciji koja je potpuno operativna i koju upotrebljavaju javna tijela</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DB0C8EC" w14:textId="77777777" w:rsidR="00615E2D" w:rsidRDefault="00615E2D">
            <w:pPr>
              <w:spacing w:line="240" w:lineRule="auto"/>
              <w:rPr>
                <w:rFonts w:eastAsia="Times New Roman"/>
                <w:noProof/>
                <w:color w:val="006100"/>
                <w:sz w:val="18"/>
              </w:rPr>
            </w:pP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4376F3E" w14:textId="77777777" w:rsidR="00615E2D" w:rsidRDefault="00615E2D">
            <w:pPr>
              <w:spacing w:line="240" w:lineRule="auto"/>
              <w:jc w:val="center"/>
              <w:rPr>
                <w:rFonts w:eastAsia="Times New Roman"/>
                <w:noProof/>
                <w:color w:val="006100"/>
                <w:sz w:val="18"/>
              </w:rPr>
            </w:pPr>
          </w:p>
          <w:p w14:paraId="5218B4B7" w14:textId="4FCA6FFF" w:rsidR="00615E2D" w:rsidRDefault="00615E2D">
            <w:pPr>
              <w:rPr>
                <w:rFonts w:eastAsia="Times New Roman"/>
                <w:noProof/>
                <w:sz w:val="18"/>
              </w:rPr>
            </w:pP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D9A60D" w14:textId="77777777" w:rsidR="00615E2D" w:rsidRDefault="00615E2D">
            <w:pPr>
              <w:spacing w:line="240" w:lineRule="auto"/>
              <w:jc w:val="center"/>
              <w:rPr>
                <w:rFonts w:eastAsia="Times New Roman"/>
                <w:noProof/>
                <w:color w:val="006100"/>
                <w:sz w:val="18"/>
              </w:rPr>
            </w:pP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0C404D4" w14:textId="77777777" w:rsidR="00615E2D" w:rsidRDefault="00C83E46">
            <w:pPr>
              <w:pStyle w:val="P68B1DB1-Normal28"/>
              <w:spacing w:line="240" w:lineRule="auto"/>
              <w:jc w:val="center"/>
              <w:rPr>
                <w:rFonts w:eastAsia="Times New Roman"/>
                <w:noProof/>
              </w:rPr>
            </w:pPr>
            <w:r>
              <w:rPr>
                <w:noProof/>
              </w:rPr>
              <w:t>ČETVRTO 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AFA3D7E" w14:textId="77777777" w:rsidR="00615E2D" w:rsidRDefault="00C83E46">
            <w:pPr>
              <w:pStyle w:val="P68B1DB1-Normal11"/>
              <w:spacing w:line="240" w:lineRule="auto"/>
              <w:jc w:val="center"/>
              <w:rPr>
                <w:noProof/>
              </w:rPr>
            </w:pPr>
            <w:r>
              <w:rPr>
                <w:noProof/>
              </w:rPr>
              <w:t>2024</w:t>
            </w:r>
          </w:p>
        </w:tc>
        <w:tc>
          <w:tcPr>
            <w:tcW w:w="4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D15C3A4" w14:textId="77777777" w:rsidR="00615E2D" w:rsidRDefault="00C83E46">
            <w:pPr>
              <w:pStyle w:val="P68B1DB1-Normal28"/>
              <w:spacing w:line="240" w:lineRule="auto"/>
              <w:rPr>
                <w:rFonts w:eastAsia="Times New Roman"/>
                <w:noProof/>
              </w:rPr>
            </w:pPr>
            <w:r>
              <w:rPr>
                <w:noProof/>
              </w:rPr>
              <w:t>Prijenos baze podataka prostorne analitičke dokumentacije i validacija protokola. Alat za validaciju uključuje se u nacionalni geoportal za prostorno planiranje, u koji se učitava prostorna analitička dokumentacija.</w:t>
            </w:r>
          </w:p>
        </w:tc>
      </w:tr>
      <w:tr w:rsidR="00615E2D" w14:paraId="1A50D725" w14:textId="77777777">
        <w:trPr>
          <w:trHeight w:val="945"/>
          <w:jc w:val="center"/>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EE9F541" w14:textId="77777777" w:rsidR="00615E2D" w:rsidRDefault="00C83E46">
            <w:pPr>
              <w:pStyle w:val="P68B1DB1-Normal28"/>
              <w:spacing w:line="240" w:lineRule="auto"/>
              <w:jc w:val="center"/>
              <w:rPr>
                <w:rFonts w:eastAsia="Times New Roman"/>
                <w:noProof/>
              </w:rPr>
            </w:pPr>
            <w:r>
              <w:rPr>
                <w:noProof/>
              </w:rPr>
              <w:t>77</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0728173" w14:textId="77777777" w:rsidR="00615E2D" w:rsidRDefault="00C83E46">
            <w:pPr>
              <w:pStyle w:val="P68B1DB1-Normal28"/>
              <w:spacing w:line="240" w:lineRule="auto"/>
              <w:rPr>
                <w:rFonts w:eastAsia="Times New Roman"/>
                <w:noProof/>
              </w:rPr>
            </w:pPr>
            <w:r>
              <w:rPr>
                <w:noProof/>
              </w:rPr>
              <w:t>Ulaganje 3: Oživljavanje punih koristi od digitalne kontrole zgrada</w:t>
            </w: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3DCF384" w14:textId="77777777" w:rsidR="00615E2D" w:rsidRDefault="00C83E46">
            <w:pPr>
              <w:pStyle w:val="P68B1DB1-Normal28"/>
              <w:spacing w:line="240" w:lineRule="auto"/>
              <w:rPr>
                <w:rFonts w:eastAsia="Times New Roman"/>
                <w:noProof/>
              </w:rPr>
            </w:pPr>
            <w:r>
              <w:rPr>
                <w:noProof/>
              </w:rPr>
              <w:t>Prekretnica</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76E784" w14:textId="77777777" w:rsidR="00615E2D" w:rsidRDefault="00C83E46">
            <w:pPr>
              <w:pStyle w:val="P68B1DB1-Normal28"/>
              <w:spacing w:line="240" w:lineRule="auto"/>
              <w:rPr>
                <w:rFonts w:eastAsia="Times New Roman"/>
                <w:noProof/>
              </w:rPr>
            </w:pPr>
            <w:r>
              <w:rPr>
                <w:noProof/>
              </w:rPr>
              <w:t>IT sustavi kojima se podupire digitalizacija postupka izdavanja građevinskih dozvola koji je u potpunosti operativan</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29CA79D" w14:textId="77777777" w:rsidR="00615E2D" w:rsidRDefault="00C83E46">
            <w:pPr>
              <w:pStyle w:val="P68B1DB1-Normal28"/>
              <w:spacing w:line="240" w:lineRule="auto"/>
              <w:rPr>
                <w:rFonts w:eastAsia="Times New Roman"/>
                <w:noProof/>
              </w:rPr>
            </w:pPr>
            <w:r>
              <w:rPr>
                <w:noProof/>
              </w:rPr>
              <w:t>IT sustavi koji su potpuno operativni, uključujući uvođenje krajnjih korisnika.</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ED72B32" w14:textId="77777777" w:rsidR="00615E2D" w:rsidRDefault="00615E2D">
            <w:pPr>
              <w:spacing w:line="240" w:lineRule="auto"/>
              <w:rPr>
                <w:rFonts w:eastAsia="Times New Roman"/>
                <w:noProof/>
                <w:color w:val="006100"/>
                <w:sz w:val="18"/>
              </w:rPr>
            </w:pPr>
          </w:p>
        </w:tc>
        <w:tc>
          <w:tcPr>
            <w:tcW w:w="1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FA0EBFE" w14:textId="77777777" w:rsidR="00615E2D" w:rsidRDefault="00615E2D">
            <w:pPr>
              <w:spacing w:line="240" w:lineRule="auto"/>
              <w:jc w:val="center"/>
              <w:rPr>
                <w:rFonts w:eastAsia="Times New Roman"/>
                <w:noProof/>
                <w:color w:val="006100"/>
                <w:sz w:val="18"/>
              </w:rPr>
            </w:pP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8A260C" w14:textId="77777777" w:rsidR="00615E2D" w:rsidRDefault="00615E2D">
            <w:pPr>
              <w:spacing w:line="240" w:lineRule="auto"/>
              <w:jc w:val="center"/>
              <w:rPr>
                <w:rFonts w:eastAsia="Times New Roman"/>
                <w:noProof/>
                <w:color w:val="006100"/>
                <w:sz w:val="18"/>
              </w:rPr>
            </w:pP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DE26BBB" w14:textId="77777777" w:rsidR="00615E2D" w:rsidRDefault="00C83E46">
            <w:pPr>
              <w:pStyle w:val="P68B1DB1-Normal28"/>
              <w:spacing w:line="240" w:lineRule="auto"/>
              <w:jc w:val="center"/>
              <w:rPr>
                <w:rFonts w:eastAsia="Times New Roman"/>
                <w:noProof/>
              </w:rPr>
            </w:pPr>
            <w:r>
              <w:rPr>
                <w:noProof/>
              </w:rPr>
              <w:t>ČETVRTO 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24BC8D1" w14:textId="77777777" w:rsidR="00615E2D" w:rsidRDefault="00C83E46">
            <w:pPr>
              <w:pStyle w:val="P68B1DB1-Normal11"/>
              <w:spacing w:line="240" w:lineRule="auto"/>
              <w:jc w:val="center"/>
              <w:rPr>
                <w:noProof/>
              </w:rPr>
            </w:pPr>
            <w:r>
              <w:rPr>
                <w:noProof/>
              </w:rPr>
              <w:t>2024</w:t>
            </w:r>
          </w:p>
        </w:tc>
        <w:tc>
          <w:tcPr>
            <w:tcW w:w="4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63B259" w14:textId="6566122C" w:rsidR="00615E2D" w:rsidRDefault="00C83E46">
            <w:pPr>
              <w:pStyle w:val="P68B1DB1-Normal28"/>
              <w:spacing w:line="240" w:lineRule="auto"/>
              <w:rPr>
                <w:noProof/>
              </w:rPr>
            </w:pPr>
            <w:r>
              <w:rPr>
                <w:noProof/>
              </w:rPr>
              <w:t xml:space="preserve">U funkciji su tri informatička sustava koji omogućuju međusobno povezivanje svih baza podataka koje se upotrebljavaju u postupku izdavanja građevinskih dozvola: </w:t>
            </w:r>
          </w:p>
          <w:p w14:paraId="1BBDD18F" w14:textId="01023FC9" w:rsidR="00615E2D" w:rsidRDefault="00C83E46">
            <w:pPr>
              <w:pStyle w:val="P68B1DB1-Normal28"/>
              <w:numPr>
                <w:ilvl w:val="0"/>
                <w:numId w:val="164"/>
              </w:numPr>
              <w:pBdr>
                <w:top w:val="nil"/>
                <w:left w:val="nil"/>
                <w:bottom w:val="nil"/>
                <w:right w:val="nil"/>
                <w:between w:val="nil"/>
              </w:pBdr>
              <w:spacing w:after="0" w:line="259" w:lineRule="auto"/>
              <w:rPr>
                <w:noProof/>
              </w:rPr>
            </w:pPr>
            <w:r>
              <w:rPr>
                <w:noProof/>
              </w:rPr>
              <w:t xml:space="preserve">sustav kojim se tehničke norme povezuju s provedbenim uredbama. Mora biti integriran u portal za razvoj zgrada i dostupan javnosti. </w:t>
            </w:r>
          </w:p>
          <w:p w14:paraId="5C1D0A87" w14:textId="77777777" w:rsidR="00615E2D" w:rsidRDefault="00C83E46">
            <w:pPr>
              <w:pStyle w:val="P68B1DB1-Normal28"/>
              <w:numPr>
                <w:ilvl w:val="0"/>
                <w:numId w:val="164"/>
              </w:numPr>
              <w:pBdr>
                <w:top w:val="nil"/>
                <w:left w:val="nil"/>
                <w:bottom w:val="nil"/>
                <w:right w:val="nil"/>
                <w:between w:val="nil"/>
              </w:pBdr>
              <w:spacing w:after="0" w:line="259" w:lineRule="auto"/>
              <w:rPr>
                <w:noProof/>
              </w:rPr>
            </w:pPr>
            <w:r>
              <w:rPr>
                <w:noProof/>
              </w:rPr>
              <w:t>sustav za strukturirane zahtjeve u pogledu zgrada i postupaka, validaciju i kontrolu postupka izdavanja dozvola, uključujući ontologiju</w:t>
            </w:r>
          </w:p>
          <w:p w14:paraId="6129C3FE" w14:textId="77777777" w:rsidR="00615E2D" w:rsidRDefault="00C83E46">
            <w:pPr>
              <w:pStyle w:val="P68B1DB1-Normal28"/>
              <w:numPr>
                <w:ilvl w:val="0"/>
                <w:numId w:val="164"/>
              </w:numPr>
              <w:pBdr>
                <w:top w:val="nil"/>
                <w:left w:val="nil"/>
                <w:bottom w:val="nil"/>
                <w:right w:val="nil"/>
                <w:between w:val="nil"/>
              </w:pBdr>
              <w:spacing w:after="160" w:line="259" w:lineRule="auto"/>
              <w:rPr>
                <w:rFonts w:eastAsia="Times New Roman"/>
                <w:noProof/>
              </w:rPr>
            </w:pPr>
            <w:r>
              <w:rPr>
                <w:noProof/>
              </w:rPr>
              <w:t>sustav za upravljanje podatkovnim standardima zgrada.</w:t>
            </w:r>
          </w:p>
        </w:tc>
      </w:tr>
    </w:tbl>
    <w:p w14:paraId="2A5A6130" w14:textId="77777777" w:rsidR="00615E2D" w:rsidRDefault="00615E2D">
      <w:pPr>
        <w:pBdr>
          <w:top w:val="nil"/>
          <w:left w:val="nil"/>
          <w:bottom w:val="nil"/>
          <w:right w:val="nil"/>
          <w:between w:val="nil"/>
        </w:pBdr>
        <w:spacing w:line="240" w:lineRule="auto"/>
        <w:rPr>
          <w:rFonts w:ascii="Calibri" w:hAnsi="Calibri"/>
          <w:noProof/>
          <w:color w:val="000000"/>
          <w:sz w:val="22"/>
        </w:rPr>
        <w:sectPr w:rsidR="00615E2D" w:rsidSect="00507AA7">
          <w:headerReference w:type="even" r:id="rId132"/>
          <w:headerReference w:type="default" r:id="rId133"/>
          <w:footerReference w:type="even" r:id="rId134"/>
          <w:footerReference w:type="default" r:id="rId135"/>
          <w:headerReference w:type="first" r:id="rId136"/>
          <w:footerReference w:type="first" r:id="rId137"/>
          <w:pgSz w:w="16839" w:h="11907" w:orient="landscape"/>
          <w:pgMar w:top="1134" w:right="1134" w:bottom="1134" w:left="1134" w:header="567" w:footer="567" w:gutter="0"/>
          <w:cols w:space="720"/>
          <w:docGrid w:linePitch="326"/>
        </w:sectPr>
      </w:pPr>
    </w:p>
    <w:p w14:paraId="407BC5C0" w14:textId="5FEE0EE6" w:rsidR="00615E2D" w:rsidRDefault="00C83E46">
      <w:pPr>
        <w:pStyle w:val="Heading1"/>
        <w:numPr>
          <w:ilvl w:val="0"/>
          <w:numId w:val="0"/>
        </w:numPr>
        <w:ind w:left="850" w:hanging="850"/>
        <w:rPr>
          <w:noProof/>
        </w:rPr>
      </w:pPr>
      <w:r>
        <w:rPr>
          <w:noProof/>
        </w:rPr>
        <w:t>G. SASTAVNI DIO 1.7.: Digitalna transformacija javne uprave</w:t>
      </w:r>
    </w:p>
    <w:p w14:paraId="699E8762" w14:textId="301BD30A" w:rsidR="00615E2D" w:rsidRDefault="00C83E46">
      <w:pPr>
        <w:spacing w:line="240" w:lineRule="auto"/>
        <w:jc w:val="both"/>
        <w:rPr>
          <w:noProof/>
        </w:rPr>
      </w:pPr>
      <w:r>
        <w:rPr>
          <w:noProof/>
        </w:rPr>
        <w:t xml:space="preserve">Ta komponenta </w:t>
      </w:r>
      <w:r>
        <w:rPr>
          <w:rFonts w:eastAsia="Times New Roman"/>
          <w:noProof/>
        </w:rPr>
        <w:t xml:space="preserve">češkog plana za oporavak i otpornost </w:t>
      </w:r>
      <w:r>
        <w:rPr>
          <w:noProof/>
        </w:rPr>
        <w:t>bavi se izazovima digitalizacije sustava javne uprave. Cilj mu je povećati broj i razinu automatizacije digitalnih usluga, povećati kompetencije i koordinaciju među ministarstvima, kao i suradnju u pripremi i stvaranju novih javnih sustava i usluga. Naposljetku, cilj mu je povećati povjerenje građana i njihovo korištenje javnim uslugama putem internetskih aplikacija. Komponenta ima koristi od sinergija sa sastavnicama 1.1. i 1.2. koje se bave i pitanjem poboljšane digitalizacije javne sfere.</w:t>
      </w:r>
    </w:p>
    <w:p w14:paraId="7E1232DF" w14:textId="13554BF4" w:rsidR="00615E2D" w:rsidRDefault="00C83E46">
      <w:pPr>
        <w:spacing w:line="240" w:lineRule="auto"/>
        <w:jc w:val="both"/>
        <w:rPr>
          <w:noProof/>
        </w:rPr>
      </w:pPr>
      <w:r>
        <w:rPr>
          <w:rFonts w:eastAsia="Times New Roman"/>
          <w:noProof/>
          <w:color w:val="000000" w:themeColor="text1"/>
        </w:rPr>
        <w:t xml:space="preserve">Komponentom se </w:t>
      </w:r>
      <w:r>
        <w:rPr>
          <w:rFonts w:eastAsia="Times New Roman"/>
          <w:noProof/>
        </w:rPr>
        <w:t xml:space="preserve">podupire odgovor na </w:t>
      </w:r>
      <w:r>
        <w:rPr>
          <w:noProof/>
        </w:rPr>
        <w:t>preporuku za pojedinu zemlju br. 1</w:t>
      </w:r>
      <w:r>
        <w:rPr>
          <w:rFonts w:eastAsia="Times New Roman"/>
          <w:noProof/>
        </w:rPr>
        <w:t>2023., u skladu s kojom će Češka povećati</w:t>
      </w:r>
      <w:r>
        <w:rPr>
          <w:noProof/>
        </w:rPr>
        <w:t xml:space="preserve"> javna ulaganja u digitalnu tranziciju.</w:t>
      </w:r>
    </w:p>
    <w:p w14:paraId="15EAEA49" w14:textId="5909FFAA" w:rsidR="00615E2D" w:rsidRDefault="00C83E46">
      <w:pPr>
        <w:spacing w:line="276" w:lineRule="auto"/>
        <w:jc w:val="both"/>
        <w:rPr>
          <w:noProof/>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6FA20A86" w14:textId="77777777" w:rsidR="00615E2D" w:rsidRDefault="00615E2D">
      <w:pPr>
        <w:spacing w:line="276" w:lineRule="auto"/>
        <w:jc w:val="both"/>
        <w:rPr>
          <w:noProof/>
          <w:sz w:val="22"/>
        </w:rPr>
      </w:pPr>
    </w:p>
    <w:p w14:paraId="14B4FA62" w14:textId="7539DB7F" w:rsidR="00615E2D" w:rsidRDefault="00C83E46">
      <w:pPr>
        <w:pStyle w:val="P68B1DB1-Normal5"/>
        <w:spacing w:line="240" w:lineRule="auto"/>
        <w:jc w:val="both"/>
        <w:rPr>
          <w:noProof/>
        </w:rPr>
      </w:pPr>
      <w:r>
        <w:rPr>
          <w:noProof/>
        </w:rPr>
        <w:t>G.1. Opis reformi i ulaganja za programe bespovratne financijske potpore</w:t>
      </w:r>
    </w:p>
    <w:p w14:paraId="7F37D287" w14:textId="1E8BF384" w:rsidR="00615E2D" w:rsidRDefault="00C83E46">
      <w:pPr>
        <w:pStyle w:val="P68B1DB1-Normal7"/>
        <w:spacing w:line="240" w:lineRule="auto"/>
        <w:jc w:val="both"/>
        <w:rPr>
          <w:noProof/>
        </w:rPr>
      </w:pPr>
      <w:r>
        <w:rPr>
          <w:noProof/>
        </w:rPr>
        <w:t>Ulaganje 1: Ujednačavanje domena i stvaranje platforme za učenje</w:t>
      </w:r>
    </w:p>
    <w:p w14:paraId="19A2349D" w14:textId="3A9205EB" w:rsidR="00615E2D" w:rsidRDefault="00C83E46">
      <w:pPr>
        <w:pStyle w:val="P68B1DB1-Normal4"/>
        <w:spacing w:line="240" w:lineRule="auto"/>
        <w:jc w:val="both"/>
        <w:rPr>
          <w:noProof/>
          <w:color w:val="000000" w:themeColor="text1"/>
        </w:rPr>
      </w:pPr>
      <w:r>
        <w:rPr>
          <w:noProof/>
        </w:rPr>
        <w:t>Cilj je ulaganja poboljšati komunikaciju s vladom i smanjiti kibersigurnosne rizike objedinjavanjem državnih domena i e-poruka te stvaranjem platforme za učenje o uslugama e-uprave.</w:t>
      </w:r>
    </w:p>
    <w:p w14:paraId="18C1D142" w14:textId="27904A43" w:rsidR="00615E2D" w:rsidRDefault="00C83E46">
      <w:pPr>
        <w:pStyle w:val="P68B1DB1-Normal4"/>
        <w:jc w:val="both"/>
        <w:rPr>
          <w:noProof/>
        </w:rPr>
      </w:pPr>
      <w:r>
        <w:rPr>
          <w:noProof/>
        </w:rPr>
        <w:t>Ulaganje se provodi do 30. lipnja 2026.</w:t>
      </w:r>
    </w:p>
    <w:p w14:paraId="3612F204" w14:textId="4307B174" w:rsidR="00615E2D" w:rsidRDefault="00C83E46">
      <w:pPr>
        <w:pStyle w:val="P68B1DB1-Normal7"/>
        <w:spacing w:line="240" w:lineRule="auto"/>
        <w:rPr>
          <w:rFonts w:eastAsia="Times New Roman"/>
          <w:noProof/>
        </w:rPr>
      </w:pPr>
      <w:r>
        <w:rPr>
          <w:noProof/>
        </w:rPr>
        <w:t>Ulaganje 2:</w:t>
      </w:r>
      <w:r>
        <w:rPr>
          <w:rFonts w:eastAsia="Times New Roman"/>
          <w:noProof/>
          <w:color w:val="006100"/>
          <w:sz w:val="18"/>
        </w:rPr>
        <w:t xml:space="preserve"> </w:t>
      </w:r>
      <w:r>
        <w:rPr>
          <w:rFonts w:eastAsia="Times New Roman"/>
          <w:noProof/>
        </w:rPr>
        <w:t>Poboljšanje sustava upravljanja digitaliziranim uslugama</w:t>
      </w:r>
    </w:p>
    <w:p w14:paraId="05F42B2C" w14:textId="4E5A33B8" w:rsidR="00615E2D" w:rsidRDefault="00C83E46">
      <w:pPr>
        <w:pStyle w:val="P68B1DB1-Normal3"/>
        <w:spacing w:line="240" w:lineRule="auto"/>
        <w:jc w:val="both"/>
        <w:rPr>
          <w:noProof/>
        </w:rPr>
      </w:pPr>
      <w:r>
        <w:rPr>
          <w:noProof/>
        </w:rPr>
        <w:t>Cilj je ulaganja optimizirati, reformirati i bolje upravljati pružanjem digitaliziranih usluga, uključujući planiranje njihovih kapaciteta i priopćavanje informacija klijentima javne uprave. Cilj je ulaganja poboljšati upravljanje digitaliziranim uslugama javne uprave i provodi se:</w:t>
      </w:r>
    </w:p>
    <w:p w14:paraId="758CFEDF" w14:textId="1034F337" w:rsidR="00615E2D" w:rsidRDefault="00C83E46">
      <w:pPr>
        <w:pStyle w:val="P68B1DB1-ListParagraph29"/>
        <w:numPr>
          <w:ilvl w:val="0"/>
          <w:numId w:val="348"/>
        </w:numPr>
        <w:spacing w:line="240" w:lineRule="auto"/>
        <w:jc w:val="both"/>
        <w:rPr>
          <w:noProof/>
        </w:rPr>
      </w:pPr>
      <w:r>
        <w:rPr>
          <w:noProof/>
        </w:rPr>
        <w:t>Osnivanje dviju radnih skupina koje nadziru projekte računalstva u oblaku i postupke javne nabave za digitalizaciju u javnoj upravi</w:t>
      </w:r>
    </w:p>
    <w:p w14:paraId="5AB17A7A" w14:textId="57F613FA" w:rsidR="00615E2D" w:rsidRDefault="00C83E46">
      <w:pPr>
        <w:pStyle w:val="P68B1DB1-ListParagraph29"/>
        <w:numPr>
          <w:ilvl w:val="0"/>
          <w:numId w:val="348"/>
        </w:numPr>
        <w:spacing w:line="240" w:lineRule="auto"/>
        <w:jc w:val="both"/>
        <w:rPr>
          <w:noProof/>
        </w:rPr>
      </w:pPr>
      <w:r>
        <w:rPr>
          <w:noProof/>
        </w:rPr>
        <w:t>Stvaranje dvaju informacijskih sustava za (1) koordinaciju i komunikaciju o digitalizaciji usluga javne uprave i za (2) dugoročni sustav upravljanja projektima IKT-a</w:t>
      </w:r>
    </w:p>
    <w:p w14:paraId="5D248497" w14:textId="29FB2001" w:rsidR="00615E2D" w:rsidRDefault="00C83E46">
      <w:pPr>
        <w:pStyle w:val="P68B1DB1-ListParagraph29"/>
        <w:numPr>
          <w:ilvl w:val="0"/>
          <w:numId w:val="348"/>
        </w:numPr>
        <w:spacing w:line="240" w:lineRule="auto"/>
        <w:jc w:val="both"/>
        <w:rPr>
          <w:noProof/>
        </w:rPr>
      </w:pPr>
      <w:r>
        <w:rPr>
          <w:noProof/>
        </w:rPr>
        <w:t>Projekt optimizacije kojim se utvrđuju najbolje prakse, točke za poboljšanje i daljnje mjere koje treba poduzeti na temelju analitičkog rada i savjetovanja s dionicima.</w:t>
      </w:r>
    </w:p>
    <w:p w14:paraId="15ABA9D4" w14:textId="23ECE7B7" w:rsidR="00615E2D" w:rsidRDefault="00C83E46">
      <w:pPr>
        <w:pStyle w:val="P68B1DB1-Normal3"/>
        <w:spacing w:line="240" w:lineRule="auto"/>
        <w:jc w:val="both"/>
        <w:rPr>
          <w:noProof/>
        </w:rPr>
      </w:pPr>
      <w:r>
        <w:rPr>
          <w:noProof/>
        </w:rPr>
        <w:t>Cilj je tih aktivnosti poboljšati sustav upravljanja digitaliziranim uslugama utvrđivanjem nedostataka postojećih praksi, uvođenjem novih rješenja, prikupljanjem više podataka i osiguravanjem boljeg pregleda informacija i bolje koordinacije.</w:t>
      </w:r>
    </w:p>
    <w:p w14:paraId="18244040" w14:textId="5BC33FBB" w:rsidR="00615E2D" w:rsidRDefault="00C83E46">
      <w:pPr>
        <w:pStyle w:val="P68B1DB1-Normal4"/>
        <w:jc w:val="both"/>
        <w:rPr>
          <w:noProof/>
          <w:color w:val="000000" w:themeColor="text1"/>
        </w:rPr>
      </w:pPr>
      <w:r>
        <w:rPr>
          <w:noProof/>
        </w:rPr>
        <w:t>Ulaganje se provodi do 30. lipnja 2026.</w:t>
      </w:r>
    </w:p>
    <w:p w14:paraId="767C2FE8" w14:textId="67CF5F31" w:rsidR="00615E2D" w:rsidRDefault="00C83E46">
      <w:pPr>
        <w:pStyle w:val="P68B1DB1-Normal7"/>
        <w:spacing w:line="240" w:lineRule="auto"/>
        <w:jc w:val="both"/>
        <w:rPr>
          <w:noProof/>
        </w:rPr>
      </w:pPr>
      <w:r>
        <w:rPr>
          <w:noProof/>
        </w:rPr>
        <w:t>Ulaganje 3: Uspostava kontaktnog centra javne uprave</w:t>
      </w:r>
    </w:p>
    <w:p w14:paraId="668F3A6D" w14:textId="0B9053BA" w:rsidR="00615E2D" w:rsidRDefault="00C83E46">
      <w:pPr>
        <w:spacing w:line="240" w:lineRule="auto"/>
        <w:jc w:val="both"/>
        <w:rPr>
          <w:noProof/>
        </w:rPr>
      </w:pPr>
      <w:r>
        <w:rPr>
          <w:noProof/>
        </w:rPr>
        <w:t xml:space="preserve">Cilj je ulaganja uspostaviti i opremiti kontaktni centar </w:t>
      </w:r>
      <w:r>
        <w:rPr>
          <w:rFonts w:eastAsia="Times New Roman"/>
          <w:noProof/>
        </w:rPr>
        <w:t>za pružanje usluga javne uprave klijentima, uključujući građane i poduzeća. Kontaktni centar pruža informacije, savjete i potporu pri elektroničkom podnošenju dokumenata za odabrane državne službe („</w:t>
      </w:r>
      <w:r>
        <w:rPr>
          <w:rFonts w:eastAsia="Times New Roman"/>
          <w:i/>
          <w:noProof/>
        </w:rPr>
        <w:t>Agendy</w:t>
      </w:r>
      <w:r>
        <w:rPr>
          <w:rFonts w:eastAsia="Times New Roman"/>
          <w:noProof/>
        </w:rPr>
        <w:t>”).</w:t>
      </w:r>
    </w:p>
    <w:p w14:paraId="5FE60F04" w14:textId="40707374" w:rsidR="00615E2D" w:rsidRDefault="00C83E46">
      <w:pPr>
        <w:spacing w:line="240" w:lineRule="auto"/>
        <w:jc w:val="both"/>
        <w:rPr>
          <w:noProof/>
        </w:rPr>
      </w:pPr>
      <w:r>
        <w:rPr>
          <w:noProof/>
        </w:rPr>
        <w:t>Ulaganje se provodi do 30. lipnja 2026.</w:t>
      </w:r>
    </w:p>
    <w:p w14:paraId="4110BBFD" w14:textId="648DCF1B" w:rsidR="00615E2D" w:rsidRDefault="00C83E46">
      <w:pPr>
        <w:pStyle w:val="P68B1DB1-Normal7"/>
        <w:spacing w:line="240" w:lineRule="auto"/>
        <w:jc w:val="both"/>
        <w:rPr>
          <w:noProof/>
        </w:rPr>
      </w:pPr>
      <w:r>
        <w:rPr>
          <w:noProof/>
        </w:rPr>
        <w:t>Ulaganje 4: Stvaranje središnje podatkovne infrastrukture</w:t>
      </w:r>
    </w:p>
    <w:p w14:paraId="3C173F2B" w14:textId="0A42FBDE" w:rsidR="00615E2D" w:rsidRDefault="00C83E46">
      <w:pPr>
        <w:spacing w:line="240" w:lineRule="auto"/>
        <w:jc w:val="both"/>
        <w:rPr>
          <w:noProof/>
        </w:rPr>
      </w:pPr>
      <w:r>
        <w:rPr>
          <w:noProof/>
        </w:rPr>
        <w:t>Cilj je ulaganja poduprijeti učinkovitu upotrebu informacijskih sustava javne uprave i napore za modernizaciju i digitalizaciju usluga javne uprave. Ulaganjem se stvara središnje skladište podataka s odabranim informacijama o odabranim drugim državnim sustavima i uslugama kako bi se omogućilo upravljanje njima i njihova optimizacija.</w:t>
      </w:r>
    </w:p>
    <w:p w14:paraId="5A535F92" w14:textId="40707374" w:rsidR="00615E2D" w:rsidRDefault="00C83E46">
      <w:pPr>
        <w:spacing w:line="240" w:lineRule="auto"/>
        <w:jc w:val="both"/>
        <w:rPr>
          <w:noProof/>
        </w:rPr>
      </w:pPr>
      <w:r>
        <w:rPr>
          <w:noProof/>
        </w:rPr>
        <w:t>Ulaganje se provodi do 30. lipnja 2026.</w:t>
      </w:r>
    </w:p>
    <w:p w14:paraId="481D9E6B" w14:textId="4B55FE25" w:rsidR="00615E2D" w:rsidRDefault="00615E2D">
      <w:pPr>
        <w:spacing w:line="240" w:lineRule="auto"/>
        <w:jc w:val="both"/>
        <w:rPr>
          <w:noProof/>
        </w:rPr>
        <w:sectPr w:rsidR="00615E2D" w:rsidSect="00507AA7">
          <w:headerReference w:type="even" r:id="rId138"/>
          <w:headerReference w:type="default" r:id="rId139"/>
          <w:footerReference w:type="even" r:id="rId140"/>
          <w:footerReference w:type="default" r:id="rId141"/>
          <w:headerReference w:type="first" r:id="rId142"/>
          <w:footerReference w:type="first" r:id="rId143"/>
          <w:pgSz w:w="11907" w:h="16839"/>
          <w:pgMar w:top="1134" w:right="1134" w:bottom="1134" w:left="1134" w:header="567" w:footer="567" w:gutter="0"/>
          <w:cols w:space="720"/>
          <w:docGrid w:linePitch="326"/>
        </w:sectPr>
      </w:pPr>
    </w:p>
    <w:p w14:paraId="69034331" w14:textId="3D533F6F" w:rsidR="00615E2D" w:rsidRDefault="00C83E46">
      <w:pPr>
        <w:pStyle w:val="P68B1DB1-Normal8"/>
        <w:keepNext/>
        <w:spacing w:before="360" w:line="240" w:lineRule="auto"/>
        <w:jc w:val="both"/>
        <w:rPr>
          <w:noProof/>
        </w:rPr>
      </w:pPr>
      <w:r>
        <w:rPr>
          <w:noProof/>
        </w:rPr>
        <w:t>G.2. Ključne etape, ciljne vrijednosti i vremenski raspored za praćenje i provedbu programa bespovratne financijske potpore</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0"/>
        <w:gridCol w:w="1350"/>
        <w:gridCol w:w="1110"/>
        <w:gridCol w:w="1183"/>
        <w:gridCol w:w="1467"/>
        <w:gridCol w:w="857"/>
        <w:gridCol w:w="990"/>
        <w:gridCol w:w="889"/>
        <w:gridCol w:w="1421"/>
        <w:gridCol w:w="781"/>
        <w:gridCol w:w="3667"/>
      </w:tblGrid>
      <w:tr w:rsidR="00615E2D" w14:paraId="276DE192" w14:textId="77777777">
        <w:trPr>
          <w:trHeight w:val="105"/>
          <w:tblHeader/>
        </w:trPr>
        <w:tc>
          <w:tcPr>
            <w:tcW w:w="653" w:type="dxa"/>
            <w:vMerge w:val="restart"/>
            <w:tcBorders>
              <w:top w:val="single" w:sz="6" w:space="0" w:color="auto"/>
              <w:left w:val="single" w:sz="6" w:space="0" w:color="auto"/>
              <w:bottom w:val="single" w:sz="6" w:space="0" w:color="auto"/>
              <w:right w:val="single" w:sz="4" w:space="0" w:color="auto"/>
            </w:tcBorders>
            <w:shd w:val="clear" w:color="auto" w:fill="BDD7EE"/>
            <w:tcMar>
              <w:left w:w="105" w:type="dxa"/>
              <w:right w:w="105" w:type="dxa"/>
            </w:tcMar>
            <w:vAlign w:val="center"/>
          </w:tcPr>
          <w:p w14:paraId="5C8E2677" w14:textId="77777777" w:rsidR="00615E2D" w:rsidRDefault="00C83E46">
            <w:pPr>
              <w:pStyle w:val="P68B1DB1-Normal30"/>
              <w:spacing w:line="240" w:lineRule="auto"/>
              <w:jc w:val="center"/>
              <w:rPr>
                <w:noProof/>
              </w:rPr>
            </w:pPr>
            <w:r>
              <w:rPr>
                <w:noProof/>
              </w:rPr>
              <w:t>Sljedeće NUM.</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BDD7EE"/>
            <w:tcMar>
              <w:left w:w="105" w:type="dxa"/>
              <w:right w:w="105" w:type="dxa"/>
            </w:tcMar>
            <w:vAlign w:val="center"/>
          </w:tcPr>
          <w:p w14:paraId="54669425" w14:textId="77777777" w:rsidR="00615E2D" w:rsidRDefault="00C83E46">
            <w:pPr>
              <w:pStyle w:val="P68B1DB1-Normal30"/>
              <w:spacing w:line="240" w:lineRule="auto"/>
              <w:jc w:val="center"/>
              <w:rPr>
                <w:noProof/>
              </w:rPr>
            </w:pPr>
            <w:r>
              <w:rPr>
                <w:noProof/>
              </w:rPr>
              <w:t>Povezana mjera (reforma ili ulaganje)</w:t>
            </w:r>
          </w:p>
        </w:tc>
        <w:tc>
          <w:tcPr>
            <w:tcW w:w="1077" w:type="dxa"/>
            <w:vMerge w:val="restart"/>
            <w:tcBorders>
              <w:top w:val="single" w:sz="6" w:space="0" w:color="auto"/>
              <w:left w:val="single" w:sz="4" w:space="0" w:color="auto"/>
              <w:bottom w:val="single" w:sz="6" w:space="0" w:color="auto"/>
              <w:right w:val="single" w:sz="4" w:space="0" w:color="auto"/>
            </w:tcBorders>
            <w:shd w:val="clear" w:color="auto" w:fill="BDD7EE"/>
            <w:tcMar>
              <w:left w:w="105" w:type="dxa"/>
              <w:right w:w="105" w:type="dxa"/>
            </w:tcMar>
            <w:vAlign w:val="center"/>
          </w:tcPr>
          <w:p w14:paraId="7E4E4560" w14:textId="77777777" w:rsidR="00615E2D" w:rsidRDefault="00C83E46">
            <w:pPr>
              <w:pStyle w:val="P68B1DB1-Normal30"/>
              <w:spacing w:line="240" w:lineRule="auto"/>
              <w:jc w:val="center"/>
              <w:rPr>
                <w:noProof/>
              </w:rPr>
            </w:pPr>
            <w:r>
              <w:rPr>
                <w:noProof/>
              </w:rPr>
              <w:t>Ključna etapa/ciljna vrijednost</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BDD7EE"/>
            <w:tcMar>
              <w:left w:w="105" w:type="dxa"/>
              <w:right w:w="105" w:type="dxa"/>
            </w:tcMar>
            <w:vAlign w:val="center"/>
          </w:tcPr>
          <w:p w14:paraId="1BC87055" w14:textId="77777777" w:rsidR="00615E2D" w:rsidRDefault="00C83E46">
            <w:pPr>
              <w:pStyle w:val="P68B1DB1-Normal30"/>
              <w:spacing w:line="240" w:lineRule="auto"/>
              <w:jc w:val="center"/>
              <w:rPr>
                <w:noProof/>
              </w:rPr>
            </w:pPr>
            <w:r>
              <w:rPr>
                <w:noProof/>
              </w:rPr>
              <w:t>Ime</w:t>
            </w:r>
          </w:p>
        </w:tc>
        <w:tc>
          <w:tcPr>
            <w:tcW w:w="1679" w:type="dxa"/>
            <w:vMerge w:val="restart"/>
            <w:tcBorders>
              <w:top w:val="single" w:sz="6" w:space="0" w:color="auto"/>
              <w:left w:val="single" w:sz="4" w:space="0" w:color="auto"/>
              <w:right w:val="single" w:sz="6" w:space="0" w:color="auto"/>
            </w:tcBorders>
            <w:shd w:val="clear" w:color="auto" w:fill="BDD7EE"/>
            <w:tcMar>
              <w:left w:w="105" w:type="dxa"/>
              <w:right w:w="105" w:type="dxa"/>
            </w:tcMar>
            <w:vAlign w:val="center"/>
          </w:tcPr>
          <w:p w14:paraId="738A3B7A" w14:textId="77777777" w:rsidR="00615E2D" w:rsidRDefault="00C83E46">
            <w:pPr>
              <w:spacing w:line="240" w:lineRule="auto"/>
              <w:jc w:val="center"/>
              <w:rPr>
                <w:rFonts w:eastAsia="Times New Roman"/>
                <w:noProof/>
                <w:color w:val="000000" w:themeColor="text1"/>
                <w:sz w:val="18"/>
              </w:rPr>
            </w:pPr>
            <w:r>
              <w:rPr>
                <w:rFonts w:eastAsia="Times New Roman"/>
                <w:b/>
                <w:noProof/>
                <w:color w:val="000000" w:themeColor="text1"/>
                <w:sz w:val="18"/>
              </w:rPr>
              <w:t>Kvalitativni pokazatelji</w:t>
            </w:r>
            <w:r>
              <w:rPr>
                <w:noProof/>
              </w:rPr>
              <w:br/>
            </w:r>
            <w:r>
              <w:rPr>
                <w:rFonts w:eastAsia="Times New Roman"/>
                <w:b/>
                <w:noProof/>
                <w:color w:val="000000" w:themeColor="text1"/>
                <w:sz w:val="18"/>
              </w:rPr>
              <w:t xml:space="preserve"> (za ključne etape)</w:t>
            </w:r>
          </w:p>
        </w:tc>
        <w:tc>
          <w:tcPr>
            <w:tcW w:w="2292" w:type="dxa"/>
            <w:gridSpan w:val="3"/>
            <w:tcBorders>
              <w:top w:val="single" w:sz="6" w:space="0" w:color="auto"/>
              <w:left w:val="single" w:sz="6" w:space="0" w:color="auto"/>
              <w:bottom w:val="single" w:sz="6" w:space="0" w:color="auto"/>
              <w:right w:val="single" w:sz="6" w:space="0" w:color="000000" w:themeColor="text1"/>
            </w:tcBorders>
            <w:shd w:val="clear" w:color="auto" w:fill="BDD7EE"/>
            <w:tcMar>
              <w:left w:w="105" w:type="dxa"/>
              <w:right w:w="105" w:type="dxa"/>
            </w:tcMar>
            <w:vAlign w:val="center"/>
          </w:tcPr>
          <w:p w14:paraId="1918A5EB" w14:textId="77777777" w:rsidR="00615E2D" w:rsidRDefault="00C83E46">
            <w:pPr>
              <w:spacing w:line="240" w:lineRule="auto"/>
              <w:jc w:val="center"/>
              <w:rPr>
                <w:rFonts w:eastAsia="Times New Roman"/>
                <w:noProof/>
                <w:color w:val="000000" w:themeColor="text1"/>
                <w:sz w:val="18"/>
              </w:rPr>
            </w:pPr>
            <w:r>
              <w:rPr>
                <w:rFonts w:eastAsia="Times New Roman"/>
                <w:b/>
                <w:noProof/>
                <w:color w:val="000000" w:themeColor="text1"/>
                <w:sz w:val="18"/>
              </w:rPr>
              <w:t>Kvantitativni pokazatelji</w:t>
            </w:r>
            <w:r>
              <w:rPr>
                <w:noProof/>
              </w:rPr>
              <w:br/>
            </w:r>
            <w:r>
              <w:rPr>
                <w:rFonts w:eastAsia="Times New Roman"/>
                <w:b/>
                <w:noProof/>
                <w:color w:val="000000" w:themeColor="text1"/>
                <w:sz w:val="18"/>
              </w:rPr>
              <w:t xml:space="preserve"> (za ciljeve)</w:t>
            </w:r>
          </w:p>
        </w:tc>
        <w:tc>
          <w:tcPr>
            <w:tcW w:w="1544" w:type="dxa"/>
            <w:gridSpan w:val="2"/>
            <w:tcBorders>
              <w:top w:val="single" w:sz="6" w:space="0" w:color="auto"/>
              <w:left w:val="nil"/>
              <w:bottom w:val="single" w:sz="6" w:space="0" w:color="auto"/>
              <w:right w:val="single" w:sz="6" w:space="0" w:color="auto"/>
            </w:tcBorders>
            <w:shd w:val="clear" w:color="auto" w:fill="BDD7EE"/>
            <w:tcMar>
              <w:left w:w="105" w:type="dxa"/>
              <w:right w:w="105" w:type="dxa"/>
            </w:tcMar>
            <w:vAlign w:val="center"/>
          </w:tcPr>
          <w:p w14:paraId="61A1DFBE" w14:textId="77777777" w:rsidR="00615E2D" w:rsidRDefault="00C83E46">
            <w:pPr>
              <w:pStyle w:val="P68B1DB1-Normal30"/>
              <w:spacing w:line="240" w:lineRule="auto"/>
              <w:jc w:val="center"/>
              <w:rPr>
                <w:noProof/>
              </w:rPr>
            </w:pPr>
            <w:r>
              <w:rPr>
                <w:noProof/>
              </w:rPr>
              <w:t>Okvirni vremenski okvir za dovršetak</w:t>
            </w:r>
          </w:p>
        </w:tc>
        <w:tc>
          <w:tcPr>
            <w:tcW w:w="4738" w:type="dxa"/>
            <w:vMerge w:val="restart"/>
            <w:tcBorders>
              <w:top w:val="single" w:sz="6" w:space="0" w:color="auto"/>
              <w:left w:val="single" w:sz="6" w:space="0" w:color="auto"/>
              <w:bottom w:val="single" w:sz="6" w:space="0" w:color="auto"/>
              <w:right w:val="single" w:sz="6" w:space="0" w:color="auto"/>
            </w:tcBorders>
            <w:shd w:val="clear" w:color="auto" w:fill="BDD7EE"/>
            <w:tcMar>
              <w:left w:w="105" w:type="dxa"/>
              <w:right w:w="105" w:type="dxa"/>
            </w:tcMar>
            <w:vAlign w:val="center"/>
          </w:tcPr>
          <w:p w14:paraId="1A115EC8" w14:textId="77777777" w:rsidR="00615E2D" w:rsidRDefault="00C83E46">
            <w:pPr>
              <w:pStyle w:val="P68B1DB1-Normal30"/>
              <w:spacing w:line="240" w:lineRule="auto"/>
              <w:jc w:val="center"/>
              <w:rPr>
                <w:noProof/>
              </w:rPr>
            </w:pPr>
            <w:r>
              <w:rPr>
                <w:noProof/>
              </w:rPr>
              <w:t>Opis i jasna definicija svake ključne etape i ciljne vrijednosti</w:t>
            </w:r>
          </w:p>
        </w:tc>
      </w:tr>
      <w:tr w:rsidR="00615E2D" w14:paraId="17C2C1BF" w14:textId="77777777">
        <w:trPr>
          <w:trHeight w:val="165"/>
          <w:tblHeader/>
        </w:trPr>
        <w:tc>
          <w:tcPr>
            <w:tcW w:w="653" w:type="dxa"/>
            <w:vMerge/>
            <w:tcBorders>
              <w:top w:val="single" w:sz="6" w:space="0" w:color="auto"/>
              <w:bottom w:val="single" w:sz="6" w:space="0" w:color="auto"/>
              <w:right w:val="single" w:sz="4" w:space="0" w:color="auto"/>
            </w:tcBorders>
            <w:vAlign w:val="center"/>
          </w:tcPr>
          <w:p w14:paraId="3D735962" w14:textId="77777777" w:rsidR="00615E2D" w:rsidRDefault="00615E2D">
            <w:pPr>
              <w:rPr>
                <w:noProof/>
              </w:rPr>
            </w:pPr>
          </w:p>
        </w:tc>
        <w:tc>
          <w:tcPr>
            <w:tcW w:w="1394" w:type="dxa"/>
            <w:vMerge/>
            <w:tcBorders>
              <w:top w:val="single" w:sz="4" w:space="0" w:color="auto"/>
              <w:left w:val="single" w:sz="4" w:space="0" w:color="auto"/>
              <w:bottom w:val="single" w:sz="4" w:space="0" w:color="auto"/>
              <w:right w:val="single" w:sz="4" w:space="0" w:color="auto"/>
            </w:tcBorders>
            <w:vAlign w:val="center"/>
          </w:tcPr>
          <w:p w14:paraId="0D38D90D" w14:textId="77777777" w:rsidR="00615E2D" w:rsidRDefault="00615E2D">
            <w:pPr>
              <w:rPr>
                <w:noProof/>
              </w:rPr>
            </w:pPr>
          </w:p>
        </w:tc>
        <w:tc>
          <w:tcPr>
            <w:tcW w:w="1077" w:type="dxa"/>
            <w:vMerge/>
            <w:tcBorders>
              <w:top w:val="single" w:sz="6" w:space="0" w:color="auto"/>
              <w:left w:val="single" w:sz="4" w:space="0" w:color="auto"/>
              <w:bottom w:val="single" w:sz="6" w:space="0" w:color="auto"/>
              <w:right w:val="single" w:sz="4" w:space="0" w:color="auto"/>
            </w:tcBorders>
            <w:vAlign w:val="center"/>
          </w:tcPr>
          <w:p w14:paraId="58EB7008" w14:textId="77777777" w:rsidR="00615E2D" w:rsidRDefault="00615E2D">
            <w:pPr>
              <w:rPr>
                <w:noProof/>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5B35D878" w14:textId="77777777" w:rsidR="00615E2D" w:rsidRDefault="00615E2D">
            <w:pPr>
              <w:rPr>
                <w:noProof/>
              </w:rPr>
            </w:pPr>
          </w:p>
        </w:tc>
        <w:tc>
          <w:tcPr>
            <w:tcW w:w="1679" w:type="dxa"/>
            <w:vMerge/>
            <w:tcBorders>
              <w:left w:val="single" w:sz="4" w:space="0" w:color="auto"/>
            </w:tcBorders>
            <w:vAlign w:val="center"/>
          </w:tcPr>
          <w:p w14:paraId="3BBE4D35" w14:textId="77777777" w:rsidR="00615E2D" w:rsidRDefault="00615E2D">
            <w:pPr>
              <w:rPr>
                <w:noProof/>
              </w:rPr>
            </w:pPr>
          </w:p>
        </w:tc>
        <w:tc>
          <w:tcPr>
            <w:tcW w:w="860" w:type="dxa"/>
            <w:tcBorders>
              <w:top w:val="single" w:sz="6" w:space="0" w:color="auto"/>
              <w:left w:val="single" w:sz="6" w:space="0" w:color="auto"/>
              <w:bottom w:val="single" w:sz="6" w:space="0" w:color="auto"/>
              <w:right w:val="single" w:sz="6" w:space="0" w:color="000000" w:themeColor="text1"/>
            </w:tcBorders>
            <w:shd w:val="clear" w:color="auto" w:fill="BDD7EE"/>
            <w:tcMar>
              <w:left w:w="105" w:type="dxa"/>
              <w:right w:w="105" w:type="dxa"/>
            </w:tcMar>
            <w:vAlign w:val="center"/>
          </w:tcPr>
          <w:p w14:paraId="0EA4CD63" w14:textId="77777777" w:rsidR="00615E2D" w:rsidRDefault="00C83E46">
            <w:pPr>
              <w:pStyle w:val="P68B1DB1-Normal30"/>
              <w:spacing w:line="240" w:lineRule="auto"/>
              <w:jc w:val="center"/>
              <w:rPr>
                <w:noProof/>
              </w:rPr>
            </w:pPr>
            <w:r>
              <w:rPr>
                <w:noProof/>
              </w:rPr>
              <w:t>Jedinica mjere</w:t>
            </w:r>
          </w:p>
        </w:tc>
        <w:tc>
          <w:tcPr>
            <w:tcW w:w="851" w:type="dxa"/>
            <w:tcBorders>
              <w:top w:val="nil"/>
              <w:left w:val="single" w:sz="6" w:space="0" w:color="auto"/>
              <w:bottom w:val="single" w:sz="6" w:space="0" w:color="auto"/>
              <w:right w:val="single" w:sz="6" w:space="0" w:color="auto"/>
            </w:tcBorders>
            <w:shd w:val="clear" w:color="auto" w:fill="BDD7EE"/>
            <w:tcMar>
              <w:left w:w="105" w:type="dxa"/>
              <w:right w:w="105" w:type="dxa"/>
            </w:tcMar>
            <w:vAlign w:val="center"/>
          </w:tcPr>
          <w:p w14:paraId="63680E5A" w14:textId="77777777" w:rsidR="00615E2D" w:rsidRDefault="00C83E46">
            <w:pPr>
              <w:pStyle w:val="P68B1DB1-Normal30"/>
              <w:spacing w:line="240" w:lineRule="auto"/>
              <w:jc w:val="center"/>
              <w:rPr>
                <w:noProof/>
              </w:rPr>
            </w:pPr>
            <w:r>
              <w:rPr>
                <w:noProof/>
              </w:rPr>
              <w:t>Osnovna vrijednost</w:t>
            </w:r>
          </w:p>
        </w:tc>
        <w:tc>
          <w:tcPr>
            <w:tcW w:w="1134" w:type="dxa"/>
            <w:tcBorders>
              <w:top w:val="nil"/>
              <w:left w:val="single" w:sz="6" w:space="0" w:color="auto"/>
              <w:bottom w:val="single" w:sz="6" w:space="0" w:color="auto"/>
              <w:right w:val="single" w:sz="6" w:space="0" w:color="000000" w:themeColor="text1"/>
            </w:tcBorders>
            <w:shd w:val="clear" w:color="auto" w:fill="BDD7EE"/>
            <w:tcMar>
              <w:left w:w="105" w:type="dxa"/>
              <w:right w:w="105" w:type="dxa"/>
            </w:tcMar>
            <w:vAlign w:val="center"/>
          </w:tcPr>
          <w:p w14:paraId="29FB8629" w14:textId="77777777" w:rsidR="00615E2D" w:rsidRDefault="00C83E46">
            <w:pPr>
              <w:pStyle w:val="P68B1DB1-Normal30"/>
              <w:spacing w:line="240" w:lineRule="auto"/>
              <w:jc w:val="center"/>
              <w:rPr>
                <w:noProof/>
              </w:rPr>
            </w:pPr>
            <w:r>
              <w:rPr>
                <w:noProof/>
              </w:rPr>
              <w:t>Cilj</w:t>
            </w:r>
          </w:p>
        </w:tc>
        <w:tc>
          <w:tcPr>
            <w:tcW w:w="840" w:type="dxa"/>
            <w:tcBorders>
              <w:top w:val="single" w:sz="6" w:space="0" w:color="auto"/>
              <w:left w:val="single" w:sz="6" w:space="0" w:color="auto"/>
              <w:bottom w:val="single" w:sz="6" w:space="0" w:color="auto"/>
              <w:right w:val="single" w:sz="6" w:space="0" w:color="000000" w:themeColor="text1"/>
            </w:tcBorders>
            <w:shd w:val="clear" w:color="auto" w:fill="BDD7EE"/>
            <w:tcMar>
              <w:left w:w="105" w:type="dxa"/>
              <w:right w:w="105" w:type="dxa"/>
            </w:tcMar>
            <w:vAlign w:val="center"/>
          </w:tcPr>
          <w:p w14:paraId="3156A937" w14:textId="77777777" w:rsidR="00615E2D" w:rsidRDefault="00C83E46">
            <w:pPr>
              <w:pStyle w:val="P68B1DB1-Normal30"/>
              <w:spacing w:line="240" w:lineRule="auto"/>
              <w:jc w:val="center"/>
              <w:rPr>
                <w:noProof/>
              </w:rPr>
            </w:pPr>
            <w:r>
              <w:rPr>
                <w:noProof/>
              </w:rPr>
              <w:t>Tromjesečje</w:t>
            </w:r>
          </w:p>
        </w:tc>
        <w:tc>
          <w:tcPr>
            <w:tcW w:w="704" w:type="dxa"/>
            <w:tcBorders>
              <w:top w:val="nil"/>
              <w:left w:val="single" w:sz="6" w:space="0" w:color="auto"/>
              <w:bottom w:val="single" w:sz="6" w:space="0" w:color="auto"/>
              <w:right w:val="single" w:sz="6" w:space="0" w:color="auto"/>
            </w:tcBorders>
            <w:shd w:val="clear" w:color="auto" w:fill="BDD7EE"/>
            <w:tcMar>
              <w:left w:w="105" w:type="dxa"/>
              <w:right w:w="105" w:type="dxa"/>
            </w:tcMar>
            <w:vAlign w:val="center"/>
          </w:tcPr>
          <w:p w14:paraId="64A6600C" w14:textId="77777777" w:rsidR="00615E2D" w:rsidRDefault="00C83E46">
            <w:pPr>
              <w:pStyle w:val="P68B1DB1-Normal30"/>
              <w:spacing w:line="240" w:lineRule="auto"/>
              <w:jc w:val="center"/>
              <w:rPr>
                <w:noProof/>
              </w:rPr>
            </w:pPr>
            <w:r>
              <w:rPr>
                <w:noProof/>
              </w:rPr>
              <w:t>Godina</w:t>
            </w:r>
          </w:p>
        </w:tc>
        <w:tc>
          <w:tcPr>
            <w:tcW w:w="4738" w:type="dxa"/>
            <w:vMerge/>
            <w:vAlign w:val="center"/>
          </w:tcPr>
          <w:p w14:paraId="5DBF879F" w14:textId="77777777" w:rsidR="00615E2D" w:rsidRDefault="00615E2D">
            <w:pPr>
              <w:rPr>
                <w:noProof/>
              </w:rPr>
            </w:pPr>
          </w:p>
        </w:tc>
      </w:tr>
      <w:tr w:rsidR="00615E2D" w14:paraId="4E4B7229" w14:textId="77777777">
        <w:trPr>
          <w:trHeight w:val="1845"/>
        </w:trPr>
        <w:tc>
          <w:tcPr>
            <w:tcW w:w="653"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4FBCD08F" w14:textId="275DB89A" w:rsidR="00615E2D" w:rsidRDefault="00C83E46">
            <w:pPr>
              <w:pStyle w:val="P68B1DB1-Normal11"/>
              <w:spacing w:line="240" w:lineRule="auto"/>
              <w:jc w:val="center"/>
              <w:rPr>
                <w:noProof/>
              </w:rPr>
            </w:pPr>
            <w:r>
              <w:rPr>
                <w:noProof/>
              </w:rPr>
              <w:t>256</w:t>
            </w:r>
          </w:p>
        </w:tc>
        <w:tc>
          <w:tcPr>
            <w:tcW w:w="1394" w:type="dxa"/>
            <w:tcBorders>
              <w:top w:val="single" w:sz="4"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0C72BC5D" w14:textId="1451D4AA" w:rsidR="00615E2D" w:rsidRDefault="00C83E46">
            <w:pPr>
              <w:pStyle w:val="P68B1DB1-Normal11"/>
              <w:spacing w:line="240" w:lineRule="auto"/>
              <w:rPr>
                <w:noProof/>
              </w:rPr>
            </w:pPr>
            <w:r>
              <w:rPr>
                <w:noProof/>
              </w:rPr>
              <w:t>Ulaganje 2: Poboljšanje sustava upravljanja digitaliziranim uslugama</w:t>
            </w:r>
          </w:p>
        </w:tc>
        <w:tc>
          <w:tcPr>
            <w:tcW w:w="1077"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E427013" w14:textId="3D86C9F8" w:rsidR="00615E2D" w:rsidRDefault="00C83E46">
            <w:pPr>
              <w:pStyle w:val="P68B1DB1-Normal11"/>
              <w:spacing w:line="240" w:lineRule="auto"/>
              <w:jc w:val="center"/>
              <w:rPr>
                <w:noProof/>
              </w:rPr>
            </w:pPr>
            <w:r>
              <w:rPr>
                <w:noProof/>
              </w:rPr>
              <w:t>Prekretnica</w:t>
            </w:r>
          </w:p>
        </w:tc>
        <w:tc>
          <w:tcPr>
            <w:tcW w:w="1286" w:type="dxa"/>
            <w:tcBorders>
              <w:top w:val="single" w:sz="4"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B7AE16E" w14:textId="346CEE68" w:rsidR="00615E2D" w:rsidRDefault="00C83E46">
            <w:pPr>
              <w:pStyle w:val="P68B1DB1-Normal11"/>
              <w:spacing w:line="257" w:lineRule="auto"/>
              <w:rPr>
                <w:noProof/>
              </w:rPr>
            </w:pPr>
            <w:r>
              <w:rPr>
                <w:noProof/>
              </w:rPr>
              <w:t>Osnivanje radnih skupina</w:t>
            </w:r>
          </w:p>
        </w:tc>
        <w:tc>
          <w:tcPr>
            <w:tcW w:w="1679"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372DA379" w14:textId="7C310D8E" w:rsidR="00615E2D" w:rsidRDefault="00C83E46">
            <w:pPr>
              <w:pStyle w:val="P68B1DB1-Normal11"/>
              <w:spacing w:line="240" w:lineRule="auto"/>
              <w:rPr>
                <w:noProof/>
              </w:rPr>
            </w:pPr>
            <w:r>
              <w:rPr>
                <w:noProof/>
              </w:rPr>
              <w:t>Osnovane radne skupine</w:t>
            </w:r>
          </w:p>
          <w:p w14:paraId="02C6A033" w14:textId="27B71954" w:rsidR="00615E2D" w:rsidRDefault="00615E2D">
            <w:pPr>
              <w:spacing w:line="240" w:lineRule="auto"/>
              <w:rPr>
                <w:rFonts w:eastAsia="Times New Roman"/>
                <w:noProof/>
                <w:color w:val="006100"/>
                <w:sz w:val="18"/>
              </w:rPr>
            </w:pPr>
          </w:p>
        </w:tc>
        <w:tc>
          <w:tcPr>
            <w:tcW w:w="86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403E7C0A" w14:textId="0C59B736" w:rsidR="00615E2D" w:rsidRDefault="00615E2D">
            <w:pPr>
              <w:spacing w:line="240" w:lineRule="auto"/>
              <w:jc w:val="center"/>
              <w:rPr>
                <w:rFonts w:eastAsia="Times New Roman"/>
                <w:noProof/>
                <w:color w:val="006100"/>
                <w:sz w:val="18"/>
              </w:rPr>
            </w:pPr>
          </w:p>
        </w:tc>
        <w:tc>
          <w:tcPr>
            <w:tcW w:w="851"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579A83A3" w14:textId="5AD92C10" w:rsidR="00615E2D" w:rsidRDefault="00615E2D">
            <w:pPr>
              <w:spacing w:line="240" w:lineRule="auto"/>
              <w:jc w:val="center"/>
              <w:rPr>
                <w:rFonts w:eastAsia="Times New Roman"/>
                <w:noProof/>
                <w:color w:val="006100"/>
                <w:sz w:val="18"/>
              </w:rPr>
            </w:pPr>
          </w:p>
        </w:tc>
        <w:tc>
          <w:tcPr>
            <w:tcW w:w="113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143A0349" w14:textId="19CF4ECF" w:rsidR="00615E2D" w:rsidRDefault="00615E2D">
            <w:pPr>
              <w:spacing w:line="240" w:lineRule="auto"/>
              <w:jc w:val="center"/>
              <w:rPr>
                <w:rFonts w:eastAsia="Times New Roman"/>
                <w:noProof/>
                <w:color w:val="006100"/>
                <w:sz w:val="18"/>
              </w:rPr>
            </w:pPr>
          </w:p>
        </w:tc>
        <w:tc>
          <w:tcPr>
            <w:tcW w:w="84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D1303C3" w14:textId="5CA76F14" w:rsidR="00615E2D" w:rsidRDefault="00C83E46">
            <w:pPr>
              <w:pStyle w:val="P68B1DB1-Normal11"/>
              <w:spacing w:line="240" w:lineRule="auto"/>
              <w:jc w:val="center"/>
              <w:rPr>
                <w:noProof/>
              </w:rPr>
            </w:pPr>
            <w:r>
              <w:rPr>
                <w:noProof/>
              </w:rPr>
              <w:t>TROMJESEČJE</w:t>
            </w:r>
          </w:p>
        </w:tc>
        <w:tc>
          <w:tcPr>
            <w:tcW w:w="70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5EA10DDD" w14:textId="3D91650B" w:rsidR="00615E2D" w:rsidRDefault="00C83E46">
            <w:pPr>
              <w:pStyle w:val="P68B1DB1-Normal11"/>
              <w:spacing w:line="240" w:lineRule="auto"/>
              <w:jc w:val="center"/>
              <w:rPr>
                <w:noProof/>
              </w:rPr>
            </w:pPr>
            <w:r>
              <w:rPr>
                <w:noProof/>
              </w:rPr>
              <w:t>2024</w:t>
            </w:r>
          </w:p>
        </w:tc>
        <w:tc>
          <w:tcPr>
            <w:tcW w:w="4738"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1F44B49D" w14:textId="77777777" w:rsidR="00615E2D" w:rsidRDefault="00C83E46">
            <w:pPr>
              <w:pStyle w:val="P68B1DB1-Normal11"/>
              <w:spacing w:after="0" w:line="257" w:lineRule="auto"/>
              <w:rPr>
                <w:noProof/>
              </w:rPr>
            </w:pPr>
            <w:r>
              <w:rPr>
                <w:noProof/>
              </w:rPr>
              <w:t>U okviru Vijeća Vlade za informacijsko društvo osnivaju se sljedeće radne skupine:</w:t>
            </w:r>
          </w:p>
          <w:p w14:paraId="75870FAA" w14:textId="77777777" w:rsidR="00615E2D" w:rsidRDefault="00C83E46">
            <w:pPr>
              <w:pStyle w:val="P68B1DB1-ListParagraph31"/>
              <w:numPr>
                <w:ilvl w:val="0"/>
                <w:numId w:val="269"/>
              </w:numPr>
              <w:spacing w:before="0" w:after="0" w:line="257" w:lineRule="auto"/>
              <w:rPr>
                <w:noProof/>
              </w:rPr>
            </w:pPr>
            <w:r>
              <w:rPr>
                <w:noProof/>
              </w:rPr>
              <w:t>Radna skupina za računalstvo u oblaku</w:t>
            </w:r>
          </w:p>
          <w:p w14:paraId="7BF35373" w14:textId="747988EE" w:rsidR="00615E2D" w:rsidRDefault="00C83E46">
            <w:pPr>
              <w:pStyle w:val="P68B1DB1-ListParagraph31"/>
              <w:numPr>
                <w:ilvl w:val="0"/>
                <w:numId w:val="269"/>
              </w:numPr>
              <w:spacing w:before="0" w:after="0" w:line="257" w:lineRule="auto"/>
              <w:rPr>
                <w:noProof/>
              </w:rPr>
            </w:pPr>
            <w:r>
              <w:rPr>
                <w:noProof/>
              </w:rPr>
              <w:t>Radna skupina za javnu nabavu</w:t>
            </w:r>
          </w:p>
        </w:tc>
      </w:tr>
      <w:tr w:rsidR="00615E2D" w14:paraId="5E36F12A" w14:textId="77777777">
        <w:trPr>
          <w:trHeight w:val="1845"/>
        </w:trPr>
        <w:tc>
          <w:tcPr>
            <w:tcW w:w="653"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258F6DD7" w14:textId="18C249AC" w:rsidR="00615E2D" w:rsidRDefault="00C83E46">
            <w:pPr>
              <w:pStyle w:val="P68B1DB1-Normal11"/>
              <w:spacing w:line="240" w:lineRule="auto"/>
              <w:jc w:val="center"/>
              <w:rPr>
                <w:noProof/>
              </w:rPr>
            </w:pPr>
            <w:r>
              <w:rPr>
                <w:noProof/>
              </w:rPr>
              <w:t>257</w:t>
            </w:r>
          </w:p>
        </w:tc>
        <w:tc>
          <w:tcPr>
            <w:tcW w:w="139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0A75A674" w14:textId="1D6918B4" w:rsidR="00615E2D" w:rsidRDefault="00C83E46">
            <w:pPr>
              <w:pStyle w:val="P68B1DB1-Normal11"/>
              <w:spacing w:line="240" w:lineRule="auto"/>
              <w:rPr>
                <w:noProof/>
              </w:rPr>
            </w:pPr>
            <w:r>
              <w:rPr>
                <w:noProof/>
              </w:rPr>
              <w:t>Ulaganje 1: Ujednačavanje domena i stvaranje platforme za učenje</w:t>
            </w:r>
          </w:p>
        </w:tc>
        <w:tc>
          <w:tcPr>
            <w:tcW w:w="1077"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5E7F5F58" w14:textId="77777777" w:rsidR="00615E2D" w:rsidRDefault="00C83E46">
            <w:pPr>
              <w:pStyle w:val="P68B1DB1-Normal11"/>
              <w:spacing w:line="240" w:lineRule="auto"/>
              <w:jc w:val="center"/>
              <w:rPr>
                <w:noProof/>
              </w:rPr>
            </w:pPr>
            <w:r>
              <w:rPr>
                <w:noProof/>
              </w:rPr>
              <w:t>Prekretnica</w:t>
            </w:r>
          </w:p>
        </w:tc>
        <w:tc>
          <w:tcPr>
            <w:tcW w:w="1286"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57799D71" w14:textId="77777777" w:rsidR="00615E2D" w:rsidRDefault="00C83E46">
            <w:pPr>
              <w:pStyle w:val="P68B1DB1-Normal11"/>
              <w:spacing w:line="240" w:lineRule="auto"/>
              <w:rPr>
                <w:noProof/>
              </w:rPr>
            </w:pPr>
            <w:r>
              <w:rPr>
                <w:noProof/>
              </w:rPr>
              <w:t>Ažuriranje projektnog sustava</w:t>
            </w:r>
          </w:p>
        </w:tc>
        <w:tc>
          <w:tcPr>
            <w:tcW w:w="1679"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F99D628" w14:textId="519CD118" w:rsidR="00615E2D" w:rsidRDefault="00C83E46">
            <w:pPr>
              <w:pStyle w:val="P68B1DB1-Normal11"/>
              <w:spacing w:line="240" w:lineRule="auto"/>
              <w:rPr>
                <w:noProof/>
              </w:rPr>
            </w:pPr>
            <w:r>
              <w:rPr>
                <w:noProof/>
              </w:rPr>
              <w:t>Provedene mjere</w:t>
            </w:r>
          </w:p>
        </w:tc>
        <w:tc>
          <w:tcPr>
            <w:tcW w:w="86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7BB9C220" w14:textId="77777777" w:rsidR="00615E2D" w:rsidRDefault="00615E2D">
            <w:pPr>
              <w:spacing w:line="240" w:lineRule="auto"/>
              <w:jc w:val="center"/>
              <w:rPr>
                <w:rFonts w:eastAsia="Times New Roman"/>
                <w:noProof/>
                <w:color w:val="006100"/>
                <w:sz w:val="18"/>
              </w:rPr>
            </w:pPr>
          </w:p>
        </w:tc>
        <w:tc>
          <w:tcPr>
            <w:tcW w:w="851"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205940BC" w14:textId="77777777" w:rsidR="00615E2D" w:rsidRDefault="00615E2D">
            <w:pPr>
              <w:spacing w:line="240" w:lineRule="auto"/>
              <w:jc w:val="center"/>
              <w:rPr>
                <w:rFonts w:eastAsia="Times New Roman"/>
                <w:noProof/>
                <w:color w:val="006100"/>
                <w:sz w:val="18"/>
              </w:rPr>
            </w:pPr>
          </w:p>
        </w:tc>
        <w:tc>
          <w:tcPr>
            <w:tcW w:w="113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1B15308F" w14:textId="77777777" w:rsidR="00615E2D" w:rsidRDefault="00615E2D">
            <w:pPr>
              <w:spacing w:line="240" w:lineRule="auto"/>
              <w:jc w:val="center"/>
              <w:rPr>
                <w:rFonts w:eastAsia="Times New Roman"/>
                <w:noProof/>
                <w:color w:val="006100"/>
                <w:sz w:val="18"/>
              </w:rPr>
            </w:pPr>
          </w:p>
        </w:tc>
        <w:tc>
          <w:tcPr>
            <w:tcW w:w="84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16F4A3A3" w14:textId="77777777" w:rsidR="00615E2D" w:rsidRDefault="00C83E46">
            <w:pPr>
              <w:pStyle w:val="P68B1DB1-Normal11"/>
              <w:spacing w:line="240" w:lineRule="auto"/>
              <w:jc w:val="center"/>
              <w:rPr>
                <w:noProof/>
              </w:rPr>
            </w:pPr>
            <w:r>
              <w:rPr>
                <w:noProof/>
              </w:rPr>
              <w:t>TROMJESEČJE</w:t>
            </w:r>
          </w:p>
        </w:tc>
        <w:tc>
          <w:tcPr>
            <w:tcW w:w="70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423654D8" w14:textId="77777777" w:rsidR="00615E2D" w:rsidRDefault="00C83E46">
            <w:pPr>
              <w:pStyle w:val="P68B1DB1-Normal11"/>
              <w:spacing w:line="240" w:lineRule="auto"/>
              <w:jc w:val="center"/>
              <w:rPr>
                <w:noProof/>
              </w:rPr>
            </w:pPr>
            <w:r>
              <w:rPr>
                <w:noProof/>
              </w:rPr>
              <w:t>2026</w:t>
            </w:r>
          </w:p>
        </w:tc>
        <w:tc>
          <w:tcPr>
            <w:tcW w:w="4738"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3DA77F70" w14:textId="77777777" w:rsidR="00615E2D" w:rsidRDefault="00C83E46">
            <w:pPr>
              <w:pStyle w:val="P68B1DB1-Normal11"/>
              <w:spacing w:after="0"/>
              <w:rPr>
                <w:noProof/>
              </w:rPr>
            </w:pPr>
            <w:r>
              <w:rPr>
                <w:noProof/>
              </w:rPr>
              <w:t xml:space="preserve">Provode se sljedeća djelovanja: </w:t>
            </w:r>
          </w:p>
          <w:p w14:paraId="5DD0CD2B" w14:textId="77777777" w:rsidR="00615E2D" w:rsidRDefault="00C83E46">
            <w:pPr>
              <w:pStyle w:val="P68B1DB1-ListParagraph31"/>
              <w:numPr>
                <w:ilvl w:val="0"/>
                <w:numId w:val="268"/>
              </w:numPr>
              <w:spacing w:after="0"/>
              <w:rPr>
                <w:noProof/>
              </w:rPr>
            </w:pPr>
            <w:r>
              <w:rPr>
                <w:noProof/>
              </w:rPr>
              <w:t xml:space="preserve">Sve internetske stranice središnjih državnih tijela nalaze se u domeni *.gov.cz. </w:t>
            </w:r>
          </w:p>
          <w:p w14:paraId="2B72B6E4" w14:textId="77777777" w:rsidR="00615E2D" w:rsidRDefault="00C83E46">
            <w:pPr>
              <w:pStyle w:val="P68B1DB1-ListParagraph31"/>
              <w:numPr>
                <w:ilvl w:val="0"/>
                <w:numId w:val="268"/>
              </w:numPr>
              <w:spacing w:after="0"/>
              <w:rPr>
                <w:noProof/>
              </w:rPr>
            </w:pPr>
            <w:r>
              <w:rPr>
                <w:noProof/>
              </w:rPr>
              <w:t>Sve poruke e-pošte središnjih državnih tijela migriraju se u domenu *.gov.cz.</w:t>
            </w:r>
          </w:p>
          <w:p w14:paraId="76BA2554" w14:textId="15B71379" w:rsidR="00615E2D" w:rsidRDefault="00C83E46">
            <w:pPr>
              <w:pStyle w:val="P68B1DB1-ListParagraph31"/>
              <w:numPr>
                <w:ilvl w:val="0"/>
                <w:numId w:val="268"/>
              </w:numPr>
              <w:spacing w:after="0"/>
              <w:rPr>
                <w:noProof/>
              </w:rPr>
            </w:pPr>
            <w:r>
              <w:rPr>
                <w:noProof/>
              </w:rPr>
              <w:t>Najmanje tri upute o digitalnoj komunikaciji između građana i vlade izrađuju se i stavljaju na raspolaganje na internetu.</w:t>
            </w:r>
          </w:p>
        </w:tc>
      </w:tr>
      <w:tr w:rsidR="00615E2D" w14:paraId="2A80B961" w14:textId="77777777">
        <w:trPr>
          <w:trHeight w:val="1845"/>
        </w:trPr>
        <w:tc>
          <w:tcPr>
            <w:tcW w:w="653"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7CCEB697" w14:textId="122682AA" w:rsidR="00615E2D" w:rsidRDefault="00C83E46">
            <w:pPr>
              <w:pStyle w:val="P68B1DB1-Normal11"/>
              <w:spacing w:line="240" w:lineRule="auto"/>
              <w:jc w:val="center"/>
              <w:rPr>
                <w:noProof/>
              </w:rPr>
            </w:pPr>
            <w:r>
              <w:rPr>
                <w:noProof/>
              </w:rPr>
              <w:t>258</w:t>
            </w:r>
          </w:p>
        </w:tc>
        <w:tc>
          <w:tcPr>
            <w:tcW w:w="139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213FB2FF" w14:textId="2F8DC3E8" w:rsidR="00615E2D" w:rsidRDefault="00C83E46">
            <w:pPr>
              <w:pStyle w:val="P68B1DB1-Normal11"/>
              <w:spacing w:line="240" w:lineRule="auto"/>
              <w:rPr>
                <w:noProof/>
              </w:rPr>
            </w:pPr>
            <w:r>
              <w:rPr>
                <w:noProof/>
              </w:rPr>
              <w:t>Ulaganje 2: Poboljšanje sustava upravljanja digitaliziranim uslugama</w:t>
            </w:r>
          </w:p>
        </w:tc>
        <w:tc>
          <w:tcPr>
            <w:tcW w:w="1077"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23C2A918" w14:textId="77777777" w:rsidR="00615E2D" w:rsidRDefault="00C83E46">
            <w:pPr>
              <w:pStyle w:val="P68B1DB1-Normal11"/>
              <w:spacing w:line="240" w:lineRule="auto"/>
              <w:jc w:val="center"/>
              <w:rPr>
                <w:noProof/>
              </w:rPr>
            </w:pPr>
            <w:r>
              <w:rPr>
                <w:noProof/>
              </w:rPr>
              <w:t>Prekretnica</w:t>
            </w:r>
          </w:p>
        </w:tc>
        <w:tc>
          <w:tcPr>
            <w:tcW w:w="1286"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7DDDC9FE" w14:textId="42E735E4" w:rsidR="00615E2D" w:rsidRDefault="00C83E46">
            <w:pPr>
              <w:pStyle w:val="P68B1DB1-Normal11"/>
              <w:tabs>
                <w:tab w:val="left" w:pos="479"/>
              </w:tabs>
              <w:spacing w:line="257" w:lineRule="auto"/>
              <w:jc w:val="both"/>
              <w:rPr>
                <w:noProof/>
              </w:rPr>
            </w:pPr>
            <w:r>
              <w:rPr>
                <w:noProof/>
              </w:rPr>
              <w:t>Ažuriranje upravljanja IKT-om u javnoj upravi</w:t>
            </w:r>
          </w:p>
        </w:tc>
        <w:tc>
          <w:tcPr>
            <w:tcW w:w="1679"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409B1208" w14:textId="7B8416D0" w:rsidR="00615E2D" w:rsidRDefault="00C83E46">
            <w:pPr>
              <w:pStyle w:val="P68B1DB1-Normal11"/>
              <w:spacing w:line="240" w:lineRule="auto"/>
              <w:rPr>
                <w:noProof/>
              </w:rPr>
            </w:pPr>
            <w:r>
              <w:rPr>
                <w:noProof/>
              </w:rPr>
              <w:t>Provedene mjere</w:t>
            </w:r>
          </w:p>
        </w:tc>
        <w:tc>
          <w:tcPr>
            <w:tcW w:w="86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180F8105" w14:textId="77777777" w:rsidR="00615E2D" w:rsidRDefault="00615E2D">
            <w:pPr>
              <w:spacing w:line="240" w:lineRule="auto"/>
              <w:jc w:val="center"/>
              <w:rPr>
                <w:rFonts w:eastAsia="Times New Roman"/>
                <w:noProof/>
                <w:color w:val="006100"/>
                <w:sz w:val="18"/>
              </w:rPr>
            </w:pPr>
          </w:p>
        </w:tc>
        <w:tc>
          <w:tcPr>
            <w:tcW w:w="851"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25D55491" w14:textId="77777777" w:rsidR="00615E2D" w:rsidRDefault="00615E2D">
            <w:pPr>
              <w:spacing w:line="240" w:lineRule="auto"/>
              <w:jc w:val="center"/>
              <w:rPr>
                <w:rFonts w:eastAsia="Times New Roman"/>
                <w:noProof/>
                <w:color w:val="006100"/>
                <w:sz w:val="18"/>
              </w:rPr>
            </w:pPr>
          </w:p>
        </w:tc>
        <w:tc>
          <w:tcPr>
            <w:tcW w:w="113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0B5A26B5" w14:textId="77777777" w:rsidR="00615E2D" w:rsidRDefault="00615E2D">
            <w:pPr>
              <w:spacing w:line="240" w:lineRule="auto"/>
              <w:jc w:val="center"/>
              <w:rPr>
                <w:rFonts w:eastAsia="Times New Roman"/>
                <w:noProof/>
                <w:color w:val="006100"/>
                <w:sz w:val="18"/>
              </w:rPr>
            </w:pPr>
          </w:p>
          <w:p w14:paraId="33C38576" w14:textId="77777777" w:rsidR="00615E2D" w:rsidRDefault="00615E2D">
            <w:pPr>
              <w:rPr>
                <w:rFonts w:eastAsia="Times New Roman"/>
                <w:noProof/>
                <w:sz w:val="18"/>
              </w:rPr>
            </w:pPr>
          </w:p>
          <w:p w14:paraId="32FC0AC4" w14:textId="77777777" w:rsidR="00615E2D" w:rsidRDefault="00615E2D">
            <w:pPr>
              <w:rPr>
                <w:rFonts w:eastAsia="Times New Roman"/>
                <w:noProof/>
                <w:sz w:val="18"/>
              </w:rPr>
            </w:pPr>
          </w:p>
          <w:p w14:paraId="5023BB07" w14:textId="77777777" w:rsidR="00615E2D" w:rsidRDefault="00615E2D">
            <w:pPr>
              <w:rPr>
                <w:rFonts w:eastAsia="Times New Roman"/>
                <w:noProof/>
                <w:color w:val="006100"/>
                <w:sz w:val="18"/>
              </w:rPr>
            </w:pPr>
          </w:p>
          <w:p w14:paraId="53404D10" w14:textId="77777777" w:rsidR="00615E2D" w:rsidRDefault="00615E2D">
            <w:pPr>
              <w:rPr>
                <w:rFonts w:eastAsia="Times New Roman"/>
                <w:noProof/>
                <w:color w:val="006100"/>
                <w:sz w:val="18"/>
              </w:rPr>
            </w:pPr>
          </w:p>
          <w:p w14:paraId="0419F78D" w14:textId="05CAE1AD" w:rsidR="00615E2D" w:rsidRDefault="00615E2D">
            <w:pPr>
              <w:rPr>
                <w:rFonts w:eastAsia="Times New Roman"/>
                <w:noProof/>
                <w:sz w:val="18"/>
              </w:rPr>
            </w:pPr>
          </w:p>
        </w:tc>
        <w:tc>
          <w:tcPr>
            <w:tcW w:w="84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733A8A87" w14:textId="77777777" w:rsidR="00615E2D" w:rsidRDefault="00C83E46">
            <w:pPr>
              <w:pStyle w:val="P68B1DB1-Normal11"/>
              <w:spacing w:line="240" w:lineRule="auto"/>
              <w:jc w:val="center"/>
              <w:rPr>
                <w:noProof/>
              </w:rPr>
            </w:pPr>
            <w:r>
              <w:rPr>
                <w:noProof/>
              </w:rPr>
              <w:t>TROMJESEČJE</w:t>
            </w:r>
          </w:p>
        </w:tc>
        <w:tc>
          <w:tcPr>
            <w:tcW w:w="70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27E140A0" w14:textId="77777777" w:rsidR="00615E2D" w:rsidRDefault="00C83E46">
            <w:pPr>
              <w:pStyle w:val="P68B1DB1-Normal11"/>
              <w:spacing w:line="240" w:lineRule="auto"/>
              <w:jc w:val="center"/>
              <w:rPr>
                <w:noProof/>
              </w:rPr>
            </w:pPr>
            <w:r>
              <w:rPr>
                <w:noProof/>
              </w:rPr>
              <w:t>2026</w:t>
            </w:r>
          </w:p>
        </w:tc>
        <w:tc>
          <w:tcPr>
            <w:tcW w:w="4738"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583656F0" w14:textId="77777777" w:rsidR="00615E2D" w:rsidRDefault="00C83E46">
            <w:pPr>
              <w:pStyle w:val="P68B1DB1-Normal11"/>
              <w:spacing w:after="0"/>
              <w:contextualSpacing/>
              <w:rPr>
                <w:noProof/>
              </w:rPr>
            </w:pPr>
            <w:r>
              <w:rPr>
                <w:noProof/>
              </w:rPr>
              <w:t>Provode se sljedeća djelovanja:</w:t>
            </w:r>
          </w:p>
          <w:p w14:paraId="2F15CD46" w14:textId="77777777" w:rsidR="00615E2D" w:rsidRDefault="00C83E46">
            <w:pPr>
              <w:pStyle w:val="P68B1DB1-ListParagraph31"/>
              <w:numPr>
                <w:ilvl w:val="0"/>
                <w:numId w:val="267"/>
              </w:numPr>
              <w:spacing w:after="0"/>
              <w:rPr>
                <w:noProof/>
              </w:rPr>
            </w:pPr>
            <w:r>
              <w:rPr>
                <w:noProof/>
              </w:rPr>
              <w:t>U funkciji su dva informacijska sustava. To je i. platforma za komunikaciju, koordinaciju i određivanje prioriteta; i ii. sustav dugoročnog upravljanja IKT-om.</w:t>
            </w:r>
          </w:p>
          <w:p w14:paraId="7FC10243" w14:textId="27317302" w:rsidR="00615E2D" w:rsidRDefault="00C83E46">
            <w:pPr>
              <w:pStyle w:val="P68B1DB1-ListParagraph31"/>
              <w:numPr>
                <w:ilvl w:val="0"/>
                <w:numId w:val="267"/>
              </w:numPr>
              <w:spacing w:after="0"/>
              <w:rPr>
                <w:noProof/>
              </w:rPr>
            </w:pPr>
            <w:r>
              <w:rPr>
                <w:noProof/>
              </w:rPr>
              <w:t>Izvješće o aktivnostima, uključujući metodologije, analitičke dokumente, akcijske planove, savjetovanja i nadzore koji se podupiru ovom mjerom, dostupno je na internetu. U izvješću se utvrđuju slučajevi optimizacije procesa i uključuju barem stečena iskustva, uključujući dobru praksu i istaknute neuspjehe.</w:t>
            </w:r>
          </w:p>
        </w:tc>
      </w:tr>
      <w:tr w:rsidR="00615E2D" w14:paraId="22611B32" w14:textId="77777777">
        <w:trPr>
          <w:trHeight w:val="1845"/>
        </w:trPr>
        <w:tc>
          <w:tcPr>
            <w:tcW w:w="653"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27548D97" w14:textId="0909B7E6" w:rsidR="00615E2D" w:rsidRDefault="00C83E46">
            <w:pPr>
              <w:pStyle w:val="P68B1DB1-Normal11"/>
              <w:spacing w:line="240" w:lineRule="auto"/>
              <w:jc w:val="center"/>
              <w:rPr>
                <w:noProof/>
              </w:rPr>
            </w:pPr>
            <w:r>
              <w:rPr>
                <w:noProof/>
              </w:rPr>
              <w:t>259</w:t>
            </w:r>
          </w:p>
        </w:tc>
        <w:tc>
          <w:tcPr>
            <w:tcW w:w="139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37F0CFE3" w14:textId="3F27BC69" w:rsidR="00615E2D" w:rsidRDefault="00C83E46">
            <w:pPr>
              <w:pStyle w:val="P68B1DB1-Normal11"/>
              <w:spacing w:line="240" w:lineRule="auto"/>
              <w:rPr>
                <w:noProof/>
              </w:rPr>
            </w:pPr>
            <w:r>
              <w:rPr>
                <w:noProof/>
              </w:rPr>
              <w:t>Ulaganje 3: Uspostava kontaktnog centra javne uprave</w:t>
            </w:r>
          </w:p>
        </w:tc>
        <w:tc>
          <w:tcPr>
            <w:tcW w:w="1077"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12219B3E" w14:textId="2822A782" w:rsidR="00615E2D" w:rsidRDefault="00C83E46">
            <w:pPr>
              <w:pStyle w:val="P68B1DB1-Normal11"/>
              <w:spacing w:line="240" w:lineRule="auto"/>
              <w:jc w:val="center"/>
              <w:rPr>
                <w:noProof/>
              </w:rPr>
            </w:pPr>
            <w:r>
              <w:rPr>
                <w:noProof/>
              </w:rPr>
              <w:t>Prekretnica</w:t>
            </w:r>
          </w:p>
        </w:tc>
        <w:tc>
          <w:tcPr>
            <w:tcW w:w="1286"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2E4D4283" w14:textId="1F2B8C38" w:rsidR="00615E2D" w:rsidRDefault="00C83E46">
            <w:pPr>
              <w:pStyle w:val="P68B1DB1-Normal11"/>
              <w:spacing w:line="257" w:lineRule="auto"/>
              <w:jc w:val="both"/>
              <w:rPr>
                <w:noProof/>
              </w:rPr>
            </w:pPr>
            <w:r>
              <w:rPr>
                <w:noProof/>
              </w:rPr>
              <w:t>Operativni kontaktni centar javne uprave</w:t>
            </w:r>
          </w:p>
        </w:tc>
        <w:tc>
          <w:tcPr>
            <w:tcW w:w="1679"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4FD5CC7" w14:textId="4A3FB85E" w:rsidR="00615E2D" w:rsidRDefault="00C83E46">
            <w:pPr>
              <w:pStyle w:val="P68B1DB1-Normal11"/>
              <w:spacing w:line="240" w:lineRule="auto"/>
              <w:rPr>
                <w:noProof/>
              </w:rPr>
            </w:pPr>
            <w:r>
              <w:rPr>
                <w:noProof/>
              </w:rPr>
              <w:t>Kontaktni centar koji je operativan i dostupan klijentima</w:t>
            </w:r>
          </w:p>
        </w:tc>
        <w:tc>
          <w:tcPr>
            <w:tcW w:w="86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6DD192E" w14:textId="77777777" w:rsidR="00615E2D" w:rsidRDefault="00615E2D">
            <w:pPr>
              <w:spacing w:line="240" w:lineRule="auto"/>
              <w:jc w:val="center"/>
              <w:rPr>
                <w:rFonts w:eastAsia="Times New Roman"/>
                <w:noProof/>
                <w:color w:val="006100"/>
                <w:sz w:val="18"/>
              </w:rPr>
            </w:pPr>
          </w:p>
        </w:tc>
        <w:tc>
          <w:tcPr>
            <w:tcW w:w="851"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4B1BE036" w14:textId="77777777" w:rsidR="00615E2D" w:rsidRDefault="00615E2D">
            <w:pPr>
              <w:spacing w:line="240" w:lineRule="auto"/>
              <w:jc w:val="center"/>
              <w:rPr>
                <w:rFonts w:eastAsia="Times New Roman"/>
                <w:noProof/>
                <w:color w:val="006100"/>
                <w:sz w:val="18"/>
              </w:rPr>
            </w:pPr>
          </w:p>
        </w:tc>
        <w:tc>
          <w:tcPr>
            <w:tcW w:w="113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0775640B" w14:textId="77777777" w:rsidR="00615E2D" w:rsidRDefault="00615E2D">
            <w:pPr>
              <w:spacing w:line="240" w:lineRule="auto"/>
              <w:jc w:val="center"/>
              <w:rPr>
                <w:rFonts w:eastAsia="Times New Roman"/>
                <w:noProof/>
                <w:color w:val="006100"/>
                <w:sz w:val="18"/>
              </w:rPr>
            </w:pPr>
          </w:p>
        </w:tc>
        <w:tc>
          <w:tcPr>
            <w:tcW w:w="84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3D8BA71A" w14:textId="77777777" w:rsidR="00615E2D" w:rsidRDefault="00C83E46">
            <w:pPr>
              <w:pStyle w:val="P68B1DB1-Normal11"/>
              <w:spacing w:line="240" w:lineRule="auto"/>
              <w:jc w:val="center"/>
              <w:rPr>
                <w:noProof/>
              </w:rPr>
            </w:pPr>
            <w:r>
              <w:rPr>
                <w:noProof/>
              </w:rPr>
              <w:t>TROMJESEČJE</w:t>
            </w:r>
          </w:p>
        </w:tc>
        <w:tc>
          <w:tcPr>
            <w:tcW w:w="70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3196779F" w14:textId="77777777" w:rsidR="00615E2D" w:rsidRDefault="00C83E46">
            <w:pPr>
              <w:pStyle w:val="P68B1DB1-Normal11"/>
              <w:spacing w:line="240" w:lineRule="auto"/>
              <w:jc w:val="center"/>
              <w:rPr>
                <w:noProof/>
              </w:rPr>
            </w:pPr>
            <w:r>
              <w:rPr>
                <w:noProof/>
              </w:rPr>
              <w:t>2026</w:t>
            </w:r>
          </w:p>
        </w:tc>
        <w:tc>
          <w:tcPr>
            <w:tcW w:w="4738"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3CCB2E3" w14:textId="77777777" w:rsidR="00615E2D" w:rsidRDefault="00C83E46">
            <w:pPr>
              <w:pStyle w:val="P68B1DB1-Normal28"/>
              <w:spacing w:line="240" w:lineRule="auto"/>
              <w:rPr>
                <w:noProof/>
              </w:rPr>
            </w:pPr>
            <w:r>
              <w:rPr>
                <w:noProof/>
              </w:rPr>
              <w:t>Kontaktni centar javne uprave pruža usluge javnosti. U potpunosti je operativan i može pružati informacije, savjete i podršku u elektroničkom podnošenju dokumenata za najmanje 10 državnih službi („Agendy”). Klijenti moraju moći kontaktirati centar.</w:t>
            </w:r>
          </w:p>
          <w:p w14:paraId="37D285BB" w14:textId="3EF792CB" w:rsidR="00615E2D" w:rsidRDefault="00C83E46">
            <w:pPr>
              <w:pStyle w:val="P68B1DB1-Normal28"/>
              <w:spacing w:line="240" w:lineRule="auto"/>
              <w:rPr>
                <w:noProof/>
              </w:rPr>
            </w:pPr>
            <w:r>
              <w:rPr>
                <w:noProof/>
              </w:rPr>
              <w:t>Provodi se kampanja za podizanje svijesti o dostupnosti kontaktnog centra i uputa definiranih u okviru ulaganja 1.</w:t>
            </w:r>
          </w:p>
        </w:tc>
      </w:tr>
      <w:tr w:rsidR="00615E2D" w14:paraId="5CE91C41" w14:textId="77777777">
        <w:trPr>
          <w:trHeight w:val="1260"/>
        </w:trPr>
        <w:tc>
          <w:tcPr>
            <w:tcW w:w="653"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025D12DA" w14:textId="6CE25D24" w:rsidR="00615E2D" w:rsidRDefault="00C83E46">
            <w:pPr>
              <w:pStyle w:val="P68B1DB1-Normal11"/>
              <w:spacing w:line="240" w:lineRule="auto"/>
              <w:jc w:val="center"/>
              <w:rPr>
                <w:noProof/>
              </w:rPr>
            </w:pPr>
            <w:r>
              <w:rPr>
                <w:noProof/>
              </w:rPr>
              <w:t>260</w:t>
            </w:r>
          </w:p>
        </w:tc>
        <w:tc>
          <w:tcPr>
            <w:tcW w:w="139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47A8E5D3" w14:textId="4C791891" w:rsidR="00615E2D" w:rsidRDefault="00C83E46">
            <w:pPr>
              <w:pStyle w:val="P68B1DB1-Normal11"/>
              <w:spacing w:line="240" w:lineRule="auto"/>
              <w:rPr>
                <w:noProof/>
              </w:rPr>
            </w:pPr>
            <w:r>
              <w:rPr>
                <w:noProof/>
              </w:rPr>
              <w:t>Ulaganje 4: Stvaranje središnje podatkovne infrastrukture</w:t>
            </w:r>
          </w:p>
        </w:tc>
        <w:tc>
          <w:tcPr>
            <w:tcW w:w="1077"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31A9714" w14:textId="4A1CB161" w:rsidR="00615E2D" w:rsidRDefault="00C83E46">
            <w:pPr>
              <w:pStyle w:val="P68B1DB1-Normal11"/>
              <w:spacing w:line="240" w:lineRule="auto"/>
              <w:jc w:val="center"/>
              <w:rPr>
                <w:noProof/>
              </w:rPr>
            </w:pPr>
            <w:r>
              <w:rPr>
                <w:noProof/>
              </w:rPr>
              <w:t>Prekretnica</w:t>
            </w:r>
          </w:p>
        </w:tc>
        <w:tc>
          <w:tcPr>
            <w:tcW w:w="1286"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0E22B78E" w14:textId="77777777" w:rsidR="00615E2D" w:rsidRDefault="00C83E46">
            <w:pPr>
              <w:pStyle w:val="P68B1DB1-Normal11"/>
              <w:spacing w:line="257" w:lineRule="auto"/>
              <w:rPr>
                <w:noProof/>
              </w:rPr>
            </w:pPr>
            <w:r>
              <w:rPr>
                <w:noProof/>
              </w:rPr>
              <w:t>Središnje skladište podataka u funkciji</w:t>
            </w:r>
          </w:p>
        </w:tc>
        <w:tc>
          <w:tcPr>
            <w:tcW w:w="1679"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4E87B88" w14:textId="4F9C529C" w:rsidR="00615E2D" w:rsidRDefault="00C83E46">
            <w:pPr>
              <w:pStyle w:val="P68B1DB1-Normal11"/>
              <w:spacing w:line="257" w:lineRule="auto"/>
              <w:rPr>
                <w:noProof/>
              </w:rPr>
            </w:pPr>
            <w:r>
              <w:rPr>
                <w:noProof/>
              </w:rPr>
              <w:t>Središnje skladište podataka koje je operativno i pruža informacije korisnicima</w:t>
            </w:r>
          </w:p>
        </w:tc>
        <w:tc>
          <w:tcPr>
            <w:tcW w:w="86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45D7EC0B" w14:textId="77777777" w:rsidR="00615E2D" w:rsidRDefault="00615E2D">
            <w:pPr>
              <w:spacing w:line="240" w:lineRule="auto"/>
              <w:jc w:val="center"/>
              <w:rPr>
                <w:rFonts w:eastAsia="Times New Roman"/>
                <w:noProof/>
                <w:color w:val="006100"/>
                <w:sz w:val="18"/>
              </w:rPr>
            </w:pPr>
          </w:p>
        </w:tc>
        <w:tc>
          <w:tcPr>
            <w:tcW w:w="851"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07874175" w14:textId="77777777" w:rsidR="00615E2D" w:rsidRDefault="00615E2D">
            <w:pPr>
              <w:spacing w:line="240" w:lineRule="auto"/>
              <w:jc w:val="center"/>
              <w:rPr>
                <w:rFonts w:eastAsia="Times New Roman"/>
                <w:noProof/>
                <w:color w:val="006100"/>
                <w:sz w:val="18"/>
              </w:rPr>
            </w:pPr>
          </w:p>
        </w:tc>
        <w:tc>
          <w:tcPr>
            <w:tcW w:w="113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AE6E8B6" w14:textId="77777777" w:rsidR="00615E2D" w:rsidRDefault="00615E2D">
            <w:pPr>
              <w:spacing w:line="240" w:lineRule="auto"/>
              <w:jc w:val="center"/>
              <w:rPr>
                <w:rFonts w:eastAsia="Times New Roman"/>
                <w:noProof/>
                <w:color w:val="006100"/>
                <w:sz w:val="18"/>
              </w:rPr>
            </w:pPr>
          </w:p>
        </w:tc>
        <w:tc>
          <w:tcPr>
            <w:tcW w:w="840"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377A8BB3" w14:textId="77777777" w:rsidR="00615E2D" w:rsidRDefault="00C83E46">
            <w:pPr>
              <w:pStyle w:val="P68B1DB1-Normal11"/>
              <w:spacing w:line="240" w:lineRule="auto"/>
              <w:jc w:val="center"/>
              <w:rPr>
                <w:noProof/>
              </w:rPr>
            </w:pPr>
            <w:r>
              <w:rPr>
                <w:noProof/>
              </w:rPr>
              <w:t>TROMJESEČJE</w:t>
            </w:r>
          </w:p>
        </w:tc>
        <w:tc>
          <w:tcPr>
            <w:tcW w:w="70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734E15FC" w14:textId="77777777" w:rsidR="00615E2D" w:rsidRDefault="00C83E46">
            <w:pPr>
              <w:pStyle w:val="P68B1DB1-Normal11"/>
              <w:spacing w:line="240" w:lineRule="auto"/>
              <w:jc w:val="center"/>
              <w:rPr>
                <w:noProof/>
              </w:rPr>
            </w:pPr>
            <w:r>
              <w:rPr>
                <w:noProof/>
              </w:rPr>
              <w:t>2026</w:t>
            </w:r>
          </w:p>
        </w:tc>
        <w:tc>
          <w:tcPr>
            <w:tcW w:w="4738"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15AE5B16" w14:textId="503FC6DE" w:rsidR="00615E2D" w:rsidRDefault="00C83E46">
            <w:pPr>
              <w:pStyle w:val="P68B1DB1-Normal28"/>
              <w:spacing w:line="240" w:lineRule="auto"/>
              <w:rPr>
                <w:noProof/>
              </w:rPr>
            </w:pPr>
            <w:r>
              <w:rPr>
                <w:noProof/>
              </w:rPr>
              <w:t>Središnje skladište podataka je operativno. Prikuplja i obrađuje podatke o radu najmanje 10 državnih IT sustava i radu najmanje 25 državnih službi („Agendy”). Podaci o uspješnosti državnih službi dostupni su kao otvoreni podaci.</w:t>
            </w:r>
          </w:p>
        </w:tc>
      </w:tr>
    </w:tbl>
    <w:p w14:paraId="6C87E10B" w14:textId="77777777" w:rsidR="00615E2D" w:rsidRDefault="00615E2D">
      <w:pPr>
        <w:keepNext/>
        <w:spacing w:before="360" w:line="240" w:lineRule="auto"/>
        <w:jc w:val="both"/>
        <w:rPr>
          <w:b/>
          <w:noProof/>
          <w:color w:val="000000"/>
          <w:u w:val="single"/>
        </w:rPr>
      </w:pPr>
    </w:p>
    <w:p w14:paraId="6D1920C6" w14:textId="77777777" w:rsidR="00615E2D" w:rsidRDefault="00615E2D">
      <w:pPr>
        <w:keepNext/>
        <w:spacing w:before="360" w:line="240" w:lineRule="auto"/>
        <w:jc w:val="both"/>
        <w:rPr>
          <w:b/>
          <w:noProof/>
          <w:color w:val="000000"/>
          <w:u w:val="single"/>
        </w:rPr>
      </w:pPr>
    </w:p>
    <w:p w14:paraId="263685EB" w14:textId="4F117DEF" w:rsidR="00615E2D" w:rsidRDefault="00615E2D">
      <w:pPr>
        <w:keepNext/>
        <w:spacing w:before="360" w:line="240" w:lineRule="auto"/>
        <w:jc w:val="both"/>
        <w:rPr>
          <w:b/>
          <w:smallCaps/>
          <w:noProof/>
        </w:rPr>
        <w:sectPr w:rsidR="00615E2D" w:rsidSect="00507AA7">
          <w:headerReference w:type="even" r:id="rId144"/>
          <w:headerReference w:type="default" r:id="rId145"/>
          <w:footerReference w:type="even" r:id="rId146"/>
          <w:footerReference w:type="default" r:id="rId147"/>
          <w:headerReference w:type="first" r:id="rId148"/>
          <w:footerReference w:type="first" r:id="rId149"/>
          <w:pgSz w:w="16839" w:h="11907" w:orient="landscape"/>
          <w:pgMar w:top="1134" w:right="1134" w:bottom="1134" w:left="1134" w:header="567" w:footer="567" w:gutter="0"/>
          <w:cols w:space="720"/>
          <w:docGrid w:linePitch="326"/>
        </w:sectPr>
      </w:pPr>
    </w:p>
    <w:p w14:paraId="684F317F" w14:textId="07E624A0" w:rsidR="00615E2D" w:rsidRDefault="00C83E46">
      <w:pPr>
        <w:pStyle w:val="P68B1DB1-Normal2"/>
        <w:keepNext/>
        <w:tabs>
          <w:tab w:val="left" w:pos="850"/>
        </w:tabs>
        <w:spacing w:before="360" w:line="240" w:lineRule="auto"/>
        <w:jc w:val="both"/>
        <w:outlineLvl w:val="0"/>
        <w:rPr>
          <w:noProof/>
        </w:rPr>
      </w:pPr>
      <w:r>
        <w:rPr>
          <w:noProof/>
        </w:rPr>
        <w:t>H. SASTAVNI DIO 2.1.: Održivi promet</w:t>
      </w:r>
    </w:p>
    <w:p w14:paraId="412AC4C8" w14:textId="77777777" w:rsidR="00615E2D" w:rsidRDefault="00C83E46">
      <w:pPr>
        <w:spacing w:line="240" w:lineRule="auto"/>
        <w:jc w:val="both"/>
        <w:rPr>
          <w:noProof/>
        </w:rPr>
      </w:pPr>
      <w:r>
        <w:rPr>
          <w:noProof/>
        </w:rPr>
        <w:t xml:space="preserve">Ta komponenta </w:t>
      </w:r>
      <w:r>
        <w:rPr>
          <w:rFonts w:eastAsia="Times New Roman"/>
          <w:noProof/>
        </w:rPr>
        <w:t xml:space="preserve">češkog plana za oporavak i otpornost </w:t>
      </w:r>
      <w:r>
        <w:rPr>
          <w:noProof/>
        </w:rPr>
        <w:t>bavi se izazovima digitalizacije prometa, elektromobilnosti u željezničkom prometu, povećanja udjela željezničkog prijevoza u teretnom i putničkom prometu, povećanja važnosti aktivne mobilnosti u gradovima, poboljšanja sigurnosti prometa i smanjenja učinka prometa na okoliš i javno zdravlje. Komponenta ima koristi od sinergija s komponentom 2.4., koja se bavi pitanjem alternativnog pogona u cestovnom prijevozu i gradskom autobusnom prijevozu.</w:t>
      </w:r>
    </w:p>
    <w:p w14:paraId="20CBF8DC" w14:textId="77777777" w:rsidR="00615E2D" w:rsidRDefault="00C83E46">
      <w:pPr>
        <w:spacing w:line="240" w:lineRule="auto"/>
        <w:jc w:val="both"/>
        <w:rPr>
          <w:noProof/>
        </w:rPr>
      </w:pPr>
      <w:r>
        <w:rPr>
          <w:noProof/>
        </w:rPr>
        <w:t xml:space="preserve">Komponentom se podupire odgovor na preporuku za pojedinu zemlju 3. 2019., u skladu s kojom Češka investicijsku politiku usmjerava na promet, posebno na njegovu održivost, digitalnu infrastrukturu te niskougljičnu i energetsku tranziciju, uključujući energetsku učinkovitost, uzimajući u obzir regionalne razlike ( </w:t>
      </w:r>
      <w:r>
        <w:rPr>
          <w:rFonts w:eastAsia="Times New Roman"/>
          <w:noProof/>
        </w:rPr>
        <w:t>preporuka za pojedinu zemlju 3, 2019.) te</w:t>
      </w:r>
      <w:r>
        <w:rPr>
          <w:noProof/>
        </w:rPr>
        <w:t xml:space="preserve"> preporuku za pojedinu zemlju br. 3 2020., u skladu s kojima Češka nastoji ulagati u zelenu i digitalnu tranziciju, posebno u digitalnu infrastrukturu i tehnologije visokog kapaciteta, čistu i učinkovitu proizvodnju i uporabu energije te održivu prometnu infrastrukturu, među ostalim u rudarskim regijama (preporuka za pojedinu zemlju 3, 2020.). </w:t>
      </w:r>
    </w:p>
    <w:p w14:paraId="4C16DF58" w14:textId="3363D4E2" w:rsidR="00615E2D" w:rsidRDefault="00C83E46">
      <w:pPr>
        <w:spacing w:line="240" w:lineRule="auto"/>
        <w:jc w:val="both"/>
        <w:rPr>
          <w:noProof/>
        </w:rPr>
      </w:pPr>
      <w:r>
        <w:rPr>
          <w:rFonts w:eastAsia="Times New Roman"/>
          <w:noProof/>
        </w:rPr>
        <w:t xml:space="preserve">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 </w:t>
      </w:r>
      <w:r>
        <w:rPr>
          <w:noProof/>
        </w:rPr>
        <w:t>Konkretno, najmanje 70 % građevinskog otpada i otpada od rušenja priprema se za ponovnu uporabu ili recikliranje.</w:t>
      </w:r>
    </w:p>
    <w:p w14:paraId="17EABB45" w14:textId="77777777" w:rsidR="00615E2D" w:rsidRDefault="00615E2D">
      <w:pPr>
        <w:spacing w:line="240" w:lineRule="auto"/>
        <w:jc w:val="both"/>
        <w:rPr>
          <w:noProof/>
        </w:rPr>
      </w:pPr>
    </w:p>
    <w:p w14:paraId="2483217D" w14:textId="42668BE0" w:rsidR="00615E2D" w:rsidRDefault="00C83E46">
      <w:pPr>
        <w:pStyle w:val="P68B1DB1-Normal5"/>
        <w:spacing w:line="240" w:lineRule="auto"/>
        <w:rPr>
          <w:noProof/>
        </w:rPr>
      </w:pPr>
      <w:r>
        <w:rPr>
          <w:noProof/>
        </w:rPr>
        <w:t>H.1. Opis reformi i ulaganja za programe bespovratne financijske potpore</w:t>
      </w:r>
    </w:p>
    <w:p w14:paraId="55A88F2D" w14:textId="77777777" w:rsidR="00615E2D" w:rsidRDefault="00C83E46">
      <w:pPr>
        <w:pStyle w:val="P68B1DB1-Normal7"/>
        <w:spacing w:line="240" w:lineRule="auto"/>
        <w:rPr>
          <w:noProof/>
        </w:rPr>
      </w:pPr>
      <w:r>
        <w:rPr>
          <w:noProof/>
        </w:rPr>
        <w:t>Reforma 1.: Razvoj alternativa energetski i prostorno intenzivnom cestovnom prijevozu</w:t>
      </w:r>
    </w:p>
    <w:p w14:paraId="3E89983A" w14:textId="77777777" w:rsidR="00615E2D" w:rsidRDefault="00C83E46">
      <w:pPr>
        <w:spacing w:line="240" w:lineRule="auto"/>
        <w:rPr>
          <w:noProof/>
        </w:rPr>
      </w:pPr>
      <w:r>
        <w:rPr>
          <w:noProof/>
        </w:rPr>
        <w:t>Cilj je mjere promicanje veće upotrebe energetski učinkovitijih načina prijevoza za redovite i teške prometne tokove. To se postiže sljedećim mjerama:</w:t>
      </w:r>
    </w:p>
    <w:p w14:paraId="3FA1AB9B" w14:textId="77777777" w:rsidR="00615E2D" w:rsidRDefault="00C83E46">
      <w:pPr>
        <w:pStyle w:val="P68B1DB1-Normal13"/>
        <w:numPr>
          <w:ilvl w:val="0"/>
          <w:numId w:val="153"/>
        </w:numPr>
        <w:pBdr>
          <w:top w:val="nil"/>
          <w:left w:val="nil"/>
          <w:bottom w:val="nil"/>
          <w:right w:val="nil"/>
          <w:between w:val="nil"/>
        </w:pBdr>
        <w:spacing w:after="0" w:line="259" w:lineRule="auto"/>
        <w:ind w:left="360"/>
        <w:jc w:val="both"/>
        <w:rPr>
          <w:noProof/>
        </w:rPr>
      </w:pPr>
      <w:r>
        <w:rPr>
          <w:noProof/>
        </w:rPr>
        <w:t xml:space="preserve">Pojedinačni gradovi s više od 40000 stanovnika provode postupak plana održive gradske mobilnosti (SUMP). Sve planove održive gradske mobilnosti moraju odobriti predstavnička tijela gradova do 30. lipnja 2023. Ako pojednostavnjeni SUMP već postoji, priprema se nova verzija na temelju koncepta gradske i aktivne mobilnosti (UAMC) koji je odobrila vlada. Sadržava sve dijelove koje UAMC zahtijeva i temelji se na analizama koje UAMC zahtijeva, kao što su modeliranje i pregledi prometa. </w:t>
      </w:r>
    </w:p>
    <w:p w14:paraId="38413E8A" w14:textId="77777777" w:rsidR="00615E2D" w:rsidRDefault="00C83E46">
      <w:pPr>
        <w:pStyle w:val="P68B1DB1-Normal13"/>
        <w:numPr>
          <w:ilvl w:val="0"/>
          <w:numId w:val="153"/>
        </w:numPr>
        <w:pBdr>
          <w:top w:val="nil"/>
          <w:left w:val="nil"/>
          <w:bottom w:val="nil"/>
          <w:right w:val="nil"/>
          <w:between w:val="nil"/>
        </w:pBdr>
        <w:spacing w:after="0" w:line="259" w:lineRule="auto"/>
        <w:ind w:left="360"/>
        <w:jc w:val="both"/>
        <w:rPr>
          <w:noProof/>
        </w:rPr>
      </w:pPr>
      <w:r>
        <w:rPr>
          <w:noProof/>
        </w:rPr>
        <w:t xml:space="preserve">Koncept prijevoza tereta, kojim će se utvrditi uvjeti za povećanje udjela željezničkog prijevoza tereta u ukupnoj količini prijevoza za razdoblje 2024. – 2030., odobrava se rezolucijom Vlade Češke Republike do 31. prosinca 2023. Koncept je usmjeren na podupiranje multimodalnog prijevoza, poboljšanje usluga prijevoza tereta i smanjenje utjecaja teretnog prijevoza na okoliš, javno zdravlje i globalne klimatske promjene. </w:t>
      </w:r>
    </w:p>
    <w:p w14:paraId="3A08F6D2" w14:textId="4FEB41E2" w:rsidR="00615E2D" w:rsidRDefault="00C83E46">
      <w:pPr>
        <w:pStyle w:val="P68B1DB1-Normal13"/>
        <w:numPr>
          <w:ilvl w:val="0"/>
          <w:numId w:val="153"/>
        </w:numPr>
        <w:pBdr>
          <w:top w:val="nil"/>
          <w:left w:val="nil"/>
          <w:bottom w:val="nil"/>
          <w:right w:val="nil"/>
          <w:between w:val="nil"/>
        </w:pBdr>
        <w:spacing w:after="160" w:line="259" w:lineRule="auto"/>
        <w:ind w:left="360"/>
        <w:jc w:val="both"/>
        <w:rPr>
          <w:noProof/>
        </w:rPr>
      </w:pPr>
      <w:r>
        <w:rPr>
          <w:noProof/>
        </w:rPr>
        <w:t>Svi operateri javnog prijevoza (državni, regionalni i gradovi koji upravljaju javnim prijevozom) odobravaju petogodišnji plan usluga prijevoza do 31. prosinca 2023. na temelju koncepta javnog prijevoza koji je odobrila vlada.</w:t>
      </w:r>
    </w:p>
    <w:p w14:paraId="04F1A318" w14:textId="32B03EC0" w:rsidR="00615E2D" w:rsidRDefault="00C83E46">
      <w:pPr>
        <w:pStyle w:val="P68B1DB1-Normal13"/>
        <w:numPr>
          <w:ilvl w:val="0"/>
          <w:numId w:val="153"/>
        </w:numPr>
        <w:spacing w:after="160" w:line="259" w:lineRule="auto"/>
        <w:ind w:left="360"/>
        <w:jc w:val="both"/>
        <w:rPr>
          <w:noProof/>
        </w:rPr>
      </w:pPr>
      <w:r>
        <w:rPr>
          <w:noProof/>
        </w:rPr>
        <w:t>Učinak reforme na modalni udio javnog prijevoza i modalni udio biciklizma mjeri se do 31. prosinca 2025.</w:t>
      </w:r>
    </w:p>
    <w:p w14:paraId="450A8A2A" w14:textId="667CEEB2" w:rsidR="00615E2D" w:rsidRDefault="00C83E46">
      <w:pPr>
        <w:spacing w:line="240" w:lineRule="auto"/>
        <w:rPr>
          <w:rFonts w:ascii="Calibri" w:hAnsi="Calibri"/>
          <w:noProof/>
          <w:sz w:val="22"/>
        </w:rPr>
      </w:pPr>
      <w:r>
        <w:rPr>
          <w:b/>
          <w:noProof/>
        </w:rPr>
        <w:t>Ulaganje 1: Primjena modernih tehnologija na željezničku infrastrukturu</w:t>
      </w:r>
      <w:r>
        <w:rPr>
          <w:noProof/>
        </w:rPr>
        <w:t xml:space="preserve"> </w:t>
      </w:r>
    </w:p>
    <w:p w14:paraId="40633ACF" w14:textId="77777777" w:rsidR="00615E2D" w:rsidRDefault="00C83E46">
      <w:pPr>
        <w:spacing w:line="240" w:lineRule="auto"/>
        <w:jc w:val="both"/>
        <w:rPr>
          <w:noProof/>
        </w:rPr>
      </w:pPr>
      <w:r>
        <w:rPr>
          <w:noProof/>
        </w:rPr>
        <w:t>Ulaganje doprinosi digitalizaciji željezničkog prometa kako bi se poboljšala sigurnost prometa i kvaliteta pruženih usluga, optimizirao kapacitet željezničke infrastrukture i osigurala međunarodna interoperabilnost. Ulaganje 1 ostvaruje se sljedećim mjerama:</w:t>
      </w:r>
    </w:p>
    <w:p w14:paraId="39D3F0F7" w14:textId="77777777" w:rsidR="00615E2D" w:rsidRDefault="00C83E46">
      <w:pPr>
        <w:numPr>
          <w:ilvl w:val="0"/>
          <w:numId w:val="152"/>
        </w:numPr>
        <w:spacing w:after="0" w:line="259" w:lineRule="auto"/>
        <w:ind w:left="360"/>
        <w:jc w:val="both"/>
        <w:rPr>
          <w:rFonts w:eastAsia="Times New Roman"/>
          <w:noProof/>
        </w:rPr>
      </w:pPr>
      <w:r>
        <w:rPr>
          <w:noProof/>
        </w:rPr>
        <w:t>Definiranje niza projekata od 41 km pruga obuhvaćenih Globalnim sustavom pokretnih komunikacija – Željeznica (GSM-R), 20 novougrađenih ili pouzdanijih baznih primopredajnih postaja (BTS) i uvođenje novih tehnologija i opreme za upravljanje željezničkim prometom do 30. lipnja 2022.</w:t>
      </w:r>
    </w:p>
    <w:p w14:paraId="12CFFE70" w14:textId="77777777" w:rsidR="00615E2D" w:rsidRDefault="00C83E46">
      <w:pPr>
        <w:numPr>
          <w:ilvl w:val="0"/>
          <w:numId w:val="152"/>
        </w:numPr>
        <w:pBdr>
          <w:top w:val="nil"/>
          <w:left w:val="nil"/>
          <w:bottom w:val="nil"/>
          <w:right w:val="nil"/>
          <w:between w:val="nil"/>
        </w:pBdr>
        <w:spacing w:after="0" w:line="259" w:lineRule="auto"/>
        <w:ind w:left="360"/>
        <w:jc w:val="both"/>
        <w:rPr>
          <w:rFonts w:eastAsia="Times New Roman"/>
          <w:noProof/>
        </w:rPr>
      </w:pPr>
      <w:r>
        <w:rPr>
          <w:noProof/>
        </w:rPr>
        <w:t xml:space="preserve">Završetak dvaju projekata iz unaprijed definiranog skupa projekata iz prethodno navedene točke do 30. lipnja 2024. </w:t>
      </w:r>
    </w:p>
    <w:p w14:paraId="5060C5D6" w14:textId="77777777" w:rsidR="00615E2D" w:rsidRDefault="00C83E46">
      <w:pPr>
        <w:numPr>
          <w:ilvl w:val="0"/>
          <w:numId w:val="152"/>
        </w:numPr>
        <w:pBdr>
          <w:top w:val="nil"/>
          <w:left w:val="nil"/>
          <w:bottom w:val="nil"/>
          <w:right w:val="nil"/>
          <w:between w:val="nil"/>
        </w:pBdr>
        <w:spacing w:after="0" w:line="259" w:lineRule="auto"/>
        <w:ind w:left="360"/>
        <w:jc w:val="both"/>
        <w:rPr>
          <w:rFonts w:ascii="Calibri" w:hAnsi="Calibri"/>
          <w:noProof/>
        </w:rPr>
      </w:pPr>
      <w:r>
        <w:rPr>
          <w:noProof/>
        </w:rPr>
        <w:t>Dovršetak šest dodatnih projekata iz unaprijed definiranog skupa projekata iz prethodno navedene točke, čime je do 31. prosinca 2024. dovršeno ukupno 41 km pruga obuhvaćenih GSM-R-om, 20 novougrađenih ili pouzdanijih pogonjenih BTS-om te uvođenje novih tehnologija i opreme za upravljanje željezničkim prometom.</w:t>
      </w:r>
    </w:p>
    <w:p w14:paraId="2B927098" w14:textId="77777777" w:rsidR="00615E2D" w:rsidRDefault="00C83E46">
      <w:pPr>
        <w:pStyle w:val="P68B1DB1-Normal7"/>
        <w:spacing w:line="240" w:lineRule="auto"/>
        <w:jc w:val="both"/>
        <w:rPr>
          <w:noProof/>
        </w:rPr>
      </w:pPr>
      <w:r>
        <w:rPr>
          <w:noProof/>
        </w:rPr>
        <w:t xml:space="preserve">Ulaganje 2: Elektrifikacija željeznica </w:t>
      </w:r>
    </w:p>
    <w:p w14:paraId="2BF6467F" w14:textId="460EEC84" w:rsidR="00615E2D" w:rsidRDefault="00C83E46">
      <w:pPr>
        <w:spacing w:line="240" w:lineRule="auto"/>
        <w:jc w:val="both"/>
        <w:rPr>
          <w:noProof/>
        </w:rPr>
      </w:pPr>
      <w:r>
        <w:rPr>
          <w:noProof/>
        </w:rPr>
        <w:t>Cilj je mjere povećati udio prijevoza nefosilnih goriva elektrifikacijom vodova i osiguravanjem vučne snage na trafostanicama. Ulaganjem se također stvaraju uvjeti za uštedu energije u prometnom sustavu. To se postiže sljedećim mjerama:</w:t>
      </w:r>
    </w:p>
    <w:p w14:paraId="21FB305C" w14:textId="77777777" w:rsidR="00615E2D" w:rsidRDefault="00C83E46">
      <w:pPr>
        <w:numPr>
          <w:ilvl w:val="0"/>
          <w:numId w:val="152"/>
        </w:numPr>
        <w:spacing w:after="0" w:line="259" w:lineRule="auto"/>
        <w:ind w:left="360"/>
        <w:jc w:val="both"/>
        <w:rPr>
          <w:rFonts w:eastAsia="Times New Roman"/>
          <w:noProof/>
          <w:sz w:val="22"/>
        </w:rPr>
      </w:pPr>
      <w:r>
        <w:rPr>
          <w:noProof/>
        </w:rPr>
        <w:t>Do 30. lipnja 2022. definirati niz projekata od 39,7 km elektrificiranih pruga i četiri priključne pogonske stanice s povećanom ili novoizgrađenom strujom.</w:t>
      </w:r>
    </w:p>
    <w:p w14:paraId="3C7AF211" w14:textId="77777777" w:rsidR="00615E2D" w:rsidRDefault="00C83E46">
      <w:pPr>
        <w:numPr>
          <w:ilvl w:val="0"/>
          <w:numId w:val="152"/>
        </w:numPr>
        <w:pBdr>
          <w:top w:val="nil"/>
          <w:left w:val="nil"/>
          <w:bottom w:val="nil"/>
          <w:right w:val="nil"/>
          <w:between w:val="nil"/>
        </w:pBdr>
        <w:spacing w:after="0" w:line="259" w:lineRule="auto"/>
        <w:ind w:left="360"/>
        <w:jc w:val="both"/>
        <w:rPr>
          <w:rFonts w:eastAsia="Times New Roman"/>
          <w:noProof/>
        </w:rPr>
      </w:pPr>
      <w:r>
        <w:rPr>
          <w:noProof/>
        </w:rPr>
        <w:t>Završetak dvaju projekata iz unaprijed definiranog skupa projekata iz prethodno navedene natuknice do 30. lipnja 2023.</w:t>
      </w:r>
    </w:p>
    <w:p w14:paraId="6D2F6A84" w14:textId="595AD8BE" w:rsidR="00615E2D" w:rsidRDefault="00C83E46">
      <w:pPr>
        <w:numPr>
          <w:ilvl w:val="0"/>
          <w:numId w:val="152"/>
        </w:numPr>
        <w:pBdr>
          <w:top w:val="nil"/>
          <w:left w:val="nil"/>
          <w:bottom w:val="nil"/>
          <w:right w:val="nil"/>
          <w:between w:val="nil"/>
        </w:pBdr>
        <w:spacing w:after="160" w:line="259" w:lineRule="auto"/>
        <w:ind w:left="360"/>
        <w:jc w:val="both"/>
        <w:rPr>
          <w:rFonts w:eastAsia="Times New Roman"/>
          <w:noProof/>
        </w:rPr>
      </w:pPr>
      <w:r>
        <w:rPr>
          <w:noProof/>
        </w:rPr>
        <w:t>Do 30. lipnja 2024. dovršeno je šest dodatnih projekata iz prethodno navedenog niza projekata, čime bi se do 30. lipnja 2024. ukupno dovršilo 39,7 km elektrificiranih pruga i četiri priključne pogonske stanice s povećanom potrošnjom energije ili novoizgrađene.</w:t>
      </w:r>
    </w:p>
    <w:p w14:paraId="09D2E5EB" w14:textId="77777777" w:rsidR="00615E2D" w:rsidRDefault="00C83E46">
      <w:pPr>
        <w:spacing w:line="240" w:lineRule="auto"/>
        <w:jc w:val="both"/>
        <w:rPr>
          <w:noProof/>
        </w:rPr>
      </w:pPr>
      <w:r>
        <w:rPr>
          <w:b/>
          <w:noProof/>
        </w:rPr>
        <w:t>Ulaganje 3: Potpora za željezničku infrastrukturu</w:t>
      </w:r>
      <w:r>
        <w:rPr>
          <w:noProof/>
        </w:rPr>
        <w:t xml:space="preserve"> </w:t>
      </w:r>
    </w:p>
    <w:p w14:paraId="7ACB2A14" w14:textId="3D5BCCBB" w:rsidR="00615E2D" w:rsidRDefault="00C83E46">
      <w:pPr>
        <w:spacing w:line="240" w:lineRule="auto"/>
        <w:jc w:val="both"/>
        <w:rPr>
          <w:noProof/>
        </w:rPr>
      </w:pPr>
      <w:r>
        <w:rPr>
          <w:noProof/>
        </w:rPr>
        <w:t>Cilj je mjere zaštita okoliša i klime doprinosom povećanju udjela željezničkog prijevoza u teretnom i putničkom prometu te poboljšanjem energetske učinkovitosti željezničkih postaja. To je ulaganje usmjereno na projekte razvoja željezničke infrastrukture, uzimajući u obzir, između ostalog, odgovarajući pristup uslugama za osobe u nepovoljnom položaju i ranjive osobe. Projekti su usmjereni na dionice mreže važne za prigradski promet i projekte za nadogradnju željezničkih čvorišta i zgrada kolodvora unutar multimodalnih putničkih terminala. Osim toga, podupire se grijanje zgrada postaja. To se postiže sljedećim mjerama:</w:t>
      </w:r>
    </w:p>
    <w:p w14:paraId="5F1A4CEE" w14:textId="77777777" w:rsidR="00615E2D" w:rsidRDefault="00C83E46">
      <w:pPr>
        <w:numPr>
          <w:ilvl w:val="0"/>
          <w:numId w:val="152"/>
        </w:numPr>
        <w:pBdr>
          <w:top w:val="nil"/>
          <w:left w:val="nil"/>
          <w:bottom w:val="nil"/>
          <w:right w:val="nil"/>
          <w:between w:val="nil"/>
        </w:pBdr>
        <w:spacing w:after="0" w:line="259" w:lineRule="auto"/>
        <w:ind w:left="360"/>
        <w:jc w:val="both"/>
        <w:rPr>
          <w:noProof/>
        </w:rPr>
      </w:pPr>
      <w:r>
        <w:rPr>
          <w:noProof/>
        </w:rPr>
        <w:t>Definiranje niza projekata od 121,88 km moderniziranih pruga, devet moderniziranih željezničkih postaja s obnovljenim prugama i sigurnim i pristupačnim peronima bez prepreka te više od 35 zgrada postaja sa smanjenim energetskim intenzitetom kako bi se do 30. lipnja 2022. u prosjeku smanjile izravne i neizravne emisije stakleničkih plinova za najmanje 30 % u usporedbi s ex ante emisijama te povećala udobnost i bolje usluge za putnike.</w:t>
      </w:r>
    </w:p>
    <w:p w14:paraId="0F06367B" w14:textId="77777777" w:rsidR="00615E2D" w:rsidRDefault="00C83E46">
      <w:pPr>
        <w:numPr>
          <w:ilvl w:val="0"/>
          <w:numId w:val="152"/>
        </w:numPr>
        <w:pBdr>
          <w:top w:val="nil"/>
          <w:left w:val="nil"/>
          <w:bottom w:val="nil"/>
          <w:right w:val="nil"/>
          <w:between w:val="nil"/>
        </w:pBdr>
        <w:spacing w:after="0" w:line="259" w:lineRule="auto"/>
        <w:ind w:left="360"/>
        <w:jc w:val="both"/>
        <w:rPr>
          <w:rFonts w:eastAsia="Times New Roman"/>
          <w:noProof/>
        </w:rPr>
      </w:pPr>
      <w:r>
        <w:rPr>
          <w:noProof/>
        </w:rPr>
        <w:t>Završetak 26 projekata iz unaprijed definiranog skupa projekata iz prethodno navedene točke do 31. prosinca 2022.</w:t>
      </w:r>
    </w:p>
    <w:p w14:paraId="7C64D55C" w14:textId="654082E8" w:rsidR="00615E2D" w:rsidRDefault="00C83E46">
      <w:pPr>
        <w:numPr>
          <w:ilvl w:val="0"/>
          <w:numId w:val="152"/>
        </w:numPr>
        <w:pBdr>
          <w:top w:val="nil"/>
          <w:left w:val="nil"/>
          <w:bottom w:val="nil"/>
          <w:right w:val="nil"/>
          <w:between w:val="nil"/>
        </w:pBdr>
        <w:spacing w:after="160" w:line="259" w:lineRule="auto"/>
        <w:ind w:left="360"/>
        <w:jc w:val="both"/>
        <w:rPr>
          <w:rFonts w:eastAsia="Times New Roman"/>
          <w:noProof/>
        </w:rPr>
      </w:pPr>
      <w:r>
        <w:rPr>
          <w:noProof/>
        </w:rPr>
        <w:t>Završetak dodatnih 11 projekata iz unaprijed definiranog skupa projekata iz prethodno navedene točke do 31. prosinca 2023.</w:t>
      </w:r>
    </w:p>
    <w:p w14:paraId="3BCCCF59" w14:textId="08AB96AA" w:rsidR="00615E2D" w:rsidRDefault="00C83E46">
      <w:pPr>
        <w:numPr>
          <w:ilvl w:val="0"/>
          <w:numId w:val="152"/>
        </w:numPr>
        <w:pBdr>
          <w:top w:val="nil"/>
          <w:left w:val="nil"/>
          <w:bottom w:val="nil"/>
          <w:right w:val="nil"/>
          <w:between w:val="nil"/>
        </w:pBdr>
        <w:spacing w:after="160" w:line="259" w:lineRule="auto"/>
        <w:ind w:left="360"/>
        <w:jc w:val="both"/>
        <w:rPr>
          <w:rFonts w:eastAsia="Times New Roman"/>
          <w:noProof/>
        </w:rPr>
      </w:pPr>
      <w:r>
        <w:rPr>
          <w:noProof/>
        </w:rPr>
        <w:t xml:space="preserve">Dovršetak dodatnih 19 projekata iz prethodno definiranog skupa projekata u prethodno navedenoj točki, čime je dovršeno ukupno 121,88 km moderniziranih pruga, devet moderniziranih željezničkih postaja s obnovljenim prugama i sigurnim i pristupačnim peronima bez prepreka te </w:t>
      </w:r>
      <w:r>
        <w:rPr>
          <w:noProof/>
          <w:u w:val="single"/>
        </w:rPr>
        <w:t>više od 35 zgrada postaja</w:t>
      </w:r>
      <w:r>
        <w:rPr>
          <w:noProof/>
        </w:rPr>
        <w:t xml:space="preserve"> sa smanjenim energetskim intenzitetom kako bi se do 31. prosinca 2024. u prosjeku smanjile izravne i neizravne emisije stakleničkih plinova za najmanje 30 % u usporedbi s ex ante emisijama te povećala udobnost i bolje usluge za putnike.</w:t>
      </w:r>
    </w:p>
    <w:p w14:paraId="435A31F8" w14:textId="77777777" w:rsidR="00615E2D" w:rsidRDefault="00C83E46">
      <w:pPr>
        <w:pStyle w:val="P68B1DB1-Normal7"/>
        <w:spacing w:line="240" w:lineRule="auto"/>
        <w:jc w:val="both"/>
        <w:rPr>
          <w:noProof/>
        </w:rPr>
      </w:pPr>
      <w:r>
        <w:rPr>
          <w:noProof/>
        </w:rPr>
        <w:t xml:space="preserve">Ulaganje 4: Sigurnost cestovnog i željezničkog prometa </w:t>
      </w:r>
    </w:p>
    <w:p w14:paraId="763BC132" w14:textId="5F9FA2A4" w:rsidR="00615E2D" w:rsidRDefault="00C83E46">
      <w:pPr>
        <w:spacing w:line="240" w:lineRule="auto"/>
        <w:jc w:val="both"/>
        <w:rPr>
          <w:noProof/>
        </w:rPr>
      </w:pPr>
      <w:r>
        <w:rPr>
          <w:noProof/>
        </w:rPr>
        <w:t>Cilj je mjere poboljšati sigurnost prometa poduzimanjem konkretnih sigurnosnih mjera na željezničkim prijelazima i poboljšanjem stanja mostova i konstrukcija tunela. U gradovima i aglomeracijama ulažu se kako bi se smanjio udio pojedinačnih putovanja automobilom i povećao udio javnog prijevoza i aktivnih načina prijevoza kao što su pješaci i biciklizam. Izgradnja biciklističkih staza i pješačkih ruta bez barijera također je dio ulaganja kako bi se poboljšala sigurnost ranjivih sudionika u prometu u okviru promicanja aktivne mobilnosti, posebno u gradovima. To se postiže sljedećim mjerama:</w:t>
      </w:r>
    </w:p>
    <w:p w14:paraId="6D6F8DA7" w14:textId="77777777" w:rsidR="00615E2D" w:rsidRDefault="00C83E46">
      <w:pPr>
        <w:numPr>
          <w:ilvl w:val="0"/>
          <w:numId w:val="152"/>
        </w:numPr>
        <w:pBdr>
          <w:top w:val="nil"/>
          <w:left w:val="nil"/>
          <w:bottom w:val="nil"/>
          <w:right w:val="nil"/>
          <w:between w:val="nil"/>
        </w:pBdr>
        <w:spacing w:after="0" w:line="259" w:lineRule="auto"/>
        <w:ind w:left="360"/>
        <w:jc w:val="both"/>
        <w:rPr>
          <w:rFonts w:eastAsia="Times New Roman"/>
          <w:noProof/>
        </w:rPr>
      </w:pPr>
      <w:r>
        <w:rPr>
          <w:noProof/>
        </w:rPr>
        <w:t>Dovršetak projekata s 45 željezničko-cestovnih prijelaza s povećanom sigurnošću (tj. s novougrađenim ili moderniziranim sustavom za upozoravanje na bljeska svjetla ili mehaničkom sigurnosnom instalacijom), 25 km izgrađenih biciklističkih staza, pločnika i putova bez prepreka te tri modernizirana željeznička mosta ili tunela do 30. lipnja 2022.</w:t>
      </w:r>
    </w:p>
    <w:p w14:paraId="6B9A2E7C" w14:textId="77777777" w:rsidR="00615E2D" w:rsidRDefault="00C83E46">
      <w:pPr>
        <w:numPr>
          <w:ilvl w:val="0"/>
          <w:numId w:val="152"/>
        </w:numPr>
        <w:pBdr>
          <w:top w:val="nil"/>
          <w:left w:val="nil"/>
          <w:bottom w:val="nil"/>
          <w:right w:val="nil"/>
          <w:between w:val="nil"/>
        </w:pBdr>
        <w:spacing w:after="0" w:line="259" w:lineRule="auto"/>
        <w:ind w:left="360"/>
        <w:jc w:val="both"/>
        <w:rPr>
          <w:rFonts w:eastAsia="Times New Roman"/>
          <w:noProof/>
        </w:rPr>
      </w:pPr>
      <w:r>
        <w:rPr>
          <w:noProof/>
        </w:rPr>
        <w:t>Dovršetak projekata koji uključuju 115 dodatnih željezničko-cestovnih prijelaza s povećanom sigurnošću (tj. s novougrađenim ili moderniziranim sustavom za upozoravanje na bljeska svjetla ili mehaničkom sigurnosnom instalacijom), 24 kilometra izgrađenih biciklističkih staza, pločnika i putova bez prepreka te tri dodatna modernizirana željeznička mosta ili tunela do 31. prosinca 2022.</w:t>
      </w:r>
    </w:p>
    <w:p w14:paraId="14F63DC4" w14:textId="77777777" w:rsidR="00615E2D" w:rsidRDefault="00C83E46">
      <w:pPr>
        <w:numPr>
          <w:ilvl w:val="0"/>
          <w:numId w:val="152"/>
        </w:numPr>
        <w:pBdr>
          <w:top w:val="nil"/>
          <w:left w:val="nil"/>
          <w:bottom w:val="nil"/>
          <w:right w:val="nil"/>
          <w:between w:val="nil"/>
        </w:pBdr>
        <w:spacing w:after="0" w:line="259" w:lineRule="auto"/>
        <w:ind w:left="360"/>
        <w:jc w:val="both"/>
        <w:rPr>
          <w:rFonts w:eastAsia="Times New Roman"/>
          <w:noProof/>
        </w:rPr>
      </w:pPr>
      <w:r>
        <w:rPr>
          <w:noProof/>
        </w:rPr>
        <w:t xml:space="preserve">Dovršetak projekata koji uključuju 131 dodatni željezničko-cestovni prijelaz s povećanom sigurnošću (tj. s novougrađenim ili moderniziranim sustavom za upozoravanje na bljeska svjetla ili mehaničkom sigurnosnom instalacijom) i jednim dodatnim moderniziranim željezničkim mostom ili tunelom do 31. prosinca 2024. </w:t>
      </w:r>
    </w:p>
    <w:p w14:paraId="53570ADD" w14:textId="2A804E4A" w:rsidR="00615E2D" w:rsidRDefault="00C83E46">
      <w:pPr>
        <w:numPr>
          <w:ilvl w:val="0"/>
          <w:numId w:val="152"/>
        </w:numPr>
        <w:pBdr>
          <w:top w:val="nil"/>
          <w:left w:val="nil"/>
          <w:bottom w:val="nil"/>
          <w:right w:val="nil"/>
          <w:between w:val="nil"/>
        </w:pBdr>
        <w:spacing w:after="160" w:line="259" w:lineRule="auto"/>
        <w:ind w:left="360"/>
        <w:jc w:val="both"/>
        <w:rPr>
          <w:b/>
          <w:noProof/>
        </w:rPr>
      </w:pPr>
      <w:r>
        <w:rPr>
          <w:noProof/>
        </w:rPr>
        <w:t>Završetak projekata koji uključuju dodatnih 36 km izgrađenih biciklističkih staza, pločnika i putova bez prepreka te jedan dodatni modernizirani željeznički most ili tunel do 31. prosinca 2023.</w:t>
      </w:r>
    </w:p>
    <w:p w14:paraId="77DA11F0" w14:textId="38AFC4D4" w:rsidR="00615E2D" w:rsidRDefault="00615E2D">
      <w:pPr>
        <w:rPr>
          <w:b/>
          <w:noProof/>
        </w:rPr>
      </w:pPr>
    </w:p>
    <w:p w14:paraId="4C24B93E" w14:textId="77777777" w:rsidR="00615E2D" w:rsidRDefault="00615E2D">
      <w:pPr>
        <w:rPr>
          <w:rFonts w:ascii="Calibri" w:hAnsi="Calibri"/>
          <w:noProof/>
          <w:sz w:val="22"/>
        </w:rPr>
        <w:sectPr w:rsidR="00615E2D" w:rsidSect="00F43B37">
          <w:headerReference w:type="even" r:id="rId150"/>
          <w:headerReference w:type="default" r:id="rId151"/>
          <w:footerReference w:type="even" r:id="rId152"/>
          <w:footerReference w:type="default" r:id="rId153"/>
          <w:headerReference w:type="first" r:id="rId154"/>
          <w:footerReference w:type="first" r:id="rId155"/>
          <w:pgSz w:w="11907" w:h="16839"/>
          <w:pgMar w:top="1134" w:right="1134" w:bottom="1134" w:left="1134" w:header="567" w:footer="567" w:gutter="0"/>
          <w:cols w:space="720"/>
          <w:docGrid w:linePitch="326"/>
        </w:sectPr>
      </w:pPr>
    </w:p>
    <w:p w14:paraId="28DF4B56" w14:textId="03EBF537" w:rsidR="00615E2D" w:rsidRDefault="00C83E46">
      <w:pPr>
        <w:pStyle w:val="P68B1DB1-Normal8"/>
        <w:pBdr>
          <w:top w:val="nil"/>
          <w:left w:val="nil"/>
          <w:bottom w:val="nil"/>
          <w:right w:val="nil"/>
          <w:between w:val="nil"/>
        </w:pBdr>
        <w:tabs>
          <w:tab w:val="left" w:pos="993"/>
        </w:tabs>
        <w:spacing w:line="240" w:lineRule="auto"/>
        <w:rPr>
          <w:rFonts w:ascii="Calibri" w:hAnsi="Calibri"/>
          <w:noProof/>
          <w:sz w:val="22"/>
        </w:rPr>
      </w:pPr>
      <w:r>
        <w:rPr>
          <w:noProof/>
        </w:rPr>
        <w:t xml:space="preserve">H.2. Ključne etape, ciljne vrijednosti i vremenski raspored za praćenje i provedbu programa bespovratne financijske potpore </w:t>
      </w:r>
    </w:p>
    <w:tbl>
      <w:tblPr>
        <w:tblW w:w="14564" w:type="dxa"/>
        <w:jc w:val="center"/>
        <w:tblLayout w:type="fixed"/>
        <w:tblLook w:val="0400" w:firstRow="0" w:lastRow="0" w:firstColumn="0" w:lastColumn="0" w:noHBand="0" w:noVBand="1"/>
      </w:tblPr>
      <w:tblGrid>
        <w:gridCol w:w="663"/>
        <w:gridCol w:w="1559"/>
        <w:gridCol w:w="1112"/>
        <w:gridCol w:w="1390"/>
        <w:gridCol w:w="1222"/>
        <w:gridCol w:w="1144"/>
        <w:gridCol w:w="975"/>
        <w:gridCol w:w="976"/>
        <w:gridCol w:w="975"/>
        <w:gridCol w:w="698"/>
        <w:gridCol w:w="3850"/>
      </w:tblGrid>
      <w:tr w:rsidR="00615E2D" w14:paraId="4C2E1F82" w14:textId="77777777">
        <w:trPr>
          <w:trHeight w:val="685"/>
          <w:tblHeader/>
          <w:jc w:val="center"/>
        </w:trPr>
        <w:tc>
          <w:tcPr>
            <w:tcW w:w="67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1959F27E" w14:textId="77777777" w:rsidR="00615E2D" w:rsidRDefault="00C83E46">
            <w:pPr>
              <w:pStyle w:val="P68B1DB1-Normal9"/>
              <w:spacing w:line="240" w:lineRule="auto"/>
              <w:jc w:val="center"/>
              <w:rPr>
                <w:noProof/>
              </w:rPr>
            </w:pPr>
            <w:r>
              <w:rPr>
                <w:noProof/>
              </w:rPr>
              <w:t xml:space="preserve">Sljedeće NUM. </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AB893DB" w14:textId="77777777" w:rsidR="00615E2D" w:rsidRDefault="00C83E46">
            <w:pPr>
              <w:pStyle w:val="P68B1DB1-Normal9"/>
              <w:spacing w:line="240" w:lineRule="auto"/>
              <w:jc w:val="center"/>
              <w:rPr>
                <w:noProof/>
              </w:rPr>
            </w:pPr>
            <w:r>
              <w:rPr>
                <w:noProof/>
              </w:rPr>
              <w:t>Povezana mjera (reforma ili ulaganje)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060D085C" w14:textId="77777777" w:rsidR="00615E2D" w:rsidRDefault="00C83E46">
            <w:pPr>
              <w:pStyle w:val="P68B1DB1-Normal9"/>
              <w:spacing w:line="240" w:lineRule="auto"/>
              <w:jc w:val="center"/>
              <w:rPr>
                <w:noProof/>
              </w:rPr>
            </w:pPr>
            <w:r>
              <w:rPr>
                <w:noProof/>
              </w:rPr>
              <w:t>Ključna etapa/ciljna vrijednost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D06760F" w14:textId="77777777" w:rsidR="00615E2D" w:rsidRDefault="00C83E46">
            <w:pPr>
              <w:pStyle w:val="P68B1DB1-Normal9"/>
              <w:spacing w:line="240" w:lineRule="auto"/>
              <w:jc w:val="center"/>
              <w:rPr>
                <w:noProof/>
              </w:rPr>
            </w:pPr>
            <w:r>
              <w:rPr>
                <w:noProof/>
              </w:rPr>
              <w:t>Ime</w:t>
            </w:r>
          </w:p>
        </w:tc>
        <w:tc>
          <w:tcPr>
            <w:tcW w:w="1245" w:type="dxa"/>
            <w:vMerge w:val="restart"/>
            <w:tcBorders>
              <w:top w:val="single" w:sz="8" w:space="0" w:color="000000" w:themeColor="text1"/>
              <w:left w:val="single" w:sz="4" w:space="0" w:color="auto"/>
              <w:right w:val="single" w:sz="8" w:space="0" w:color="000000" w:themeColor="text1"/>
            </w:tcBorders>
            <w:shd w:val="clear" w:color="auto" w:fill="BDD7EE"/>
            <w:vAlign w:val="center"/>
          </w:tcPr>
          <w:p w14:paraId="3BEBDF9D"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 </w:t>
            </w:r>
          </w:p>
        </w:tc>
        <w:tc>
          <w:tcPr>
            <w:tcW w:w="31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62EE4C6B"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701" w:type="dxa"/>
            <w:gridSpan w:val="2"/>
            <w:tcBorders>
              <w:top w:val="single" w:sz="8" w:space="0" w:color="000000" w:themeColor="text1"/>
              <w:left w:val="nil"/>
              <w:bottom w:val="single" w:sz="8" w:space="0" w:color="000000" w:themeColor="text1"/>
              <w:right w:val="single" w:sz="4" w:space="0" w:color="auto"/>
            </w:tcBorders>
            <w:shd w:val="clear" w:color="auto" w:fill="BDD7EE"/>
            <w:vAlign w:val="center"/>
          </w:tcPr>
          <w:p w14:paraId="6AF6A286" w14:textId="77777777" w:rsidR="00615E2D" w:rsidRDefault="00C83E46">
            <w:pPr>
              <w:pStyle w:val="P68B1DB1-Normal9"/>
              <w:spacing w:line="240" w:lineRule="auto"/>
              <w:jc w:val="center"/>
              <w:rPr>
                <w:noProof/>
              </w:rPr>
            </w:pPr>
            <w:r>
              <w:rPr>
                <w:noProof/>
              </w:rPr>
              <w:t xml:space="preserve">Okvirni vremenski okvir za dovršetak </w:t>
            </w:r>
          </w:p>
        </w:tc>
        <w:tc>
          <w:tcPr>
            <w:tcW w:w="393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12C5DFF9" w14:textId="77777777" w:rsidR="00615E2D" w:rsidRDefault="00C83E46">
            <w:pPr>
              <w:pStyle w:val="P68B1DB1-Normal9"/>
              <w:spacing w:line="240" w:lineRule="auto"/>
              <w:jc w:val="center"/>
              <w:rPr>
                <w:noProof/>
              </w:rPr>
            </w:pPr>
            <w:r>
              <w:rPr>
                <w:noProof/>
              </w:rPr>
              <w:t xml:space="preserve">Opis i jasna definicija svake ključne etape i ciljne vrijednosti </w:t>
            </w:r>
          </w:p>
        </w:tc>
      </w:tr>
      <w:tr w:rsidR="00615E2D" w14:paraId="46DAD40F" w14:textId="77777777">
        <w:trPr>
          <w:trHeight w:val="75"/>
          <w:tblHeader/>
          <w:jc w:val="center"/>
        </w:trPr>
        <w:tc>
          <w:tcPr>
            <w:tcW w:w="674" w:type="dxa"/>
            <w:vMerge/>
            <w:tcBorders>
              <w:top w:val="single" w:sz="4" w:space="0" w:color="auto"/>
              <w:left w:val="single" w:sz="4" w:space="0" w:color="auto"/>
              <w:bottom w:val="single" w:sz="4" w:space="0" w:color="auto"/>
              <w:right w:val="single" w:sz="4" w:space="0" w:color="auto"/>
            </w:tcBorders>
            <w:vAlign w:val="center"/>
          </w:tcPr>
          <w:p w14:paraId="207BA614"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591" w:type="dxa"/>
            <w:vMerge/>
            <w:tcBorders>
              <w:top w:val="single" w:sz="4" w:space="0" w:color="auto"/>
              <w:left w:val="single" w:sz="4" w:space="0" w:color="auto"/>
              <w:bottom w:val="single" w:sz="4" w:space="0" w:color="auto"/>
              <w:right w:val="single" w:sz="4" w:space="0" w:color="auto"/>
            </w:tcBorders>
            <w:vAlign w:val="center"/>
          </w:tcPr>
          <w:p w14:paraId="429F1DAA"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D41D8C6"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22611DA"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245" w:type="dxa"/>
            <w:vMerge/>
            <w:tcBorders>
              <w:left w:val="single" w:sz="4" w:space="0" w:color="auto"/>
            </w:tcBorders>
            <w:vAlign w:val="center"/>
          </w:tcPr>
          <w:p w14:paraId="59879DA7"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42B7F81E" w14:textId="77777777" w:rsidR="00615E2D" w:rsidRDefault="00C83E46">
            <w:pPr>
              <w:pStyle w:val="P68B1DB1-Normal9"/>
              <w:spacing w:line="240" w:lineRule="auto"/>
              <w:jc w:val="center"/>
              <w:rPr>
                <w:noProof/>
              </w:rPr>
            </w:pPr>
            <w:r>
              <w:rPr>
                <w:noProof/>
              </w:rPr>
              <w:t>Jedinica mjere</w:t>
            </w:r>
          </w:p>
        </w:tc>
        <w:tc>
          <w:tcPr>
            <w:tcW w:w="992"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26B678AF" w14:textId="77777777" w:rsidR="00615E2D" w:rsidRDefault="00C83E46">
            <w:pPr>
              <w:pStyle w:val="P68B1DB1-Normal9"/>
              <w:spacing w:line="240" w:lineRule="auto"/>
              <w:jc w:val="center"/>
              <w:rPr>
                <w:noProof/>
              </w:rPr>
            </w:pPr>
            <w:r>
              <w:rPr>
                <w:noProof/>
              </w:rPr>
              <w:t>Osnovna vrijednost</w:t>
            </w:r>
          </w:p>
        </w:tc>
        <w:tc>
          <w:tcPr>
            <w:tcW w:w="993"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414086A0" w14:textId="77777777" w:rsidR="00615E2D" w:rsidRDefault="00C83E46">
            <w:pPr>
              <w:pStyle w:val="P68B1DB1-Normal9"/>
              <w:spacing w:line="240" w:lineRule="auto"/>
              <w:jc w:val="center"/>
              <w:rPr>
                <w:noProof/>
              </w:rPr>
            </w:pPr>
            <w:r>
              <w:rPr>
                <w:noProof/>
              </w:rPr>
              <w:t>Cilj</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637972AD" w14:textId="77777777" w:rsidR="00615E2D" w:rsidRDefault="00C83E46">
            <w:pPr>
              <w:pStyle w:val="P68B1DB1-Normal9"/>
              <w:spacing w:line="240" w:lineRule="auto"/>
              <w:jc w:val="center"/>
              <w:rPr>
                <w:noProof/>
              </w:rPr>
            </w:pPr>
            <w:r>
              <w:rPr>
                <w:noProof/>
              </w:rPr>
              <w:t>Tromjesečje</w:t>
            </w:r>
          </w:p>
        </w:tc>
        <w:tc>
          <w:tcPr>
            <w:tcW w:w="709" w:type="dxa"/>
            <w:tcBorders>
              <w:top w:val="nil"/>
              <w:left w:val="single" w:sz="8" w:space="0" w:color="000000" w:themeColor="text1"/>
              <w:bottom w:val="single" w:sz="8" w:space="0" w:color="000000" w:themeColor="text1"/>
              <w:right w:val="single" w:sz="4" w:space="0" w:color="auto"/>
            </w:tcBorders>
            <w:shd w:val="clear" w:color="auto" w:fill="BDD7EE"/>
            <w:vAlign w:val="center"/>
          </w:tcPr>
          <w:p w14:paraId="45314CC9" w14:textId="77777777" w:rsidR="00615E2D" w:rsidRDefault="00C83E46">
            <w:pPr>
              <w:pStyle w:val="P68B1DB1-Normal9"/>
              <w:spacing w:line="240" w:lineRule="auto"/>
              <w:jc w:val="center"/>
              <w:rPr>
                <w:noProof/>
              </w:rPr>
            </w:pPr>
            <w:r>
              <w:rPr>
                <w:noProof/>
              </w:rPr>
              <w:t>Godina</w:t>
            </w:r>
          </w:p>
        </w:tc>
        <w:tc>
          <w:tcPr>
            <w:tcW w:w="3935" w:type="dxa"/>
            <w:vMerge/>
            <w:tcBorders>
              <w:bottom w:val="single" w:sz="4" w:space="0" w:color="auto"/>
              <w:right w:val="single" w:sz="4" w:space="0" w:color="auto"/>
            </w:tcBorders>
            <w:vAlign w:val="center"/>
          </w:tcPr>
          <w:p w14:paraId="0F5B911E"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r>
      <w:tr w:rsidR="00615E2D" w14:paraId="4F695F6C" w14:textId="77777777">
        <w:trPr>
          <w:trHeight w:val="945"/>
          <w:jc w:val="center"/>
        </w:trPr>
        <w:tc>
          <w:tcPr>
            <w:tcW w:w="67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54062B13" w14:textId="77777777" w:rsidR="00615E2D" w:rsidRDefault="00C83E46">
            <w:pPr>
              <w:pStyle w:val="P68B1DB1-Normal28"/>
              <w:spacing w:line="240" w:lineRule="auto"/>
              <w:jc w:val="center"/>
              <w:rPr>
                <w:rFonts w:eastAsia="Times New Roman"/>
                <w:noProof/>
              </w:rPr>
            </w:pPr>
            <w:r>
              <w:rPr>
                <w:noProof/>
              </w:rPr>
              <w:t>78</w:t>
            </w:r>
          </w:p>
        </w:tc>
        <w:tc>
          <w:tcPr>
            <w:tcW w:w="159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0BAF59C3" w14:textId="77777777" w:rsidR="00615E2D" w:rsidRDefault="00C83E46">
            <w:pPr>
              <w:pStyle w:val="P68B1DB1-Normal28"/>
              <w:spacing w:line="240" w:lineRule="auto"/>
              <w:rPr>
                <w:rFonts w:eastAsia="Times New Roman"/>
                <w:noProof/>
              </w:rPr>
            </w:pPr>
            <w:r>
              <w:rPr>
                <w:noProof/>
              </w:rPr>
              <w:t>Reforma 1.: Stvaranje alternativa za energetski i prostorno intenzivan cestovni promet</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611349DB" w14:textId="77777777" w:rsidR="00615E2D" w:rsidRDefault="00C83E46">
            <w:pPr>
              <w:pStyle w:val="P68B1DB1-Normal28"/>
              <w:spacing w:line="240" w:lineRule="auto"/>
              <w:rPr>
                <w:rFonts w:eastAsia="Times New Roman"/>
                <w:noProof/>
              </w:rPr>
            </w:pPr>
            <w:r>
              <w:rPr>
                <w:noProof/>
              </w:rPr>
              <w:t>Prekretnica</w:t>
            </w:r>
          </w:p>
        </w:tc>
        <w:tc>
          <w:tcPr>
            <w:tcW w:w="141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3C05435B" w14:textId="77777777" w:rsidR="00615E2D" w:rsidRDefault="00C83E46">
            <w:pPr>
              <w:pStyle w:val="P68B1DB1-Normal28"/>
              <w:spacing w:line="259" w:lineRule="auto"/>
              <w:rPr>
                <w:noProof/>
              </w:rPr>
            </w:pPr>
            <w:r>
              <w:rPr>
                <w:noProof/>
              </w:rPr>
              <w:t>Odobravanje planova mobilnosti</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0F5CA02" w14:textId="77777777" w:rsidR="00615E2D" w:rsidRDefault="00C83E46">
            <w:pPr>
              <w:pStyle w:val="P68B1DB1-Normal28"/>
              <w:spacing w:line="240" w:lineRule="auto"/>
              <w:rPr>
                <w:rFonts w:eastAsia="Times New Roman"/>
                <w:noProof/>
              </w:rPr>
            </w:pPr>
            <w:r>
              <w:rPr>
                <w:noProof/>
              </w:rPr>
              <w:t>Odobrenje plana od strane predstavničkih tijela grada</w:t>
            </w: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053814C" w14:textId="77777777" w:rsidR="00615E2D" w:rsidRDefault="00615E2D">
            <w:pPr>
              <w:spacing w:line="240" w:lineRule="auto"/>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E9420E4" w14:textId="77777777" w:rsidR="00615E2D" w:rsidRDefault="00615E2D">
            <w:pPr>
              <w:spacing w:line="240" w:lineRule="auto"/>
              <w:jc w:val="center"/>
              <w:rPr>
                <w:rFonts w:eastAsia="Times New Roman"/>
                <w:noProof/>
                <w:color w:val="006100"/>
                <w:sz w:val="18"/>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BEB455"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618CAC4" w14:textId="77777777" w:rsidR="00615E2D" w:rsidRDefault="00C83E46">
            <w:pPr>
              <w:pStyle w:val="P68B1DB1-Normal28"/>
              <w:spacing w:line="240" w:lineRule="auto"/>
              <w:jc w:val="center"/>
              <w:rPr>
                <w:rFonts w:eastAsia="Times New Roman"/>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278949" w14:textId="77777777" w:rsidR="00615E2D" w:rsidRDefault="00C83E46">
            <w:pPr>
              <w:pStyle w:val="P68B1DB1-Normal11"/>
              <w:spacing w:line="240" w:lineRule="auto"/>
              <w:jc w:val="center"/>
              <w:rPr>
                <w:noProof/>
              </w:rPr>
            </w:pPr>
            <w:r>
              <w:rPr>
                <w:noProof/>
              </w:rPr>
              <w:t>2023</w:t>
            </w:r>
          </w:p>
        </w:tc>
        <w:tc>
          <w:tcPr>
            <w:tcW w:w="393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17CA8552" w14:textId="05D008B6" w:rsidR="00615E2D" w:rsidRDefault="00C83E46">
            <w:pPr>
              <w:pStyle w:val="P68B1DB1-Normal28"/>
              <w:spacing w:line="240" w:lineRule="auto"/>
              <w:rPr>
                <w:rFonts w:eastAsia="Times New Roman"/>
                <w:noProof/>
              </w:rPr>
            </w:pPr>
            <w:r>
              <w:rPr>
                <w:noProof/>
              </w:rPr>
              <w:t>Svi zakonski propisani gradovi u Češkoj (gradovi s više od 40000) moraju imati plan održive gradske mobilnosti (SUMP) koji odobravaju predstavnička tijela gradova, na temelju koncepta gradske i aktivne mobilnosti koji je odobrila vlada.</w:t>
            </w:r>
          </w:p>
        </w:tc>
      </w:tr>
      <w:tr w:rsidR="00615E2D" w14:paraId="0A3CBE66"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7E9AC3" w14:textId="77777777" w:rsidR="00615E2D" w:rsidRDefault="00C83E46">
            <w:pPr>
              <w:pStyle w:val="P68B1DB1-Normal28"/>
              <w:spacing w:line="240" w:lineRule="auto"/>
              <w:jc w:val="center"/>
              <w:rPr>
                <w:rFonts w:eastAsia="Times New Roman"/>
                <w:noProof/>
              </w:rPr>
            </w:pPr>
            <w:r>
              <w:rPr>
                <w:noProof/>
              </w:rPr>
              <w:t>79</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C03ED3A" w14:textId="77777777" w:rsidR="00615E2D" w:rsidRDefault="00C83E46">
            <w:pPr>
              <w:pStyle w:val="P68B1DB1-Normal28"/>
              <w:spacing w:line="240" w:lineRule="auto"/>
              <w:rPr>
                <w:rFonts w:eastAsia="Times New Roman"/>
                <w:noProof/>
              </w:rPr>
            </w:pPr>
            <w:r>
              <w:rPr>
                <w:noProof/>
              </w:rPr>
              <w:t>Reforma 1.: Stvaranje alternativa za energetski i prostorno intenzivan cestovni promet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DB0A15C" w14:textId="77777777" w:rsidR="00615E2D" w:rsidRDefault="00C83E46">
            <w:pPr>
              <w:pStyle w:val="P68B1DB1-Normal28"/>
              <w:spacing w:line="240" w:lineRule="auto"/>
              <w:rPr>
                <w:rFonts w:eastAsia="Times New Roman"/>
                <w:noProof/>
              </w:rPr>
            </w:pPr>
            <w:r>
              <w:rPr>
                <w:noProof/>
              </w:rPr>
              <w:t>Prekretnica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C2B37B8" w14:textId="77777777" w:rsidR="00615E2D" w:rsidRDefault="00C83E46">
            <w:pPr>
              <w:pStyle w:val="P68B1DB1-Normal28"/>
              <w:spacing w:line="259" w:lineRule="auto"/>
              <w:rPr>
                <w:noProof/>
              </w:rPr>
            </w:pPr>
            <w:r>
              <w:rPr>
                <w:noProof/>
              </w:rPr>
              <w:t>Odobrenje i stupanje na snagu novog koncepta prijevoza tereta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053388" w14:textId="77777777" w:rsidR="00615E2D" w:rsidRDefault="00C83E46">
            <w:pPr>
              <w:pStyle w:val="P68B1DB1-Normal28"/>
              <w:spacing w:line="240" w:lineRule="auto"/>
              <w:rPr>
                <w:rFonts w:eastAsia="Times New Roman"/>
                <w:noProof/>
              </w:rPr>
            </w:pPr>
            <w:r>
              <w:rPr>
                <w:noProof/>
              </w:rPr>
              <w:t>Odobrenje vlade</w:t>
            </w: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F96D041" w14:textId="77777777" w:rsidR="00615E2D" w:rsidRDefault="00615E2D">
            <w:pPr>
              <w:spacing w:line="240" w:lineRule="auto"/>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7C04487" w14:textId="77777777" w:rsidR="00615E2D" w:rsidRDefault="00615E2D">
            <w:pPr>
              <w:spacing w:line="240" w:lineRule="auto"/>
              <w:jc w:val="center"/>
              <w:rPr>
                <w:rFonts w:eastAsia="Times New Roman"/>
                <w:noProof/>
                <w:color w:val="006100"/>
                <w:sz w:val="18"/>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611ACB5"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F1B8867"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E4C9994" w14:textId="77777777" w:rsidR="00615E2D" w:rsidRDefault="00C83E46">
            <w:pPr>
              <w:pStyle w:val="P68B1DB1-Normal11"/>
              <w:spacing w:line="240" w:lineRule="auto"/>
              <w:jc w:val="center"/>
              <w:rPr>
                <w:noProof/>
              </w:rPr>
            </w:pPr>
            <w:r>
              <w:rPr>
                <w:noProof/>
              </w:rPr>
              <w:t>2023</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BACAB84" w14:textId="77777777" w:rsidR="00615E2D" w:rsidRDefault="00C83E46">
            <w:pPr>
              <w:pStyle w:val="P68B1DB1-Normal28"/>
              <w:spacing w:line="240" w:lineRule="auto"/>
              <w:rPr>
                <w:rFonts w:eastAsia="Times New Roman"/>
                <w:noProof/>
              </w:rPr>
            </w:pPr>
            <w:r>
              <w:rPr>
                <w:noProof/>
              </w:rPr>
              <w:t>Vlada odobrava novi koncept prijevoza tereta, kojim će se utvrditi uvjeti za povećanje udjela željezničkog prijevoza tereta u ukupnoj količini prijevoza za razdoblje 2024. – 2030. Koncept će biti usmjeren na podupiranje multimodalnog prijevoza, poboljšanje usluga prijevoza tereta i smanjenje utjecaja teretnog prijevoza na okoliš, javno zdravlje i globalne klimatske promjene.</w:t>
            </w:r>
          </w:p>
        </w:tc>
      </w:tr>
      <w:tr w:rsidR="00615E2D" w14:paraId="0D98E19A"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761018E" w14:textId="77777777" w:rsidR="00615E2D" w:rsidRDefault="00C83E46">
            <w:pPr>
              <w:pStyle w:val="P68B1DB1-Normal28"/>
              <w:spacing w:line="240" w:lineRule="auto"/>
              <w:jc w:val="center"/>
              <w:rPr>
                <w:rFonts w:eastAsia="Times New Roman"/>
                <w:noProof/>
              </w:rPr>
            </w:pPr>
            <w:r>
              <w:rPr>
                <w:noProof/>
              </w:rPr>
              <w:t>80</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F858EC2" w14:textId="77777777" w:rsidR="00615E2D" w:rsidRDefault="00C83E46">
            <w:pPr>
              <w:pStyle w:val="P68B1DB1-Normal28"/>
              <w:spacing w:line="240" w:lineRule="auto"/>
              <w:rPr>
                <w:rFonts w:eastAsia="Times New Roman"/>
                <w:noProof/>
              </w:rPr>
            </w:pPr>
            <w:r>
              <w:rPr>
                <w:noProof/>
              </w:rPr>
              <w:t>Reforma 1.: Stvaranje alternativa za energetski i prostorno intenzivan cestovni promet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1C29115" w14:textId="77777777" w:rsidR="00615E2D" w:rsidRDefault="00C83E46">
            <w:pPr>
              <w:pStyle w:val="P68B1DB1-Normal28"/>
              <w:spacing w:line="240" w:lineRule="auto"/>
              <w:rPr>
                <w:rFonts w:eastAsia="Times New Roman"/>
                <w:noProof/>
              </w:rPr>
            </w:pPr>
            <w:r>
              <w:rPr>
                <w:noProof/>
              </w:rPr>
              <w:t>Prekretnica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044759F" w14:textId="77777777" w:rsidR="00615E2D" w:rsidRDefault="00C83E46">
            <w:pPr>
              <w:pStyle w:val="P68B1DB1-Normal28"/>
              <w:spacing w:line="240" w:lineRule="auto"/>
              <w:rPr>
                <w:rFonts w:eastAsia="Times New Roman"/>
                <w:noProof/>
              </w:rPr>
            </w:pPr>
            <w:r>
              <w:rPr>
                <w:noProof/>
              </w:rPr>
              <w:t>Odobrenje nacrta usluga prijevoza.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D6127EE" w14:textId="77777777" w:rsidR="00615E2D" w:rsidRDefault="00C83E46">
            <w:pPr>
              <w:pStyle w:val="P68B1DB1-Normal28"/>
              <w:spacing w:line="240" w:lineRule="auto"/>
              <w:rPr>
                <w:rFonts w:eastAsia="Times New Roman"/>
                <w:noProof/>
              </w:rPr>
            </w:pPr>
            <w:r>
              <w:rPr>
                <w:noProof/>
              </w:rPr>
              <w:t>Odobrenje operatera javnog prijevoza</w:t>
            </w: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45DE22" w14:textId="77777777" w:rsidR="00615E2D" w:rsidRDefault="00615E2D">
            <w:pPr>
              <w:spacing w:line="240" w:lineRule="auto"/>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677DD0" w14:textId="77777777" w:rsidR="00615E2D" w:rsidRDefault="00615E2D">
            <w:pPr>
              <w:spacing w:line="240" w:lineRule="auto"/>
              <w:jc w:val="center"/>
              <w:rPr>
                <w:rFonts w:eastAsia="Times New Roman"/>
                <w:noProof/>
                <w:color w:val="006100"/>
                <w:sz w:val="18"/>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F528EFE"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D449EFC"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C93F500" w14:textId="77777777" w:rsidR="00615E2D" w:rsidRDefault="00C83E46">
            <w:pPr>
              <w:pStyle w:val="P68B1DB1-Normal11"/>
              <w:spacing w:line="240" w:lineRule="auto"/>
              <w:jc w:val="center"/>
              <w:rPr>
                <w:noProof/>
              </w:rPr>
            </w:pPr>
            <w:r>
              <w:rPr>
                <w:noProof/>
              </w:rPr>
              <w:t>2023</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32AD778" w14:textId="77777777" w:rsidR="00615E2D" w:rsidRDefault="00C83E46">
            <w:pPr>
              <w:pStyle w:val="P68B1DB1-Normal28"/>
              <w:spacing w:line="240" w:lineRule="auto"/>
              <w:rPr>
                <w:rFonts w:eastAsia="Times New Roman"/>
                <w:noProof/>
              </w:rPr>
            </w:pPr>
            <w:r>
              <w:rPr>
                <w:noProof/>
              </w:rPr>
              <w:t>Svi operateri javnog prijevoza (državni, regionalni i gradovi koji upravljaju javnim prijevozom) odobravaju petogodišnji plan usluga prijevoza koji se temelji na konceptu javnog prijevoza koji je odobrila vlada.</w:t>
            </w:r>
          </w:p>
        </w:tc>
      </w:tr>
      <w:tr w:rsidR="00615E2D" w14:paraId="337141D4"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D137D9A" w14:textId="77777777" w:rsidR="00615E2D" w:rsidRDefault="00C83E46">
            <w:pPr>
              <w:pStyle w:val="P68B1DB1-Normal28"/>
              <w:spacing w:line="240" w:lineRule="auto"/>
              <w:jc w:val="center"/>
              <w:rPr>
                <w:noProof/>
              </w:rPr>
            </w:pPr>
            <w:r>
              <w:rPr>
                <w:noProof/>
              </w:rPr>
              <w:t>81</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FC660AD" w14:textId="77777777" w:rsidR="00615E2D" w:rsidRDefault="00C83E46">
            <w:pPr>
              <w:pStyle w:val="P68B1DB1-Normal28"/>
              <w:spacing w:line="240" w:lineRule="auto"/>
              <w:rPr>
                <w:rFonts w:eastAsia="Times New Roman"/>
                <w:noProof/>
              </w:rPr>
            </w:pPr>
            <w:r>
              <w:rPr>
                <w:noProof/>
              </w:rPr>
              <w:t>Reforma 1.: Stvaranje alternativa za energetski i prostorno intenzivan cestovni promet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8779D9E"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FE6AF42" w14:textId="77777777" w:rsidR="00615E2D" w:rsidRDefault="00C83E46">
            <w:pPr>
              <w:pStyle w:val="P68B1DB1-Normal28"/>
              <w:spacing w:line="240" w:lineRule="auto"/>
              <w:rPr>
                <w:rFonts w:eastAsia="Times New Roman"/>
                <w:noProof/>
              </w:rPr>
            </w:pPr>
            <w:r>
              <w:rPr>
                <w:noProof/>
              </w:rPr>
              <w:t>Povećanje modalnog udjela javnog prijevoza u češkim gradovima većima od 250000 stanovnika i u češkim gradovima većima od 75000 stanovnika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DE504A"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BB1480" w14:textId="77777777" w:rsidR="00615E2D" w:rsidRDefault="00C83E46">
            <w:pPr>
              <w:pStyle w:val="P68B1DB1-Normal28"/>
              <w:spacing w:line="240" w:lineRule="auto"/>
              <w:rPr>
                <w:rFonts w:eastAsia="Times New Roman"/>
                <w:noProof/>
              </w:rPr>
            </w:pPr>
            <w:r>
              <w:rPr>
                <w:noProof/>
              </w:rPr>
              <w:t>% (modalni udio javnog prijevoza)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0E68BD" w14:textId="77777777" w:rsidR="00615E2D" w:rsidRDefault="00C83E46">
            <w:pPr>
              <w:pStyle w:val="P68B1DB1-Normal11"/>
              <w:spacing w:line="240" w:lineRule="auto"/>
              <w:jc w:val="center"/>
              <w:rPr>
                <w:noProof/>
              </w:rPr>
            </w:pPr>
            <w:r>
              <w:rPr>
                <w:noProof/>
              </w:rPr>
              <w:t>40 % u gradovima većima od 250000 stanovnika/28 % u gradovima većima od 75000 stanovnika</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5D4E66A" w14:textId="77777777" w:rsidR="00615E2D" w:rsidRDefault="00C83E46">
            <w:pPr>
              <w:pStyle w:val="P68B1DB1-Normal11"/>
              <w:spacing w:line="240" w:lineRule="auto"/>
              <w:jc w:val="center"/>
              <w:rPr>
                <w:noProof/>
              </w:rPr>
            </w:pPr>
            <w:r>
              <w:rPr>
                <w:noProof/>
              </w:rPr>
              <w:t>45 % u gradovima većima od 250000 stanovnika/35 % u gradovima većima od 75000 stanovnika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3983C7C"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5541EE" w14:textId="77777777" w:rsidR="00615E2D" w:rsidRDefault="00C83E46">
            <w:pPr>
              <w:pStyle w:val="P68B1DB1-Normal11"/>
              <w:spacing w:line="240" w:lineRule="auto"/>
              <w:jc w:val="center"/>
              <w:rPr>
                <w:noProof/>
              </w:rPr>
            </w:pPr>
            <w:r>
              <w:rPr>
                <w:noProof/>
              </w:rPr>
              <w:t>2025</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BCF1BFB" w14:textId="77777777" w:rsidR="00615E2D" w:rsidRDefault="00C83E46">
            <w:pPr>
              <w:pStyle w:val="P68B1DB1-Normal28"/>
              <w:spacing w:line="240" w:lineRule="auto"/>
              <w:rPr>
                <w:rFonts w:eastAsia="Times New Roman"/>
                <w:noProof/>
              </w:rPr>
            </w:pPr>
            <w:r>
              <w:rPr>
                <w:noProof/>
              </w:rPr>
              <w:t xml:space="preserve">Modalni udio javnog prijevoza u češkim gradovima većima od 250000 stanovnika i u češkim gradovima većima od 75000 stanovnika povećat će se za postotak objašnjen u stupcu s ciljevima. </w:t>
            </w:r>
          </w:p>
        </w:tc>
      </w:tr>
      <w:tr w:rsidR="00615E2D" w14:paraId="03B65D3F"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F72D19" w14:textId="77777777" w:rsidR="00615E2D" w:rsidRDefault="00C83E46">
            <w:pPr>
              <w:pStyle w:val="P68B1DB1-Normal28"/>
              <w:spacing w:line="240" w:lineRule="auto"/>
              <w:jc w:val="center"/>
              <w:rPr>
                <w:rFonts w:eastAsia="Times New Roman"/>
                <w:noProof/>
              </w:rPr>
            </w:pPr>
            <w:r>
              <w:rPr>
                <w:noProof/>
              </w:rPr>
              <w:t>82</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89CBB6" w14:textId="77777777" w:rsidR="00615E2D" w:rsidRDefault="00C83E46">
            <w:pPr>
              <w:pStyle w:val="P68B1DB1-Normal28"/>
              <w:spacing w:line="240" w:lineRule="auto"/>
              <w:rPr>
                <w:rFonts w:eastAsia="Times New Roman"/>
                <w:noProof/>
              </w:rPr>
            </w:pPr>
            <w:r>
              <w:rPr>
                <w:noProof/>
              </w:rPr>
              <w:t>Reforma 1.: Stvaranje alternativa za energetski i prostorno intenzivan cestovni promet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C58BE5D"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8BC6EF" w14:textId="77777777" w:rsidR="00615E2D" w:rsidRDefault="00C83E46">
            <w:pPr>
              <w:pStyle w:val="P68B1DB1-Normal28"/>
              <w:spacing w:line="240" w:lineRule="auto"/>
              <w:rPr>
                <w:rFonts w:eastAsia="Times New Roman"/>
                <w:noProof/>
              </w:rPr>
            </w:pPr>
            <w:r>
              <w:rPr>
                <w:noProof/>
              </w:rPr>
              <w:t>Povećanje modalnog udjela biciklizma u češkim gradovima većima od 250000 stanovnika i u češkim gradovima većima od 75000 stanovnika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45B8DCC"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75BB62E" w14:textId="77777777" w:rsidR="00615E2D" w:rsidRDefault="00C83E46">
            <w:pPr>
              <w:pStyle w:val="P68B1DB1-Normal28"/>
              <w:spacing w:line="240" w:lineRule="auto"/>
              <w:rPr>
                <w:rFonts w:eastAsia="Times New Roman"/>
                <w:noProof/>
              </w:rPr>
            </w:pPr>
            <w:r>
              <w:rPr>
                <w:noProof/>
              </w:rPr>
              <w:t>% (modalni udio biciklizma)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468F248" w14:textId="77777777" w:rsidR="00615E2D" w:rsidRDefault="00C83E46">
            <w:pPr>
              <w:pStyle w:val="P68B1DB1-Normal11"/>
              <w:spacing w:line="240" w:lineRule="auto"/>
              <w:jc w:val="center"/>
              <w:rPr>
                <w:noProof/>
              </w:rPr>
            </w:pPr>
            <w:r>
              <w:rPr>
                <w:noProof/>
              </w:rPr>
              <w:t>1 % u gradovima većima od 250000 stanovnika/5 % u gradovima većima od 75000 stanovnika</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9237978" w14:textId="77777777" w:rsidR="00615E2D" w:rsidRDefault="00C83E46">
            <w:pPr>
              <w:pStyle w:val="P68B1DB1-Normal11"/>
              <w:spacing w:line="240" w:lineRule="auto"/>
              <w:jc w:val="center"/>
              <w:rPr>
                <w:noProof/>
              </w:rPr>
            </w:pPr>
            <w:r>
              <w:rPr>
                <w:noProof/>
              </w:rPr>
              <w:t>5 % u gradovima s više od 250000 stanovnika/10 % gradova s više od 75000 stanovnika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0F7A4BF"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777F70C" w14:textId="77777777" w:rsidR="00615E2D" w:rsidRDefault="00C83E46">
            <w:pPr>
              <w:pStyle w:val="P68B1DB1-Normal11"/>
              <w:spacing w:line="240" w:lineRule="auto"/>
              <w:jc w:val="center"/>
              <w:rPr>
                <w:noProof/>
              </w:rPr>
            </w:pPr>
            <w:r>
              <w:rPr>
                <w:noProof/>
              </w:rPr>
              <w:t>2025</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04D6207" w14:textId="77777777" w:rsidR="00615E2D" w:rsidRDefault="00C83E46">
            <w:pPr>
              <w:pStyle w:val="P68B1DB1-Normal28"/>
              <w:spacing w:line="240" w:lineRule="auto"/>
              <w:rPr>
                <w:rFonts w:eastAsia="Times New Roman"/>
                <w:noProof/>
              </w:rPr>
            </w:pPr>
            <w:r>
              <w:rPr>
                <w:noProof/>
              </w:rPr>
              <w:t>Modalni udio biciklizma u češkim gradovima većima od 250000 stanovnika i u češkim gradovima većima od 75000 stanovnika povećava se za postotak objašnjen u stupcu s ciljevima.</w:t>
            </w:r>
          </w:p>
        </w:tc>
      </w:tr>
      <w:tr w:rsidR="00615E2D" w14:paraId="2CD34970"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623DDEE" w14:textId="77777777" w:rsidR="00615E2D" w:rsidRDefault="00C83E46">
            <w:pPr>
              <w:pStyle w:val="P68B1DB1-Normal28"/>
              <w:spacing w:line="259" w:lineRule="auto"/>
              <w:jc w:val="center"/>
              <w:rPr>
                <w:noProof/>
              </w:rPr>
            </w:pPr>
            <w:r>
              <w:rPr>
                <w:noProof/>
              </w:rPr>
              <w:t>83</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05B51A" w14:textId="77777777" w:rsidR="00615E2D" w:rsidRDefault="00C83E46">
            <w:pPr>
              <w:pStyle w:val="P68B1DB1-Normal28"/>
              <w:spacing w:line="259" w:lineRule="auto"/>
              <w:rPr>
                <w:noProof/>
              </w:rPr>
            </w:pPr>
            <w:r>
              <w:rPr>
                <w:noProof/>
              </w:rPr>
              <w:t>Ulaganje 1: Nove tehnologije i digitalizacija željezničke infrastrukture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B015E6A" w14:textId="77777777" w:rsidR="00615E2D" w:rsidRDefault="00C83E46">
            <w:pPr>
              <w:pStyle w:val="P68B1DB1-Normal28"/>
              <w:spacing w:line="259" w:lineRule="auto"/>
              <w:rPr>
                <w:noProof/>
              </w:rPr>
            </w:pPr>
            <w:r>
              <w:rPr>
                <w:noProof/>
              </w:rPr>
              <w:t>Prekretnica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8FFCA5" w14:textId="77777777" w:rsidR="00615E2D" w:rsidRDefault="00C83E46">
            <w:pPr>
              <w:pStyle w:val="P68B1DB1-Normal28"/>
              <w:spacing w:line="259" w:lineRule="auto"/>
              <w:rPr>
                <w:noProof/>
              </w:rPr>
            </w:pPr>
            <w:r>
              <w:rPr>
                <w:noProof/>
              </w:rPr>
              <w:t>Definicija skupa projekata za ulaganje 1</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4DC349C" w14:textId="77777777" w:rsidR="00615E2D" w:rsidRDefault="00C83E46">
            <w:pPr>
              <w:pStyle w:val="P68B1DB1-Normal28"/>
              <w:spacing w:line="259" w:lineRule="auto"/>
              <w:rPr>
                <w:noProof/>
              </w:rPr>
            </w:pPr>
            <w:r>
              <w:rPr>
                <w:noProof/>
              </w:rPr>
              <w:t>Definicija skupa projekata od strane Ministarstva prometa</w:t>
            </w: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EDB2961" w14:textId="77777777" w:rsidR="00615E2D" w:rsidRDefault="00615E2D">
            <w:pPr>
              <w:spacing w:line="259" w:lineRule="auto"/>
              <w:rPr>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8CF2682" w14:textId="77777777" w:rsidR="00615E2D" w:rsidRDefault="00615E2D">
            <w:pPr>
              <w:spacing w:line="259" w:lineRule="auto"/>
              <w:rPr>
                <w:noProof/>
                <w:color w:val="006100"/>
                <w:sz w:val="18"/>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E0532E1" w14:textId="77777777" w:rsidR="00615E2D" w:rsidRDefault="00615E2D">
            <w:pPr>
              <w:spacing w:line="259" w:lineRule="auto"/>
              <w:rPr>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87D998F" w14:textId="77777777" w:rsidR="00615E2D" w:rsidRDefault="00C83E46">
            <w:pPr>
              <w:pStyle w:val="P68B1DB1-Normal28"/>
              <w:spacing w:line="259" w:lineRule="auto"/>
              <w:jc w:val="center"/>
              <w:rPr>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578E928" w14:textId="77777777" w:rsidR="00615E2D" w:rsidRDefault="00C83E46">
            <w:pPr>
              <w:pStyle w:val="P68B1DB1-Normal28"/>
              <w:spacing w:line="259" w:lineRule="auto"/>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954DB7" w14:textId="77777777" w:rsidR="00615E2D" w:rsidRDefault="00C83E46">
            <w:pPr>
              <w:pStyle w:val="P68B1DB1-Normal28"/>
              <w:spacing w:line="240" w:lineRule="auto"/>
              <w:rPr>
                <w:noProof/>
              </w:rPr>
            </w:pPr>
            <w:r>
              <w:rPr>
                <w:noProof/>
              </w:rPr>
              <w:t>Definicija skupa projekata od 41 km pruga obuhvaćenih Globalnim sustavom pokretnih komunikacija – Željeznica (GSM-R), 20 novougrađenih ili pouzdanijih baznih primopredajnih postaja (BTS) i uvođenje novih tehnologija i opreme za upravljanje željezničkim prometom.</w:t>
            </w:r>
          </w:p>
        </w:tc>
      </w:tr>
      <w:tr w:rsidR="00615E2D" w14:paraId="632192A8"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B50D01" w14:textId="77777777" w:rsidR="00615E2D" w:rsidRDefault="00C83E46">
            <w:pPr>
              <w:pStyle w:val="P68B1DB1-Normal28"/>
              <w:spacing w:line="240" w:lineRule="auto"/>
              <w:jc w:val="center"/>
              <w:rPr>
                <w:noProof/>
              </w:rPr>
            </w:pPr>
            <w:r>
              <w:rPr>
                <w:noProof/>
              </w:rPr>
              <w:t>84</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CC0A57E" w14:textId="77777777" w:rsidR="00615E2D" w:rsidRDefault="00C83E46">
            <w:pPr>
              <w:pStyle w:val="P68B1DB1-Normal28"/>
              <w:spacing w:line="240" w:lineRule="auto"/>
              <w:rPr>
                <w:rFonts w:eastAsia="Times New Roman"/>
                <w:noProof/>
              </w:rPr>
            </w:pPr>
            <w:r>
              <w:rPr>
                <w:noProof/>
              </w:rPr>
              <w:t>Ulaganje 1: Nove tehnologije i digitalizacija željezničke infrastrukture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599D394"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9569188" w14:textId="77777777" w:rsidR="00615E2D" w:rsidRDefault="00C83E46">
            <w:pPr>
              <w:pStyle w:val="P68B1DB1-Normal28"/>
              <w:spacing w:line="240" w:lineRule="auto"/>
              <w:rPr>
                <w:rFonts w:eastAsia="Times New Roman"/>
                <w:noProof/>
              </w:rPr>
            </w:pPr>
            <w:r>
              <w:rPr>
                <w:noProof/>
              </w:rPr>
              <w:t>Završetak dvaju projekata iz unaprijed definiranog skupa projekata.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19F42A"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3B89625" w14:textId="77777777" w:rsidR="00615E2D" w:rsidRDefault="00C83E46">
            <w:pPr>
              <w:pStyle w:val="P68B1DB1-Normal28"/>
              <w:spacing w:line="240" w:lineRule="auto"/>
              <w:rPr>
                <w:rFonts w:eastAsia="Times New Roman"/>
                <w:noProof/>
              </w:rPr>
            </w:pPr>
            <w:r>
              <w:rPr>
                <w:noProof/>
              </w:rPr>
              <w:t>Broj projekata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B64EDB3" w14:textId="77777777" w:rsidR="00615E2D" w:rsidRDefault="00C83E46">
            <w:pPr>
              <w:pStyle w:val="P68B1DB1-Normal11"/>
              <w:spacing w:line="240" w:lineRule="auto"/>
              <w:jc w:val="center"/>
              <w:rPr>
                <w:noProof/>
              </w:rPr>
            </w:pPr>
            <w:r>
              <w:rPr>
                <w:noProof/>
              </w:rPr>
              <w:t>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FFA0DB" w14:textId="77777777" w:rsidR="00615E2D" w:rsidRDefault="00C83E46">
            <w:pPr>
              <w:pStyle w:val="P68B1DB1-Normal11"/>
              <w:spacing w:line="240" w:lineRule="auto"/>
              <w:jc w:val="center"/>
              <w:rPr>
                <w:noProof/>
              </w:rPr>
            </w:pPr>
            <w:r>
              <w:rPr>
                <w:noProof/>
              </w:rPr>
              <w:t>2</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ECAA735" w14:textId="77777777" w:rsidR="00615E2D" w:rsidRDefault="00C83E46">
            <w:pPr>
              <w:pStyle w:val="P68B1DB1-Normal28"/>
              <w:spacing w:line="240" w:lineRule="auto"/>
              <w:jc w:val="center"/>
              <w:rPr>
                <w:rFonts w:eastAsia="Times New Roman"/>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F7D7831" w14:textId="77777777" w:rsidR="00615E2D" w:rsidRDefault="00C83E46">
            <w:pPr>
              <w:pStyle w:val="P68B1DB1-Normal11"/>
              <w:spacing w:line="240" w:lineRule="auto"/>
              <w:jc w:val="center"/>
              <w:rPr>
                <w:noProof/>
              </w:rPr>
            </w:pPr>
            <w:r>
              <w:rPr>
                <w:noProof/>
              </w:rPr>
              <w:t>2024</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B78C4C4" w14:textId="77777777" w:rsidR="00615E2D" w:rsidRDefault="00C83E46">
            <w:pPr>
              <w:pStyle w:val="P68B1DB1-Normal28"/>
              <w:spacing w:line="240" w:lineRule="auto"/>
              <w:rPr>
                <w:rFonts w:eastAsia="Times New Roman"/>
                <w:noProof/>
              </w:rPr>
            </w:pPr>
            <w:r>
              <w:rPr>
                <w:noProof/>
              </w:rPr>
              <w:t>Završetak dvaju projekata iz unaprijed definiranog skupa projekata od 41 km pruga obuhvaćenih Globalnim sustavom pokretnih komunikacija – Željeznica (GSM-R), 20 novougrađenih ili pouzdanijih baznih primopredajnih postaja (BTS) i uvođenje novih tehnologija i opreme za upravljanje željezničkim prometom.</w:t>
            </w:r>
          </w:p>
        </w:tc>
      </w:tr>
      <w:tr w:rsidR="00615E2D" w14:paraId="4F33EE24"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040FD3" w14:textId="77777777" w:rsidR="00615E2D" w:rsidRDefault="00C83E46">
            <w:pPr>
              <w:pStyle w:val="P68B1DB1-Normal28"/>
              <w:spacing w:line="240" w:lineRule="auto"/>
              <w:jc w:val="center"/>
              <w:rPr>
                <w:noProof/>
              </w:rPr>
            </w:pPr>
            <w:r>
              <w:rPr>
                <w:noProof/>
              </w:rPr>
              <w:t>85</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DFCE7F" w14:textId="77777777" w:rsidR="00615E2D" w:rsidRDefault="00C83E46">
            <w:pPr>
              <w:pStyle w:val="P68B1DB1-Normal28"/>
              <w:spacing w:line="240" w:lineRule="auto"/>
              <w:rPr>
                <w:rFonts w:eastAsia="Times New Roman"/>
                <w:noProof/>
              </w:rPr>
            </w:pPr>
            <w:r>
              <w:rPr>
                <w:noProof/>
              </w:rPr>
              <w:t>Ulaganje 1: Nove tehnologije i digitalizacija željezničke infrastrukture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D01A47F"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310651E" w14:textId="77777777" w:rsidR="00615E2D" w:rsidRDefault="00C83E46">
            <w:pPr>
              <w:pStyle w:val="P68B1DB1-Normal28"/>
              <w:spacing w:line="240" w:lineRule="auto"/>
              <w:rPr>
                <w:rFonts w:eastAsia="Times New Roman"/>
                <w:noProof/>
              </w:rPr>
            </w:pPr>
            <w:r>
              <w:rPr>
                <w:noProof/>
              </w:rPr>
              <w:t>Završetak šest dodatnih projekata iz unaprijed definiranog skupa projekata.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040698"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07DAEC4" w14:textId="77777777" w:rsidR="00615E2D" w:rsidRDefault="00C83E46">
            <w:pPr>
              <w:pStyle w:val="P68B1DB1-Normal28"/>
              <w:spacing w:line="240" w:lineRule="auto"/>
              <w:rPr>
                <w:rFonts w:eastAsia="Times New Roman"/>
                <w:noProof/>
              </w:rPr>
            </w:pPr>
            <w:r>
              <w:rPr>
                <w:noProof/>
              </w:rPr>
              <w:t>Broj projekata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A65BDC" w14:textId="77777777" w:rsidR="00615E2D" w:rsidRDefault="00C83E46">
            <w:pPr>
              <w:pStyle w:val="P68B1DB1-Normal11"/>
              <w:spacing w:line="240" w:lineRule="auto"/>
              <w:jc w:val="center"/>
              <w:rPr>
                <w:noProof/>
              </w:rPr>
            </w:pPr>
            <w:r>
              <w:rPr>
                <w:noProof/>
              </w:rPr>
              <w:t>2</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1EEBC6" w14:textId="77777777" w:rsidR="00615E2D" w:rsidRDefault="00C83E46">
            <w:pPr>
              <w:pStyle w:val="P68B1DB1-Normal11"/>
              <w:spacing w:line="240" w:lineRule="auto"/>
              <w:jc w:val="center"/>
              <w:rPr>
                <w:noProof/>
              </w:rPr>
            </w:pPr>
            <w:r>
              <w:rPr>
                <w:noProof/>
              </w:rPr>
              <w:t>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47F780"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DEECAE8" w14:textId="77777777" w:rsidR="00615E2D" w:rsidRDefault="00C83E46">
            <w:pPr>
              <w:pStyle w:val="P68B1DB1-Normal11"/>
              <w:spacing w:line="240" w:lineRule="auto"/>
              <w:jc w:val="center"/>
              <w:rPr>
                <w:noProof/>
              </w:rPr>
            </w:pPr>
            <w:r>
              <w:rPr>
                <w:noProof/>
              </w:rPr>
              <w:t>2024</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CEB0538" w14:textId="77777777" w:rsidR="00615E2D" w:rsidRDefault="00C83E46">
            <w:pPr>
              <w:pStyle w:val="P68B1DB1-Normal28"/>
              <w:spacing w:line="240" w:lineRule="auto"/>
              <w:rPr>
                <w:rFonts w:eastAsia="Times New Roman"/>
                <w:noProof/>
              </w:rPr>
            </w:pPr>
            <w:r>
              <w:rPr>
                <w:noProof/>
              </w:rPr>
              <w:t>Završetak šest dodatnih projekata (ukupno 8) iz unaprijed definiranog skupa projekata od 41 km pruga obuhvaćenih Globalnim sustavom pokretnih komunikacija – Željeznica (GSM-R), 20 novougrađenih ili pouzdanijih baznih primopredajnih postaja (BTS) i uvođenje novih tehnologija i opreme za upravljanje željezničkim prometom.</w:t>
            </w:r>
          </w:p>
        </w:tc>
      </w:tr>
      <w:tr w:rsidR="00615E2D" w14:paraId="2B92C4EB" w14:textId="77777777">
        <w:trPr>
          <w:trHeight w:val="298"/>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643A8C8" w14:textId="77777777" w:rsidR="00615E2D" w:rsidRDefault="00C83E46">
            <w:pPr>
              <w:pStyle w:val="P68B1DB1-Normal28"/>
              <w:spacing w:line="259" w:lineRule="auto"/>
              <w:jc w:val="center"/>
              <w:rPr>
                <w:noProof/>
              </w:rPr>
            </w:pPr>
            <w:r>
              <w:rPr>
                <w:noProof/>
              </w:rPr>
              <w:t>86</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CAEC1FF" w14:textId="77777777" w:rsidR="00615E2D" w:rsidRDefault="00C83E46">
            <w:pPr>
              <w:pStyle w:val="P68B1DB1-Normal28"/>
              <w:spacing w:line="259" w:lineRule="auto"/>
              <w:rPr>
                <w:noProof/>
              </w:rPr>
            </w:pPr>
            <w:r>
              <w:rPr>
                <w:noProof/>
              </w:rPr>
              <w:t>Ulaganje 2: Elektrifikacija željeznica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55161A" w14:textId="77777777" w:rsidR="00615E2D" w:rsidRDefault="00C83E46">
            <w:pPr>
              <w:pStyle w:val="P68B1DB1-Normal28"/>
              <w:spacing w:line="259" w:lineRule="auto"/>
              <w:rPr>
                <w:noProof/>
              </w:rPr>
            </w:pPr>
            <w:r>
              <w:rPr>
                <w:noProof/>
              </w:rPr>
              <w:t>Prekretnica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63D9B58" w14:textId="77777777" w:rsidR="00615E2D" w:rsidRDefault="00C83E46">
            <w:pPr>
              <w:pStyle w:val="P68B1DB1-Normal28"/>
              <w:spacing w:line="259" w:lineRule="auto"/>
              <w:rPr>
                <w:noProof/>
              </w:rPr>
            </w:pPr>
            <w:r>
              <w:rPr>
                <w:noProof/>
              </w:rPr>
              <w:t>Definicija skupa projekata za ulaganje 2</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47D45C6" w14:textId="77777777" w:rsidR="00615E2D" w:rsidRDefault="00C83E46">
            <w:pPr>
              <w:pStyle w:val="P68B1DB1-Normal28"/>
              <w:spacing w:line="259" w:lineRule="auto"/>
              <w:rPr>
                <w:noProof/>
              </w:rPr>
            </w:pPr>
            <w:r>
              <w:rPr>
                <w:noProof/>
              </w:rPr>
              <w:t>Definicija skupa projekata od strane Ministarstva prometa</w:t>
            </w: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EAAFB9" w14:textId="77777777" w:rsidR="00615E2D" w:rsidRDefault="00615E2D">
            <w:pPr>
              <w:spacing w:line="259" w:lineRule="auto"/>
              <w:jc w:val="center"/>
              <w:rPr>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640A2C" w14:textId="77777777" w:rsidR="00615E2D" w:rsidRDefault="00615E2D">
            <w:pPr>
              <w:spacing w:line="259" w:lineRule="auto"/>
              <w:jc w:val="center"/>
              <w:rPr>
                <w:noProof/>
                <w:color w:val="006100"/>
                <w:sz w:val="18"/>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AE71C24" w14:textId="77777777" w:rsidR="00615E2D" w:rsidRDefault="00615E2D">
            <w:pPr>
              <w:spacing w:line="259" w:lineRule="auto"/>
              <w:jc w:val="center"/>
              <w:rPr>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F2F68F7" w14:textId="77777777" w:rsidR="00615E2D" w:rsidRDefault="00C83E46">
            <w:pPr>
              <w:pStyle w:val="P68B1DB1-Normal28"/>
              <w:spacing w:line="259" w:lineRule="auto"/>
              <w:jc w:val="center"/>
              <w:rPr>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8DACE67" w14:textId="77777777" w:rsidR="00615E2D" w:rsidRDefault="00C83E46">
            <w:pPr>
              <w:pStyle w:val="P68B1DB1-Normal28"/>
              <w:spacing w:line="259" w:lineRule="auto"/>
              <w:jc w:val="center"/>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D2D3D3A" w14:textId="77777777" w:rsidR="00615E2D" w:rsidRDefault="00C83E46">
            <w:pPr>
              <w:pStyle w:val="P68B1DB1-Normal28"/>
              <w:spacing w:line="259" w:lineRule="auto"/>
              <w:rPr>
                <w:noProof/>
              </w:rPr>
            </w:pPr>
            <w:r>
              <w:rPr>
                <w:noProof/>
              </w:rPr>
              <w:t>Definicija niza projekata koji se sastoje od 39,7 km elektrificiranih vodova i 4 priključne pogonske stanice s povećanom potrošnjom energije ili novoizgrađene.</w:t>
            </w:r>
          </w:p>
        </w:tc>
      </w:tr>
      <w:tr w:rsidR="00615E2D" w14:paraId="2111B60D"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89945F6" w14:textId="77777777" w:rsidR="00615E2D" w:rsidRDefault="00C83E46">
            <w:pPr>
              <w:pStyle w:val="P68B1DB1-Normal28"/>
              <w:spacing w:line="259" w:lineRule="auto"/>
              <w:jc w:val="center"/>
              <w:rPr>
                <w:noProof/>
              </w:rPr>
            </w:pPr>
            <w:r>
              <w:rPr>
                <w:noProof/>
              </w:rPr>
              <w:t>87</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B1DB8FE" w14:textId="77777777" w:rsidR="00615E2D" w:rsidRDefault="00C83E46">
            <w:pPr>
              <w:pStyle w:val="P68B1DB1-Normal28"/>
              <w:spacing w:line="240" w:lineRule="auto"/>
              <w:rPr>
                <w:rFonts w:eastAsia="Times New Roman"/>
                <w:noProof/>
              </w:rPr>
            </w:pPr>
            <w:r>
              <w:rPr>
                <w:noProof/>
              </w:rPr>
              <w:t>Ulaganje 2: Elektrifikacija željeznica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4EE52D"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3BAE7C1" w14:textId="77777777" w:rsidR="00615E2D" w:rsidRDefault="00C83E46">
            <w:pPr>
              <w:pStyle w:val="P68B1DB1-Normal28"/>
              <w:spacing w:line="240" w:lineRule="auto"/>
              <w:rPr>
                <w:rFonts w:eastAsia="Times New Roman"/>
                <w:noProof/>
              </w:rPr>
            </w:pPr>
            <w:r>
              <w:rPr>
                <w:noProof/>
              </w:rPr>
              <w:t xml:space="preserve">Završetak dvaju projekata iz unaprijed definiranog skupa projekata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459D36C"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51096D2" w14:textId="77777777" w:rsidR="00615E2D" w:rsidRDefault="00C83E46">
            <w:pPr>
              <w:pStyle w:val="P68B1DB1-Normal28"/>
              <w:spacing w:line="240" w:lineRule="auto"/>
              <w:rPr>
                <w:rFonts w:eastAsia="Times New Roman"/>
                <w:noProof/>
              </w:rPr>
            </w:pPr>
            <w:r>
              <w:rPr>
                <w:noProof/>
              </w:rPr>
              <w:t>Broj projekata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76E627" w14:textId="77777777" w:rsidR="00615E2D" w:rsidRDefault="00C83E46">
            <w:pPr>
              <w:pStyle w:val="P68B1DB1-Normal11"/>
              <w:spacing w:line="240" w:lineRule="auto"/>
              <w:jc w:val="center"/>
              <w:rPr>
                <w:noProof/>
              </w:rPr>
            </w:pPr>
            <w:r>
              <w:rPr>
                <w:noProof/>
              </w:rPr>
              <w:t>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686DA4" w14:textId="77777777" w:rsidR="00615E2D" w:rsidRDefault="00C83E46">
            <w:pPr>
              <w:pStyle w:val="P68B1DB1-Normal11"/>
              <w:spacing w:line="240" w:lineRule="auto"/>
              <w:jc w:val="center"/>
              <w:rPr>
                <w:noProof/>
              </w:rPr>
            </w:pPr>
            <w:r>
              <w:rPr>
                <w:noProof/>
              </w:rPr>
              <w:t>2</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542EFA4" w14:textId="77777777" w:rsidR="00615E2D" w:rsidRDefault="00C83E46">
            <w:pPr>
              <w:pStyle w:val="P68B1DB1-Normal28"/>
              <w:spacing w:line="240" w:lineRule="auto"/>
              <w:jc w:val="center"/>
              <w:rPr>
                <w:rFonts w:eastAsia="Times New Roman"/>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3F02FDB" w14:textId="77777777" w:rsidR="00615E2D" w:rsidRDefault="00C83E46">
            <w:pPr>
              <w:pStyle w:val="P68B1DB1-Normal11"/>
              <w:spacing w:line="240" w:lineRule="auto"/>
              <w:jc w:val="center"/>
              <w:rPr>
                <w:noProof/>
              </w:rPr>
            </w:pPr>
            <w:r>
              <w:rPr>
                <w:noProof/>
              </w:rPr>
              <w:t>2023</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068D721" w14:textId="77777777" w:rsidR="00615E2D" w:rsidRDefault="00C83E46">
            <w:pPr>
              <w:pStyle w:val="P68B1DB1-Normal28"/>
              <w:spacing w:line="240" w:lineRule="auto"/>
              <w:rPr>
                <w:rFonts w:eastAsia="Times New Roman"/>
                <w:noProof/>
              </w:rPr>
            </w:pPr>
            <w:r>
              <w:rPr>
                <w:noProof/>
              </w:rPr>
              <w:t>Završetak dvaju projekata iz unaprijed definiranog skupa projekata koji se sastoje od 39,7 km elektrificiranih pruga i 4 vučne priključne stanice s povećanom potrošnjom energije ili novoizgrađene.</w:t>
            </w:r>
          </w:p>
        </w:tc>
      </w:tr>
      <w:tr w:rsidR="00615E2D" w14:paraId="273C5916"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F81D8E1" w14:textId="77777777" w:rsidR="00615E2D" w:rsidRDefault="00C83E46">
            <w:pPr>
              <w:pStyle w:val="P68B1DB1-Normal28"/>
              <w:spacing w:line="240" w:lineRule="auto"/>
              <w:jc w:val="center"/>
              <w:rPr>
                <w:noProof/>
              </w:rPr>
            </w:pPr>
            <w:r>
              <w:rPr>
                <w:noProof/>
              </w:rPr>
              <w:t>88</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36A0681" w14:textId="77777777" w:rsidR="00615E2D" w:rsidRDefault="00C83E46">
            <w:pPr>
              <w:pStyle w:val="P68B1DB1-Normal28"/>
              <w:spacing w:line="240" w:lineRule="auto"/>
              <w:rPr>
                <w:rFonts w:eastAsia="Times New Roman"/>
                <w:noProof/>
              </w:rPr>
            </w:pPr>
            <w:r>
              <w:rPr>
                <w:noProof/>
              </w:rPr>
              <w:t>Ulaganje 2: Elektrifikacija željeznica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58869BD"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D4D60A3" w14:textId="77777777" w:rsidR="00615E2D" w:rsidRDefault="00C83E46">
            <w:pPr>
              <w:pStyle w:val="P68B1DB1-Normal28"/>
              <w:spacing w:line="240" w:lineRule="auto"/>
              <w:rPr>
                <w:rFonts w:eastAsia="Times New Roman"/>
                <w:noProof/>
              </w:rPr>
            </w:pPr>
            <w:r>
              <w:rPr>
                <w:noProof/>
              </w:rPr>
              <w:t xml:space="preserve">Završetak šest dodatnih projekata iz unaprijed definiranog skupa projekata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C81130C"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EC4984A" w14:textId="77777777" w:rsidR="00615E2D" w:rsidRDefault="00C83E46">
            <w:pPr>
              <w:pStyle w:val="P68B1DB1-Normal28"/>
              <w:spacing w:line="240" w:lineRule="auto"/>
              <w:rPr>
                <w:rFonts w:eastAsia="Times New Roman"/>
                <w:noProof/>
              </w:rPr>
            </w:pPr>
            <w:r>
              <w:rPr>
                <w:noProof/>
              </w:rPr>
              <w:t>Broj projekata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131C10" w14:textId="77777777" w:rsidR="00615E2D" w:rsidRDefault="00C83E46">
            <w:pPr>
              <w:pStyle w:val="P68B1DB1-Normal11"/>
              <w:spacing w:line="240" w:lineRule="auto"/>
              <w:jc w:val="center"/>
              <w:rPr>
                <w:noProof/>
              </w:rPr>
            </w:pPr>
            <w:r>
              <w:rPr>
                <w:noProof/>
              </w:rPr>
              <w:t>2</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2848BC" w14:textId="77777777" w:rsidR="00615E2D" w:rsidRDefault="00C83E46">
            <w:pPr>
              <w:pStyle w:val="P68B1DB1-Normal11"/>
              <w:spacing w:line="240" w:lineRule="auto"/>
              <w:jc w:val="center"/>
              <w:rPr>
                <w:noProof/>
              </w:rPr>
            </w:pPr>
            <w:r>
              <w:rPr>
                <w:noProof/>
              </w:rPr>
              <w:t>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B7B339B" w14:textId="77777777" w:rsidR="00615E2D" w:rsidRDefault="00C83E46">
            <w:pPr>
              <w:pStyle w:val="P68B1DB1-Normal28"/>
              <w:spacing w:line="240" w:lineRule="auto"/>
              <w:jc w:val="center"/>
              <w:rPr>
                <w:rFonts w:eastAsia="Times New Roman"/>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779CF2" w14:textId="77777777" w:rsidR="00615E2D" w:rsidRDefault="00C83E46">
            <w:pPr>
              <w:pStyle w:val="P68B1DB1-Normal11"/>
              <w:spacing w:line="240" w:lineRule="auto"/>
              <w:jc w:val="center"/>
              <w:rPr>
                <w:noProof/>
              </w:rPr>
            </w:pPr>
            <w:r>
              <w:rPr>
                <w:noProof/>
              </w:rPr>
              <w:t>2024</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CCCF60" w14:textId="73784E9A" w:rsidR="00615E2D" w:rsidRDefault="00C83E46">
            <w:pPr>
              <w:pStyle w:val="P68B1DB1-Normal28"/>
              <w:spacing w:line="240" w:lineRule="auto"/>
              <w:rPr>
                <w:rFonts w:eastAsia="Times New Roman"/>
                <w:noProof/>
              </w:rPr>
            </w:pPr>
            <w:r>
              <w:rPr>
                <w:noProof/>
              </w:rPr>
              <w:t>Završetak šest dodatnih projekata (ukupno 8) iz unaprijed definiranog niza projekata koji obuhvaćaju 39,7 km elektrificiranih pruga i četiri priključne pogonske stanice s povećanom potrošnjom energije ili novoizgrađene.</w:t>
            </w:r>
          </w:p>
        </w:tc>
      </w:tr>
      <w:tr w:rsidR="00615E2D" w14:paraId="67063508"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1327835" w14:textId="77777777" w:rsidR="00615E2D" w:rsidRDefault="00C83E46">
            <w:pPr>
              <w:pStyle w:val="P68B1DB1-Normal28"/>
              <w:spacing w:line="259" w:lineRule="auto"/>
              <w:jc w:val="center"/>
              <w:rPr>
                <w:noProof/>
              </w:rPr>
            </w:pPr>
            <w:r>
              <w:rPr>
                <w:noProof/>
              </w:rPr>
              <w:t>89</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3A7394" w14:textId="77777777" w:rsidR="00615E2D" w:rsidRDefault="00C83E46">
            <w:pPr>
              <w:pStyle w:val="P68B1DB1-Normal28"/>
              <w:spacing w:line="259" w:lineRule="auto"/>
              <w:rPr>
                <w:noProof/>
              </w:rPr>
            </w:pPr>
            <w:r>
              <w:rPr>
                <w:noProof/>
              </w:rPr>
              <w:t>Ulaganje 3: Poboljšanje okoliša (potpora željezničkoj infrastrukturi)</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570C4F1" w14:textId="77777777" w:rsidR="00615E2D" w:rsidRDefault="00C83E46">
            <w:pPr>
              <w:pStyle w:val="P68B1DB1-Normal28"/>
              <w:spacing w:line="259" w:lineRule="auto"/>
              <w:rPr>
                <w:noProof/>
              </w:rPr>
            </w:pPr>
            <w:r>
              <w:rPr>
                <w:noProof/>
              </w:rPr>
              <w:t>Prekretnica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24012AA" w14:textId="77777777" w:rsidR="00615E2D" w:rsidRDefault="00C83E46">
            <w:pPr>
              <w:pStyle w:val="P68B1DB1-Normal28"/>
              <w:spacing w:line="259" w:lineRule="auto"/>
              <w:rPr>
                <w:noProof/>
              </w:rPr>
            </w:pPr>
            <w:r>
              <w:rPr>
                <w:noProof/>
              </w:rPr>
              <w:t>Definicija skupa projekata za ulaganje 3</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F18D7AE" w14:textId="77777777" w:rsidR="00615E2D" w:rsidRDefault="00C83E46">
            <w:pPr>
              <w:pStyle w:val="P68B1DB1-Normal28"/>
              <w:spacing w:line="259" w:lineRule="auto"/>
              <w:rPr>
                <w:noProof/>
              </w:rPr>
            </w:pPr>
            <w:r>
              <w:rPr>
                <w:noProof/>
              </w:rPr>
              <w:t>Definicija skupa projekata od strane Ministarstva prometa</w:t>
            </w: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716F278" w14:textId="77777777" w:rsidR="00615E2D" w:rsidRDefault="00615E2D">
            <w:pPr>
              <w:spacing w:line="259" w:lineRule="auto"/>
              <w:jc w:val="center"/>
              <w:rPr>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660D1A4" w14:textId="77777777" w:rsidR="00615E2D" w:rsidRDefault="00615E2D">
            <w:pPr>
              <w:spacing w:line="259" w:lineRule="auto"/>
              <w:jc w:val="center"/>
              <w:rPr>
                <w:noProof/>
                <w:color w:val="006100"/>
                <w:sz w:val="18"/>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B575792" w14:textId="77777777" w:rsidR="00615E2D" w:rsidRDefault="00615E2D">
            <w:pPr>
              <w:spacing w:line="259" w:lineRule="auto"/>
              <w:jc w:val="center"/>
              <w:rPr>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C75175" w14:textId="77777777" w:rsidR="00615E2D" w:rsidRDefault="00C83E46">
            <w:pPr>
              <w:pStyle w:val="P68B1DB1-Normal28"/>
              <w:spacing w:line="259" w:lineRule="auto"/>
              <w:jc w:val="center"/>
              <w:rPr>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98CD20B" w14:textId="77777777" w:rsidR="00615E2D" w:rsidRDefault="00C83E46">
            <w:pPr>
              <w:pStyle w:val="P68B1DB1-Normal28"/>
              <w:spacing w:line="259" w:lineRule="auto"/>
              <w:jc w:val="center"/>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A62AFFC" w14:textId="47A91D17" w:rsidR="00615E2D" w:rsidRDefault="00C83E46">
            <w:pPr>
              <w:pStyle w:val="P68B1DB1-Normal28"/>
              <w:spacing w:line="259" w:lineRule="auto"/>
              <w:rPr>
                <w:noProof/>
              </w:rPr>
            </w:pPr>
            <w:r>
              <w:rPr>
                <w:noProof/>
              </w:rPr>
              <w:t>Definicija niza projekata koji obuhvaćaju 121,88 km moderniziranih pruga,9 moderniziranih željezničkih postaja s obnovljenom prugom i sigurnim i pristupačnim peronima bez prepreka te 35 zgrada postaja sa smanjenim energetskim intenzitetom, većom udobnošću i boljim uslugama za putnike.</w:t>
            </w:r>
          </w:p>
        </w:tc>
      </w:tr>
      <w:tr w:rsidR="00615E2D" w14:paraId="42F07233"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42D4F9E" w14:textId="77777777" w:rsidR="00615E2D" w:rsidRDefault="00C83E46">
            <w:pPr>
              <w:pStyle w:val="P68B1DB1-Normal28"/>
              <w:spacing w:line="240" w:lineRule="auto"/>
              <w:jc w:val="center"/>
              <w:rPr>
                <w:noProof/>
              </w:rPr>
            </w:pPr>
            <w:r>
              <w:rPr>
                <w:noProof/>
              </w:rPr>
              <w:t>90</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5446D4" w14:textId="77777777" w:rsidR="00615E2D" w:rsidRDefault="00C83E46">
            <w:pPr>
              <w:pStyle w:val="P68B1DB1-Normal28"/>
              <w:spacing w:line="240" w:lineRule="auto"/>
              <w:rPr>
                <w:rFonts w:eastAsia="Times New Roman"/>
                <w:noProof/>
              </w:rPr>
            </w:pPr>
            <w:r>
              <w:rPr>
                <w:noProof/>
              </w:rPr>
              <w:t>Ulaganje 3: Poboljšanje okoliša (potpora željezničkoj infrastrukturi)</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12DF22F"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B0AD45" w14:textId="77777777" w:rsidR="00615E2D" w:rsidRDefault="00C83E46">
            <w:pPr>
              <w:pStyle w:val="P68B1DB1-Normal28"/>
              <w:spacing w:line="240" w:lineRule="auto"/>
              <w:rPr>
                <w:rFonts w:eastAsia="Times New Roman"/>
                <w:noProof/>
              </w:rPr>
            </w:pPr>
            <w:r>
              <w:rPr>
                <w:noProof/>
              </w:rPr>
              <w:t xml:space="preserve">Završetak 26 projekata iz unaprijed definiranog skupa projekata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6F412BF"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C801729" w14:textId="77777777" w:rsidR="00615E2D" w:rsidRDefault="00C83E46">
            <w:pPr>
              <w:pStyle w:val="P68B1DB1-Normal28"/>
              <w:spacing w:line="240" w:lineRule="auto"/>
              <w:rPr>
                <w:rFonts w:eastAsia="Times New Roman"/>
                <w:noProof/>
              </w:rPr>
            </w:pPr>
            <w:r>
              <w:rPr>
                <w:noProof/>
              </w:rPr>
              <w:t>Broj projekata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9053757" w14:textId="77777777" w:rsidR="00615E2D" w:rsidRDefault="00C83E46">
            <w:pPr>
              <w:pStyle w:val="P68B1DB1-Normal11"/>
              <w:spacing w:line="240" w:lineRule="auto"/>
              <w:jc w:val="center"/>
              <w:rPr>
                <w:noProof/>
              </w:rPr>
            </w:pPr>
            <w:r>
              <w:rPr>
                <w:noProof/>
              </w:rPr>
              <w:t>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828EE54" w14:textId="77777777" w:rsidR="00615E2D" w:rsidRDefault="00C83E46">
            <w:pPr>
              <w:pStyle w:val="P68B1DB1-Normal11"/>
              <w:spacing w:line="240" w:lineRule="auto"/>
              <w:jc w:val="center"/>
              <w:rPr>
                <w:noProof/>
              </w:rPr>
            </w:pPr>
            <w:r>
              <w:rPr>
                <w:noProof/>
              </w:rPr>
              <w:t>26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54BF1BF"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D85EF13" w14:textId="77777777" w:rsidR="00615E2D" w:rsidRDefault="00C83E46">
            <w:pPr>
              <w:pStyle w:val="P68B1DB1-Normal11"/>
              <w:spacing w:line="240" w:lineRule="auto"/>
              <w:jc w:val="center"/>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63178B4" w14:textId="3DCDD7BE" w:rsidR="00615E2D" w:rsidRDefault="00C83E46">
            <w:pPr>
              <w:pStyle w:val="P68B1DB1-Normal28"/>
              <w:spacing w:line="240" w:lineRule="auto"/>
              <w:rPr>
                <w:rFonts w:eastAsia="Times New Roman"/>
                <w:noProof/>
              </w:rPr>
            </w:pPr>
            <w:r>
              <w:rPr>
                <w:noProof/>
              </w:rPr>
              <w:t>Završetak 26 projekata iz unaprijed definiranog skupa projekata koji obuhvaćaju 121,88 km moderniziranih pruga, 9 moderniziranih željezničkih postaja s obnovljenom prugom i sigurnim i pristupačnim peronima bez prepreka te 35 zgrada postaja sa smanjenim energetskim intenzitetom, većom udobnošću i boljim uslugama za putnike.</w:t>
            </w:r>
          </w:p>
        </w:tc>
      </w:tr>
      <w:tr w:rsidR="00615E2D" w14:paraId="5AF3D9CC"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D59DC15" w14:textId="77777777" w:rsidR="00615E2D" w:rsidRDefault="00C83E46">
            <w:pPr>
              <w:pStyle w:val="P68B1DB1-Normal28"/>
              <w:spacing w:line="240" w:lineRule="auto"/>
              <w:jc w:val="center"/>
              <w:rPr>
                <w:noProof/>
              </w:rPr>
            </w:pPr>
            <w:r>
              <w:rPr>
                <w:noProof/>
              </w:rPr>
              <w:t>91</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B5CC508" w14:textId="77777777" w:rsidR="00615E2D" w:rsidRDefault="00C83E46">
            <w:pPr>
              <w:pStyle w:val="P68B1DB1-Normal28"/>
              <w:spacing w:line="240" w:lineRule="auto"/>
              <w:rPr>
                <w:rFonts w:eastAsia="Times New Roman"/>
                <w:noProof/>
              </w:rPr>
            </w:pPr>
            <w:r>
              <w:rPr>
                <w:noProof/>
              </w:rPr>
              <w:t>Ulaganje 3: Poboljšanje okoliša (potpora željezničkoj infrastrukturi)</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FF8E9C"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70ED42E" w14:textId="1CDA6C71" w:rsidR="00615E2D" w:rsidRDefault="00C83E46">
            <w:pPr>
              <w:pStyle w:val="P68B1DB1-Normal28"/>
              <w:spacing w:line="240" w:lineRule="auto"/>
              <w:rPr>
                <w:rFonts w:eastAsia="Times New Roman"/>
                <w:noProof/>
              </w:rPr>
            </w:pPr>
            <w:r>
              <w:rPr>
                <w:noProof/>
              </w:rPr>
              <w:t xml:space="preserve">Završetak 11 dodatnih projekata iz unaprijed definiranog skupa projekata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EEDCEE"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C9E3F71" w14:textId="77777777" w:rsidR="00615E2D" w:rsidRDefault="00C83E46">
            <w:pPr>
              <w:pStyle w:val="P68B1DB1-Normal28"/>
              <w:spacing w:line="240" w:lineRule="auto"/>
              <w:rPr>
                <w:rFonts w:eastAsia="Times New Roman"/>
                <w:noProof/>
              </w:rPr>
            </w:pPr>
            <w:r>
              <w:rPr>
                <w:noProof/>
              </w:rPr>
              <w:t>Broj projekata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DF4DFF7" w14:textId="77777777" w:rsidR="00615E2D" w:rsidRDefault="00C83E46">
            <w:pPr>
              <w:pStyle w:val="P68B1DB1-Normal11"/>
              <w:spacing w:line="240" w:lineRule="auto"/>
              <w:jc w:val="center"/>
              <w:rPr>
                <w:noProof/>
              </w:rPr>
            </w:pPr>
            <w:r>
              <w:rPr>
                <w:noProof/>
              </w:rPr>
              <w:t>26</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640E1C5" w14:textId="027EEB6B" w:rsidR="00615E2D" w:rsidRDefault="00C83E46">
            <w:pPr>
              <w:pStyle w:val="P68B1DB1-Normal11"/>
              <w:spacing w:line="240" w:lineRule="auto"/>
              <w:jc w:val="center"/>
              <w:rPr>
                <w:noProof/>
              </w:rPr>
            </w:pPr>
            <w:r>
              <w:rPr>
                <w:noProof/>
              </w:rPr>
              <w:t>37</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22210A4"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FE547C1" w14:textId="77777777" w:rsidR="00615E2D" w:rsidRDefault="00C83E46">
            <w:pPr>
              <w:pStyle w:val="P68B1DB1-Normal11"/>
              <w:spacing w:line="240" w:lineRule="auto"/>
              <w:jc w:val="center"/>
              <w:rPr>
                <w:noProof/>
              </w:rPr>
            </w:pPr>
            <w:r>
              <w:rPr>
                <w:noProof/>
              </w:rPr>
              <w:t>2023</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9FEB1B3" w14:textId="750C061D" w:rsidR="00615E2D" w:rsidRDefault="00C83E46">
            <w:pPr>
              <w:pStyle w:val="P68B1DB1-Normal28"/>
              <w:spacing w:line="240" w:lineRule="auto"/>
              <w:rPr>
                <w:rFonts w:eastAsia="Times New Roman"/>
                <w:noProof/>
              </w:rPr>
            </w:pPr>
            <w:r>
              <w:rPr>
                <w:noProof/>
              </w:rPr>
              <w:t>Dovršetak 11 dodatnih projekata iz unaprijed definiranog skupa projekata koji obuhvaćaju 121,88 km moderniziranih, operativno poboljšanih pruga ili otpornijih na prirodne utjecaje, 9 moderniziranih željezničkih postaja s obnovljenom prugom i sigurnim i pristupačnim peronima bez prepreka te 35 zgrada postaja sa smanjenim energetskim intenzitetom, većom udobnošću i boljim uslugama za putnike.</w:t>
            </w:r>
          </w:p>
        </w:tc>
      </w:tr>
      <w:tr w:rsidR="00615E2D" w14:paraId="0EADC133"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8A7E3AE" w14:textId="5DF57F33" w:rsidR="00615E2D" w:rsidRDefault="00C83E46">
            <w:pPr>
              <w:pStyle w:val="P68B1DB1-Normal28"/>
              <w:spacing w:line="240" w:lineRule="auto"/>
              <w:jc w:val="center"/>
              <w:rPr>
                <w:noProof/>
              </w:rPr>
            </w:pPr>
            <w:r>
              <w:rPr>
                <w:noProof/>
              </w:rPr>
              <w:t>261</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BD657FC" w14:textId="01F6442C" w:rsidR="00615E2D" w:rsidRDefault="00C83E46">
            <w:pPr>
              <w:pStyle w:val="P68B1DB1-Normal28"/>
              <w:spacing w:line="240" w:lineRule="auto"/>
              <w:rPr>
                <w:noProof/>
              </w:rPr>
            </w:pPr>
            <w:r>
              <w:rPr>
                <w:noProof/>
              </w:rPr>
              <w:t>Ulaganje 3: Poboljšanje okoliša (potpora željezničkoj infrastrukturi)</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FA4D38" w14:textId="5FA205C1" w:rsidR="00615E2D" w:rsidRDefault="00C83E46">
            <w:pPr>
              <w:pStyle w:val="P68B1DB1-Normal28"/>
              <w:spacing w:line="240" w:lineRule="auto"/>
              <w:rPr>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5711BC2" w14:textId="65C398AD" w:rsidR="00615E2D" w:rsidRDefault="00C83E46">
            <w:pPr>
              <w:pStyle w:val="P68B1DB1-Normal28"/>
              <w:spacing w:line="240" w:lineRule="auto"/>
              <w:rPr>
                <w:noProof/>
              </w:rPr>
            </w:pPr>
            <w:r>
              <w:rPr>
                <w:noProof/>
              </w:rPr>
              <w:t>Završetak 19 dodatnih projekata iz unaprijed definiranog skupa projekata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F42C714"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FDC2FCA" w14:textId="1BC51458" w:rsidR="00615E2D" w:rsidRDefault="00C83E46">
            <w:pPr>
              <w:pStyle w:val="P68B1DB1-Normal28"/>
              <w:spacing w:line="240" w:lineRule="auto"/>
              <w:rPr>
                <w:noProof/>
              </w:rPr>
            </w:pPr>
            <w:r>
              <w:rPr>
                <w:noProof/>
              </w:rPr>
              <w:t>Broj projekata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D225D61" w14:textId="72AA323B" w:rsidR="00615E2D" w:rsidRDefault="00C83E46">
            <w:pPr>
              <w:pStyle w:val="P68B1DB1-Normal11"/>
              <w:spacing w:line="240" w:lineRule="auto"/>
              <w:jc w:val="center"/>
              <w:rPr>
                <w:noProof/>
              </w:rPr>
            </w:pPr>
            <w:r>
              <w:rPr>
                <w:noProof/>
              </w:rPr>
              <w:t>37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653BF6" w14:textId="0655FF78" w:rsidR="00615E2D" w:rsidRDefault="00C83E46">
            <w:pPr>
              <w:pStyle w:val="P68B1DB1-Normal11"/>
              <w:spacing w:line="240" w:lineRule="auto"/>
              <w:jc w:val="center"/>
              <w:rPr>
                <w:noProof/>
              </w:rPr>
            </w:pPr>
            <w:r>
              <w:rPr>
                <w:noProof/>
              </w:rPr>
              <w:t>56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BA3198" w14:textId="2C363FCA" w:rsidR="00615E2D" w:rsidRDefault="00C83E46">
            <w:pPr>
              <w:pStyle w:val="P68B1DB1-Normal28"/>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0D7D45" w14:textId="3839EDC4" w:rsidR="00615E2D" w:rsidRDefault="00C83E46">
            <w:pPr>
              <w:pStyle w:val="P68B1DB1-Normal11"/>
              <w:spacing w:line="240" w:lineRule="auto"/>
              <w:jc w:val="center"/>
              <w:rPr>
                <w:noProof/>
              </w:rPr>
            </w:pPr>
            <w:r>
              <w:rPr>
                <w:noProof/>
              </w:rPr>
              <w:t>2024</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28B8D05" w14:textId="42230C7A" w:rsidR="00615E2D" w:rsidRDefault="00C83E46">
            <w:pPr>
              <w:pStyle w:val="P68B1DB1-Normal28"/>
              <w:spacing w:line="240" w:lineRule="auto"/>
              <w:rPr>
                <w:noProof/>
              </w:rPr>
            </w:pPr>
            <w:r>
              <w:rPr>
                <w:noProof/>
              </w:rPr>
              <w:t>Dovršetak 19 dodatnih projekata iz unaprijed definiranog skupa projekata koji obuhvaćaju 121,88 km moderniziranih, operativno poboljšanih pruga ili otpornijih na prirodne utjecaje, 9 moderniziranih željezničkih postaja s obnovljenom prugom i sigurnim i pristupačnim peronima bez prepreka te 35 zgrada postaja sa smanjenim energetskim intenzitetom, većom udobnošću i boljim uslugama za putnike.</w:t>
            </w:r>
          </w:p>
        </w:tc>
      </w:tr>
      <w:tr w:rsidR="00615E2D" w14:paraId="65019E13"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7F742AC" w14:textId="77777777" w:rsidR="00615E2D" w:rsidRDefault="00C83E46">
            <w:pPr>
              <w:pStyle w:val="P68B1DB1-Normal28"/>
              <w:spacing w:line="240" w:lineRule="auto"/>
              <w:jc w:val="center"/>
              <w:rPr>
                <w:noProof/>
              </w:rPr>
            </w:pPr>
            <w:r>
              <w:rPr>
                <w:noProof/>
              </w:rPr>
              <w:t>92</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3C598FA"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8A7628"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0E38D02" w14:textId="77777777" w:rsidR="00615E2D" w:rsidRDefault="00C83E46">
            <w:pPr>
              <w:pStyle w:val="P68B1DB1-Normal28"/>
              <w:spacing w:line="240" w:lineRule="auto"/>
              <w:rPr>
                <w:rFonts w:eastAsia="Times New Roman"/>
                <w:noProof/>
              </w:rPr>
            </w:pPr>
            <w:r>
              <w:rPr>
                <w:noProof/>
              </w:rPr>
              <w:t>Završetak željezničko-cestovnih prijelaza s povećanom sigurnošću</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A57392"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4F8CF8" w14:textId="77777777" w:rsidR="00615E2D" w:rsidRDefault="00C83E46">
            <w:pPr>
              <w:pStyle w:val="P68B1DB1-Normal28"/>
              <w:spacing w:line="240" w:lineRule="auto"/>
              <w:rPr>
                <w:rFonts w:eastAsia="Times New Roman"/>
                <w:noProof/>
              </w:rPr>
            </w:pPr>
            <w:r>
              <w:rPr>
                <w:noProof/>
              </w:rPr>
              <w:t>Broj željezničko-cestovnih prijelaza s povećanom sigurnošću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DFD346" w14:textId="77777777" w:rsidR="00615E2D" w:rsidRDefault="00C83E46">
            <w:pPr>
              <w:pStyle w:val="P68B1DB1-Normal11"/>
              <w:spacing w:line="240" w:lineRule="auto"/>
              <w:jc w:val="center"/>
              <w:rPr>
                <w:noProof/>
              </w:rPr>
            </w:pPr>
            <w:r>
              <w:rPr>
                <w:noProof/>
              </w:rPr>
              <w:t>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DB8DB5A" w14:textId="77777777" w:rsidR="00615E2D" w:rsidRDefault="00C83E46">
            <w:pPr>
              <w:pStyle w:val="P68B1DB1-Normal11"/>
              <w:spacing w:line="240" w:lineRule="auto"/>
              <w:jc w:val="center"/>
              <w:rPr>
                <w:noProof/>
              </w:rPr>
            </w:pPr>
            <w:r>
              <w:rPr>
                <w:noProof/>
              </w:rPr>
              <w:t>45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C3EB02" w14:textId="77777777" w:rsidR="00615E2D" w:rsidRDefault="00C83E46">
            <w:pPr>
              <w:pStyle w:val="P68B1DB1-Normal28"/>
              <w:spacing w:line="240" w:lineRule="auto"/>
              <w:jc w:val="center"/>
              <w:rPr>
                <w:rFonts w:eastAsia="Times New Roman"/>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21B6100" w14:textId="77777777" w:rsidR="00615E2D" w:rsidRDefault="00C83E46">
            <w:pPr>
              <w:pStyle w:val="P68B1DB1-Normal11"/>
              <w:spacing w:line="240" w:lineRule="auto"/>
              <w:jc w:val="center"/>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F651C75" w14:textId="77777777" w:rsidR="00615E2D" w:rsidRDefault="00C83E46">
            <w:pPr>
              <w:pStyle w:val="P68B1DB1-Normal28"/>
              <w:spacing w:line="240" w:lineRule="auto"/>
              <w:rPr>
                <w:rFonts w:eastAsia="Times New Roman"/>
                <w:noProof/>
              </w:rPr>
            </w:pPr>
            <w:r>
              <w:rPr>
                <w:noProof/>
              </w:rPr>
              <w:t>Željezničko-cestovni prijelazi s povećanom razinom zaštite, s novougrađenim ili moderniziranim sustavom za upozoravanje na bljeska svjetla ili mehaničkim sigurnosnim instalacijama.</w:t>
            </w:r>
          </w:p>
        </w:tc>
      </w:tr>
      <w:tr w:rsidR="00615E2D" w14:paraId="17F496F3"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A1A3C90" w14:textId="77777777" w:rsidR="00615E2D" w:rsidRDefault="00C83E46">
            <w:pPr>
              <w:pStyle w:val="P68B1DB1-Normal28"/>
              <w:spacing w:line="240" w:lineRule="auto"/>
              <w:jc w:val="center"/>
              <w:rPr>
                <w:noProof/>
              </w:rPr>
            </w:pPr>
            <w:r>
              <w:rPr>
                <w:noProof/>
              </w:rPr>
              <w:t>93</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9204E1"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BD1F7CB"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11BE83B" w14:textId="77777777" w:rsidR="00615E2D" w:rsidRDefault="00C83E46">
            <w:pPr>
              <w:pStyle w:val="P68B1DB1-Normal28"/>
              <w:spacing w:line="240" w:lineRule="auto"/>
              <w:rPr>
                <w:rFonts w:eastAsia="Times New Roman"/>
                <w:noProof/>
              </w:rPr>
            </w:pPr>
            <w:r>
              <w:rPr>
                <w:noProof/>
              </w:rPr>
              <w:t>Završetak izgrađenih biciklističkih staza, pločnika i putova bez prepreka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6A91633"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FC5522F" w14:textId="77777777" w:rsidR="00615E2D" w:rsidRDefault="00C83E46">
            <w:pPr>
              <w:pStyle w:val="P68B1DB1-Normal28"/>
              <w:spacing w:line="240" w:lineRule="auto"/>
              <w:rPr>
                <w:rFonts w:eastAsia="Times New Roman"/>
                <w:noProof/>
              </w:rPr>
            </w:pPr>
            <w:r>
              <w:rPr>
                <w:noProof/>
              </w:rPr>
              <w:t>Duljina izgrađenih biciklističkih staza, pločnika, putovi bez prepreka – km</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FEE9CA1" w14:textId="77777777" w:rsidR="00615E2D" w:rsidRDefault="00C83E46">
            <w:pPr>
              <w:pStyle w:val="P68B1DB1-Normal11"/>
              <w:spacing w:line="240" w:lineRule="auto"/>
              <w:jc w:val="center"/>
              <w:rPr>
                <w:noProof/>
              </w:rPr>
            </w:pPr>
            <w:r>
              <w:rPr>
                <w:noProof/>
              </w:rPr>
              <w:t>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FFBB83D" w14:textId="77777777" w:rsidR="00615E2D" w:rsidRDefault="00C83E46">
            <w:pPr>
              <w:pStyle w:val="P68B1DB1-Normal11"/>
              <w:spacing w:line="240" w:lineRule="auto"/>
              <w:jc w:val="center"/>
              <w:rPr>
                <w:noProof/>
              </w:rPr>
            </w:pPr>
            <w:r>
              <w:rPr>
                <w:noProof/>
              </w:rPr>
              <w:t>25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6D7B76D" w14:textId="77777777" w:rsidR="00615E2D" w:rsidRDefault="00C83E46">
            <w:pPr>
              <w:pStyle w:val="P68B1DB1-Normal28"/>
              <w:spacing w:line="240" w:lineRule="auto"/>
              <w:jc w:val="center"/>
              <w:rPr>
                <w:rFonts w:eastAsia="Times New Roman"/>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CA4C46F" w14:textId="77777777" w:rsidR="00615E2D" w:rsidRDefault="00C83E46">
            <w:pPr>
              <w:pStyle w:val="P68B1DB1-Normal11"/>
              <w:spacing w:line="240" w:lineRule="auto"/>
              <w:jc w:val="center"/>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810CF7B" w14:textId="77777777" w:rsidR="00615E2D" w:rsidRDefault="00C83E46">
            <w:pPr>
              <w:pStyle w:val="P68B1DB1-Normal28"/>
              <w:spacing w:line="240" w:lineRule="auto"/>
              <w:rPr>
                <w:rFonts w:eastAsia="Times New Roman"/>
                <w:noProof/>
              </w:rPr>
            </w:pPr>
            <w:r>
              <w:rPr>
                <w:noProof/>
              </w:rPr>
              <w:t>Dužina izgrađenih biciklističkih staza/bočnih putova bez zapreka.</w:t>
            </w:r>
          </w:p>
        </w:tc>
      </w:tr>
      <w:tr w:rsidR="00615E2D" w14:paraId="0F945DDD"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D4FA605" w14:textId="77777777" w:rsidR="00615E2D" w:rsidRDefault="00C83E46">
            <w:pPr>
              <w:pStyle w:val="P68B1DB1-Normal28"/>
              <w:spacing w:line="240" w:lineRule="auto"/>
              <w:jc w:val="center"/>
              <w:rPr>
                <w:noProof/>
              </w:rPr>
            </w:pPr>
            <w:r>
              <w:rPr>
                <w:noProof/>
              </w:rPr>
              <w:t>94</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A0DB12"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D00FF6F"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A53FA26" w14:textId="77777777" w:rsidR="00615E2D" w:rsidRDefault="00C83E46">
            <w:pPr>
              <w:pStyle w:val="P68B1DB1-Normal28"/>
              <w:spacing w:line="240" w:lineRule="auto"/>
              <w:rPr>
                <w:rFonts w:eastAsia="Times New Roman"/>
                <w:noProof/>
              </w:rPr>
            </w:pPr>
            <w:r>
              <w:rPr>
                <w:noProof/>
              </w:rPr>
              <w:t>Dovršetak moderniziranih željezničkih mostova ili tunela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2B05FD2"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58B0DE" w14:textId="77777777" w:rsidR="00615E2D" w:rsidRDefault="00C83E46">
            <w:pPr>
              <w:pStyle w:val="P68B1DB1-Normal28"/>
              <w:spacing w:line="240" w:lineRule="auto"/>
              <w:rPr>
                <w:rFonts w:eastAsia="Times New Roman"/>
                <w:noProof/>
              </w:rPr>
            </w:pPr>
            <w:r>
              <w:rPr>
                <w:noProof/>
              </w:rPr>
              <w:t>Broj moderniziranih umjetnih željezničkih konstrukcija (mostovi/tunelovi)</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C85E341" w14:textId="77777777" w:rsidR="00615E2D" w:rsidRDefault="00C83E46">
            <w:pPr>
              <w:pStyle w:val="P68B1DB1-Normal11"/>
              <w:spacing w:line="240" w:lineRule="auto"/>
              <w:jc w:val="center"/>
              <w:rPr>
                <w:noProof/>
              </w:rPr>
            </w:pPr>
            <w:r>
              <w:rPr>
                <w:noProof/>
              </w:rPr>
              <w:t>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76C0DB4" w14:textId="77777777" w:rsidR="00615E2D" w:rsidRDefault="00C83E46">
            <w:pPr>
              <w:pStyle w:val="P68B1DB1-Normal11"/>
              <w:spacing w:line="240" w:lineRule="auto"/>
              <w:jc w:val="center"/>
              <w:rPr>
                <w:noProof/>
              </w:rPr>
            </w:pPr>
            <w:r>
              <w:rPr>
                <w:noProof/>
              </w:rPr>
              <w:t>3</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568B1C" w14:textId="77777777" w:rsidR="00615E2D" w:rsidRDefault="00C83E46">
            <w:pPr>
              <w:pStyle w:val="P68B1DB1-Normal28"/>
              <w:spacing w:line="240" w:lineRule="auto"/>
              <w:jc w:val="center"/>
              <w:rPr>
                <w:rFonts w:eastAsia="Times New Roman"/>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23670B" w14:textId="77777777" w:rsidR="00615E2D" w:rsidRDefault="00C83E46">
            <w:pPr>
              <w:pStyle w:val="P68B1DB1-Normal11"/>
              <w:spacing w:line="240" w:lineRule="auto"/>
              <w:jc w:val="center"/>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3501D6" w14:textId="77777777" w:rsidR="00615E2D" w:rsidRDefault="00C83E46">
            <w:pPr>
              <w:pStyle w:val="P68B1DB1-Normal28"/>
              <w:spacing w:line="240" w:lineRule="auto"/>
              <w:rPr>
                <w:rFonts w:eastAsia="Times New Roman"/>
                <w:noProof/>
              </w:rPr>
            </w:pPr>
            <w:r>
              <w:rPr>
                <w:noProof/>
              </w:rPr>
              <w:t>Modernizirana umjetna željeznička struktura za operativnu fazu.</w:t>
            </w:r>
          </w:p>
        </w:tc>
      </w:tr>
      <w:tr w:rsidR="00615E2D" w14:paraId="33DB930F"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E1A912" w14:textId="77777777" w:rsidR="00615E2D" w:rsidRDefault="00C83E46">
            <w:pPr>
              <w:pStyle w:val="P68B1DB1-Normal28"/>
              <w:spacing w:line="240" w:lineRule="auto"/>
              <w:jc w:val="center"/>
              <w:rPr>
                <w:noProof/>
              </w:rPr>
            </w:pPr>
            <w:r>
              <w:rPr>
                <w:noProof/>
              </w:rPr>
              <w:t>95</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2003CF"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43F0818"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1267023" w14:textId="77777777" w:rsidR="00615E2D" w:rsidRDefault="00C83E46">
            <w:pPr>
              <w:pStyle w:val="P68B1DB1-Normal28"/>
              <w:spacing w:line="240" w:lineRule="auto"/>
              <w:rPr>
                <w:rFonts w:eastAsia="Times New Roman"/>
                <w:noProof/>
              </w:rPr>
            </w:pPr>
            <w:r>
              <w:rPr>
                <w:noProof/>
              </w:rPr>
              <w:t>Dovršetak moderniziranih željezničkih mostova ili tunela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AA8CC74"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B83A89" w14:textId="77777777" w:rsidR="00615E2D" w:rsidRDefault="00C83E46">
            <w:pPr>
              <w:pStyle w:val="P68B1DB1-Normal28"/>
              <w:spacing w:line="240" w:lineRule="auto"/>
              <w:rPr>
                <w:rFonts w:eastAsia="Times New Roman"/>
                <w:noProof/>
              </w:rPr>
            </w:pPr>
            <w:r>
              <w:rPr>
                <w:noProof/>
              </w:rPr>
              <w:t>Broj moderniziranih umjetnih željezničkih konstrukcija (mostovi/tunelovi)</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EAA5CAE" w14:textId="77777777" w:rsidR="00615E2D" w:rsidRDefault="00C83E46">
            <w:pPr>
              <w:pStyle w:val="P68B1DB1-Normal11"/>
              <w:spacing w:line="240" w:lineRule="auto"/>
              <w:jc w:val="center"/>
              <w:rPr>
                <w:noProof/>
              </w:rPr>
            </w:pPr>
            <w:r>
              <w:rPr>
                <w:noProof/>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B260EB" w14:textId="77777777" w:rsidR="00615E2D" w:rsidRDefault="00C83E46">
            <w:pPr>
              <w:pStyle w:val="P68B1DB1-Normal11"/>
              <w:spacing w:line="240" w:lineRule="auto"/>
              <w:jc w:val="center"/>
              <w:rPr>
                <w:noProof/>
              </w:rPr>
            </w:pPr>
            <w:r>
              <w:rPr>
                <w:noProof/>
              </w:rPr>
              <w:t>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3CEBD0"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22F7F99" w14:textId="77777777" w:rsidR="00615E2D" w:rsidRDefault="00C83E46">
            <w:pPr>
              <w:pStyle w:val="P68B1DB1-Normal11"/>
              <w:spacing w:line="240" w:lineRule="auto"/>
              <w:jc w:val="center"/>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3F0625" w14:textId="77777777" w:rsidR="00615E2D" w:rsidRDefault="00C83E46">
            <w:pPr>
              <w:pStyle w:val="P68B1DB1-Normal28"/>
              <w:spacing w:line="240" w:lineRule="auto"/>
              <w:rPr>
                <w:rFonts w:eastAsia="Times New Roman"/>
                <w:noProof/>
              </w:rPr>
            </w:pPr>
            <w:r>
              <w:rPr>
                <w:noProof/>
              </w:rPr>
              <w:t>Modernizirana umjetna željeznička struktura za operativnu fazu.</w:t>
            </w:r>
          </w:p>
        </w:tc>
      </w:tr>
      <w:tr w:rsidR="00615E2D" w14:paraId="32D166D6"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A56338" w14:textId="77777777" w:rsidR="00615E2D" w:rsidRDefault="00C83E46">
            <w:pPr>
              <w:pStyle w:val="P68B1DB1-Normal28"/>
              <w:spacing w:line="240" w:lineRule="auto"/>
              <w:jc w:val="center"/>
              <w:rPr>
                <w:noProof/>
              </w:rPr>
            </w:pPr>
            <w:r>
              <w:rPr>
                <w:noProof/>
              </w:rPr>
              <w:t>96</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DC1ABC"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EFA6B67"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7F6FE60" w14:textId="77777777" w:rsidR="00615E2D" w:rsidRDefault="00C83E46">
            <w:pPr>
              <w:pStyle w:val="P68B1DB1-Normal28"/>
              <w:spacing w:line="240" w:lineRule="auto"/>
              <w:rPr>
                <w:rFonts w:eastAsia="Times New Roman"/>
                <w:noProof/>
              </w:rPr>
            </w:pPr>
            <w:r>
              <w:rPr>
                <w:noProof/>
              </w:rPr>
              <w:t>Završetak željezničko-cestovnih prijelaza s povećanom sigurnošću</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8965F1"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18A9D1" w14:textId="77777777" w:rsidR="00615E2D" w:rsidRDefault="00C83E46">
            <w:pPr>
              <w:pStyle w:val="P68B1DB1-Normal28"/>
              <w:spacing w:line="240" w:lineRule="auto"/>
              <w:rPr>
                <w:rFonts w:eastAsia="Times New Roman"/>
                <w:noProof/>
              </w:rPr>
            </w:pPr>
            <w:r>
              <w:rPr>
                <w:noProof/>
              </w:rPr>
              <w:t>Broj željezničko-cestovnih prijelaza s povećanom sigurnošću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37738B" w14:textId="77777777" w:rsidR="00615E2D" w:rsidRDefault="00C83E46">
            <w:pPr>
              <w:pStyle w:val="P68B1DB1-Normal11"/>
              <w:spacing w:line="240" w:lineRule="auto"/>
              <w:jc w:val="center"/>
              <w:rPr>
                <w:noProof/>
              </w:rPr>
            </w:pPr>
            <w:r>
              <w:rPr>
                <w:noProof/>
              </w:rPr>
              <w:t>45</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258734F" w14:textId="77777777" w:rsidR="00615E2D" w:rsidRDefault="00C83E46">
            <w:pPr>
              <w:pStyle w:val="P68B1DB1-Normal11"/>
              <w:spacing w:line="240" w:lineRule="auto"/>
              <w:jc w:val="center"/>
              <w:rPr>
                <w:noProof/>
              </w:rPr>
            </w:pPr>
            <w:r>
              <w:rPr>
                <w:noProof/>
              </w:rPr>
              <w:t>160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64C9968"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3A6006E" w14:textId="77777777" w:rsidR="00615E2D" w:rsidRDefault="00C83E46">
            <w:pPr>
              <w:pStyle w:val="P68B1DB1-Normal11"/>
              <w:spacing w:line="240" w:lineRule="auto"/>
              <w:jc w:val="center"/>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26B20AE" w14:textId="77777777" w:rsidR="00615E2D" w:rsidRDefault="00C83E46">
            <w:pPr>
              <w:pStyle w:val="P68B1DB1-Normal28"/>
              <w:spacing w:line="240" w:lineRule="auto"/>
              <w:rPr>
                <w:rFonts w:eastAsia="Times New Roman"/>
                <w:noProof/>
              </w:rPr>
            </w:pPr>
            <w:r>
              <w:rPr>
                <w:noProof/>
              </w:rPr>
              <w:t>Željezničko-cestovni prijelazi s povećanom razinom zaštite, s novougrađenim ili moderniziranim sustavom za upozoravanje na bljeska svjetla ili mehaničkim sigurnosnim instalacijama.</w:t>
            </w:r>
          </w:p>
        </w:tc>
      </w:tr>
      <w:tr w:rsidR="00615E2D" w14:paraId="0AF45A52"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662FF5A" w14:textId="77777777" w:rsidR="00615E2D" w:rsidRDefault="00C83E46">
            <w:pPr>
              <w:pStyle w:val="P68B1DB1-Normal28"/>
              <w:spacing w:line="240" w:lineRule="auto"/>
              <w:jc w:val="center"/>
              <w:rPr>
                <w:noProof/>
              </w:rPr>
            </w:pPr>
            <w:r>
              <w:rPr>
                <w:noProof/>
              </w:rPr>
              <w:t>97</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EEAF0D8"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6265D71"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DBA320" w14:textId="77777777" w:rsidR="00615E2D" w:rsidRDefault="00C83E46">
            <w:pPr>
              <w:pStyle w:val="P68B1DB1-Normal28"/>
              <w:spacing w:line="240" w:lineRule="auto"/>
              <w:rPr>
                <w:rFonts w:eastAsia="Times New Roman"/>
                <w:noProof/>
              </w:rPr>
            </w:pPr>
            <w:r>
              <w:rPr>
                <w:noProof/>
              </w:rPr>
              <w:t>Završetak izgrađenih biciklističkih staza, pločnika i putova bez prepreka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D0DCBC1"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54E8FBE" w14:textId="77777777" w:rsidR="00615E2D" w:rsidRDefault="00C83E46">
            <w:pPr>
              <w:pStyle w:val="P68B1DB1-Normal28"/>
              <w:spacing w:line="240" w:lineRule="auto"/>
              <w:rPr>
                <w:rFonts w:eastAsia="Times New Roman"/>
                <w:noProof/>
              </w:rPr>
            </w:pPr>
            <w:r>
              <w:rPr>
                <w:noProof/>
              </w:rPr>
              <w:t>Duljina izgrađenih biciklističkih staza, pločnika, putovi bez prepreka – km</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1ED43B1" w14:textId="77777777" w:rsidR="00615E2D" w:rsidRDefault="00C83E46">
            <w:pPr>
              <w:pStyle w:val="P68B1DB1-Normal11"/>
              <w:spacing w:line="240" w:lineRule="auto"/>
              <w:jc w:val="center"/>
              <w:rPr>
                <w:noProof/>
              </w:rPr>
            </w:pPr>
            <w:r>
              <w:rPr>
                <w:noProof/>
              </w:rPr>
              <w:t>25</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64AA4B5" w14:textId="77777777" w:rsidR="00615E2D" w:rsidRDefault="00C83E46">
            <w:pPr>
              <w:pStyle w:val="P68B1DB1-Normal11"/>
              <w:spacing w:line="240" w:lineRule="auto"/>
              <w:jc w:val="center"/>
              <w:rPr>
                <w:noProof/>
              </w:rPr>
            </w:pPr>
            <w:r>
              <w:rPr>
                <w:noProof/>
              </w:rPr>
              <w:t>49</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89D9191"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FE62B0A" w14:textId="77777777" w:rsidR="00615E2D" w:rsidRDefault="00C83E46">
            <w:pPr>
              <w:pStyle w:val="P68B1DB1-Normal11"/>
              <w:spacing w:line="240" w:lineRule="auto"/>
              <w:jc w:val="center"/>
              <w:rPr>
                <w:noProof/>
              </w:rPr>
            </w:pPr>
            <w:r>
              <w:rPr>
                <w:noProof/>
              </w:rPr>
              <w:t>2022</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C0DDD6D" w14:textId="77777777" w:rsidR="00615E2D" w:rsidRDefault="00C83E46">
            <w:pPr>
              <w:pStyle w:val="P68B1DB1-Normal28"/>
              <w:spacing w:line="240" w:lineRule="auto"/>
              <w:rPr>
                <w:rFonts w:eastAsia="Times New Roman"/>
                <w:noProof/>
              </w:rPr>
            </w:pPr>
            <w:r>
              <w:rPr>
                <w:noProof/>
              </w:rPr>
              <w:t>Duljina izgrađene biciklističke staze/bočne stijenke/puta bez zapreka.</w:t>
            </w:r>
          </w:p>
        </w:tc>
      </w:tr>
      <w:tr w:rsidR="00615E2D" w14:paraId="36B6665E" w14:textId="77777777">
        <w:trPr>
          <w:trHeight w:val="67"/>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B39A659" w14:textId="77777777" w:rsidR="00615E2D" w:rsidRDefault="00C83E46">
            <w:pPr>
              <w:pStyle w:val="P68B1DB1-Normal28"/>
              <w:spacing w:line="240" w:lineRule="auto"/>
              <w:jc w:val="center"/>
              <w:rPr>
                <w:noProof/>
              </w:rPr>
            </w:pPr>
            <w:r>
              <w:rPr>
                <w:noProof/>
              </w:rPr>
              <w:t>98</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DAF84C4"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1852446"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BCD7FCC" w14:textId="77777777" w:rsidR="00615E2D" w:rsidRDefault="00C83E46">
            <w:pPr>
              <w:pStyle w:val="P68B1DB1-Normal28"/>
              <w:spacing w:line="240" w:lineRule="auto"/>
              <w:rPr>
                <w:rFonts w:eastAsia="Times New Roman"/>
                <w:noProof/>
              </w:rPr>
            </w:pPr>
            <w:r>
              <w:rPr>
                <w:noProof/>
              </w:rPr>
              <w:t>Završetak željezničko-cestovnih prijelaza s povećanom sigurnošću</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5ACA44E"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B280D17" w14:textId="77777777" w:rsidR="00615E2D" w:rsidRDefault="00C83E46">
            <w:pPr>
              <w:pStyle w:val="P68B1DB1-Normal28"/>
              <w:spacing w:line="240" w:lineRule="auto"/>
              <w:rPr>
                <w:rFonts w:eastAsia="Times New Roman"/>
                <w:noProof/>
              </w:rPr>
            </w:pPr>
            <w:r>
              <w:rPr>
                <w:noProof/>
              </w:rPr>
              <w:t>Broj željezničko-cestovnih prijelaza s povećanom sigurnošću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8B1381" w14:textId="77777777" w:rsidR="00615E2D" w:rsidRDefault="00C83E46">
            <w:pPr>
              <w:pStyle w:val="P68B1DB1-Normal11"/>
              <w:spacing w:line="240" w:lineRule="auto"/>
              <w:jc w:val="center"/>
              <w:rPr>
                <w:noProof/>
              </w:rPr>
            </w:pPr>
            <w:r>
              <w:rPr>
                <w:noProof/>
              </w:rPr>
              <w:t>160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4782849" w14:textId="77777777" w:rsidR="00615E2D" w:rsidRDefault="00C83E46">
            <w:pPr>
              <w:pStyle w:val="P68B1DB1-Normal11"/>
              <w:spacing w:line="240" w:lineRule="auto"/>
              <w:jc w:val="center"/>
              <w:rPr>
                <w:noProof/>
              </w:rPr>
            </w:pPr>
            <w:r>
              <w:rPr>
                <w:noProof/>
              </w:rPr>
              <w:t>291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AE4C10" w14:textId="77777777" w:rsidR="00615E2D" w:rsidRDefault="00C83E46">
            <w:pPr>
              <w:pStyle w:val="P68B1DB1-Normal28"/>
              <w:spacing w:line="240" w:lineRule="auto"/>
              <w:jc w:val="center"/>
              <w:rPr>
                <w:rFonts w:eastAsia="Times New Roman"/>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A8EFF5" w14:textId="77777777" w:rsidR="00615E2D" w:rsidRDefault="00C83E46">
            <w:pPr>
              <w:pStyle w:val="P68B1DB1-Normal11"/>
              <w:spacing w:line="240" w:lineRule="auto"/>
              <w:jc w:val="center"/>
              <w:rPr>
                <w:noProof/>
              </w:rPr>
            </w:pPr>
            <w:r>
              <w:rPr>
                <w:noProof/>
              </w:rPr>
              <w:t>2024</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0A644A" w14:textId="77777777" w:rsidR="00615E2D" w:rsidRDefault="00C83E46">
            <w:pPr>
              <w:pStyle w:val="P68B1DB1-Normal28"/>
              <w:spacing w:line="240" w:lineRule="auto"/>
              <w:rPr>
                <w:rFonts w:eastAsia="Times New Roman"/>
                <w:noProof/>
              </w:rPr>
            </w:pPr>
            <w:r>
              <w:rPr>
                <w:noProof/>
              </w:rPr>
              <w:t>Željezničko-cestovni prijelazi s povećanom razinom zaštite, s novougrađenim ili moderniziranim sustavom za upozoravanje na bljeska svjetla ili mehaničkim sigurnosnim instalacijama.</w:t>
            </w:r>
          </w:p>
        </w:tc>
      </w:tr>
      <w:tr w:rsidR="00615E2D" w14:paraId="2359C551"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81E4D1" w14:textId="77777777" w:rsidR="00615E2D" w:rsidRDefault="00C83E46">
            <w:pPr>
              <w:pStyle w:val="P68B1DB1-Normal28"/>
              <w:spacing w:line="240" w:lineRule="auto"/>
              <w:jc w:val="center"/>
              <w:rPr>
                <w:noProof/>
              </w:rPr>
            </w:pPr>
            <w:r>
              <w:rPr>
                <w:noProof/>
              </w:rPr>
              <w:t>99</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33D00A"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6C0C641"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C82956A" w14:textId="77777777" w:rsidR="00615E2D" w:rsidRDefault="00C83E46">
            <w:pPr>
              <w:pStyle w:val="P68B1DB1-Normal28"/>
              <w:spacing w:line="240" w:lineRule="auto"/>
              <w:rPr>
                <w:rFonts w:eastAsia="Times New Roman"/>
                <w:noProof/>
              </w:rPr>
            </w:pPr>
            <w:r>
              <w:rPr>
                <w:noProof/>
              </w:rPr>
              <w:t>Dovršetak moderniziranih željezničkih mostova ili tunela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8AAC945"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F813AA" w14:textId="77777777" w:rsidR="00615E2D" w:rsidRDefault="00C83E46">
            <w:pPr>
              <w:pStyle w:val="P68B1DB1-Normal28"/>
              <w:spacing w:line="240" w:lineRule="auto"/>
              <w:rPr>
                <w:rFonts w:eastAsia="Times New Roman"/>
                <w:noProof/>
              </w:rPr>
            </w:pPr>
            <w:r>
              <w:rPr>
                <w:noProof/>
              </w:rPr>
              <w:t>Broj moderniziranih umjetnih željezničkih konstrukcija (mostovi/tunelovi)</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17320E" w14:textId="77777777" w:rsidR="00615E2D" w:rsidRDefault="00C83E46">
            <w:pPr>
              <w:pStyle w:val="P68B1DB1-Normal11"/>
              <w:spacing w:line="240" w:lineRule="auto"/>
              <w:jc w:val="center"/>
              <w:rPr>
                <w:noProof/>
              </w:rPr>
            </w:pPr>
            <w:r>
              <w:rPr>
                <w:noProof/>
              </w:rPr>
              <w:t>6</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6E82000" w14:textId="77777777" w:rsidR="00615E2D" w:rsidRDefault="00C83E46">
            <w:pPr>
              <w:pStyle w:val="P68B1DB1-Normal11"/>
              <w:spacing w:line="240" w:lineRule="auto"/>
              <w:jc w:val="center"/>
              <w:rPr>
                <w:noProof/>
              </w:rPr>
            </w:pPr>
            <w:r>
              <w:rPr>
                <w:noProof/>
              </w:rPr>
              <w:t>7</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2205C78" w14:textId="77777777" w:rsidR="00615E2D" w:rsidRDefault="00C83E46">
            <w:pPr>
              <w:pStyle w:val="P68B1DB1-Normal28"/>
              <w:spacing w:line="240" w:lineRule="auto"/>
              <w:jc w:val="center"/>
              <w:rPr>
                <w:rFonts w:eastAsia="Times New Roman"/>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E88317A" w14:textId="77777777" w:rsidR="00615E2D" w:rsidRDefault="00C83E46">
            <w:pPr>
              <w:pStyle w:val="P68B1DB1-Normal11"/>
              <w:spacing w:line="240" w:lineRule="auto"/>
              <w:jc w:val="center"/>
              <w:rPr>
                <w:noProof/>
              </w:rPr>
            </w:pPr>
            <w:r>
              <w:rPr>
                <w:noProof/>
              </w:rPr>
              <w:t>2023</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9DECC8A" w14:textId="77777777" w:rsidR="00615E2D" w:rsidRDefault="00C83E46">
            <w:pPr>
              <w:pStyle w:val="P68B1DB1-Normal28"/>
              <w:spacing w:line="240" w:lineRule="auto"/>
              <w:rPr>
                <w:rFonts w:eastAsia="Times New Roman"/>
                <w:noProof/>
              </w:rPr>
            </w:pPr>
            <w:r>
              <w:rPr>
                <w:noProof/>
              </w:rPr>
              <w:t>Modernizirana umjetna željeznička struktura za operativnu fazu.</w:t>
            </w:r>
          </w:p>
        </w:tc>
      </w:tr>
      <w:tr w:rsidR="00615E2D" w14:paraId="70CA72E1" w14:textId="77777777">
        <w:trPr>
          <w:trHeight w:val="94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5F37F94" w14:textId="77777777" w:rsidR="00615E2D" w:rsidRDefault="00C83E46">
            <w:pPr>
              <w:pStyle w:val="P68B1DB1-Normal28"/>
              <w:spacing w:line="240" w:lineRule="auto"/>
              <w:jc w:val="center"/>
              <w:rPr>
                <w:noProof/>
              </w:rPr>
            </w:pPr>
            <w:r>
              <w:rPr>
                <w:noProof/>
              </w:rPr>
              <w:t>100</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7231B9"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CEA61B2"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6B2BB2F" w14:textId="77777777" w:rsidR="00615E2D" w:rsidRDefault="00C83E46">
            <w:pPr>
              <w:pStyle w:val="P68B1DB1-Normal28"/>
              <w:spacing w:line="240" w:lineRule="auto"/>
              <w:rPr>
                <w:rFonts w:eastAsia="Times New Roman"/>
                <w:noProof/>
              </w:rPr>
            </w:pPr>
            <w:r>
              <w:rPr>
                <w:noProof/>
              </w:rPr>
              <w:t>Završetak izgrađenih biciklističkih staza, pločnika i putova bez prepreka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C3EBE3"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3D604D" w14:textId="77777777" w:rsidR="00615E2D" w:rsidRDefault="00C83E46">
            <w:pPr>
              <w:pStyle w:val="P68B1DB1-Normal28"/>
              <w:spacing w:line="240" w:lineRule="auto"/>
              <w:rPr>
                <w:rFonts w:eastAsia="Times New Roman"/>
                <w:noProof/>
              </w:rPr>
            </w:pPr>
            <w:r>
              <w:rPr>
                <w:noProof/>
              </w:rPr>
              <w:t>Duljina izgrađenih biciklističkih staza, pločnika, putovi bez prepreka – km</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1A40EC3" w14:textId="77777777" w:rsidR="00615E2D" w:rsidRDefault="00C83E46">
            <w:pPr>
              <w:pStyle w:val="P68B1DB1-Normal11"/>
              <w:spacing w:line="240" w:lineRule="auto"/>
              <w:jc w:val="center"/>
              <w:rPr>
                <w:noProof/>
              </w:rPr>
            </w:pPr>
            <w:r>
              <w:rPr>
                <w:noProof/>
              </w:rPr>
              <w:t>49</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DD72FCC" w14:textId="77777777" w:rsidR="00615E2D" w:rsidRDefault="00C83E46">
            <w:pPr>
              <w:pStyle w:val="P68B1DB1-Normal11"/>
              <w:spacing w:line="240" w:lineRule="auto"/>
              <w:jc w:val="center"/>
              <w:rPr>
                <w:noProof/>
              </w:rPr>
            </w:pPr>
            <w:r>
              <w:rPr>
                <w:noProof/>
              </w:rPr>
              <w:t>85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518099"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BF3F1A" w14:textId="77777777" w:rsidR="00615E2D" w:rsidRDefault="00C83E46">
            <w:pPr>
              <w:pStyle w:val="P68B1DB1-Normal11"/>
              <w:spacing w:line="240" w:lineRule="auto"/>
              <w:jc w:val="center"/>
              <w:rPr>
                <w:noProof/>
              </w:rPr>
            </w:pPr>
            <w:r>
              <w:rPr>
                <w:noProof/>
              </w:rPr>
              <w:t>2023</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BE4BA43" w14:textId="77777777" w:rsidR="00615E2D" w:rsidRDefault="00C83E46">
            <w:pPr>
              <w:pStyle w:val="P68B1DB1-Normal28"/>
              <w:spacing w:line="240" w:lineRule="auto"/>
              <w:rPr>
                <w:rFonts w:eastAsia="Times New Roman"/>
                <w:noProof/>
              </w:rPr>
            </w:pPr>
            <w:r>
              <w:rPr>
                <w:noProof/>
              </w:rPr>
              <w:t>Dužina izgrađenih biciklističkih staza/bočnih putova bez zapreka.</w:t>
            </w:r>
          </w:p>
        </w:tc>
      </w:tr>
      <w:tr w:rsidR="00615E2D" w14:paraId="56B5717A" w14:textId="77777777">
        <w:trPr>
          <w:trHeight w:val="439"/>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1A61A13" w14:textId="77777777" w:rsidR="00615E2D" w:rsidRDefault="00C83E46">
            <w:pPr>
              <w:pStyle w:val="P68B1DB1-Normal28"/>
              <w:spacing w:line="240" w:lineRule="auto"/>
              <w:jc w:val="center"/>
              <w:rPr>
                <w:noProof/>
              </w:rPr>
            </w:pPr>
            <w:r>
              <w:rPr>
                <w:noProof/>
              </w:rPr>
              <w:t>101</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C4319F3" w14:textId="77777777" w:rsidR="00615E2D" w:rsidRDefault="00C83E46">
            <w:pPr>
              <w:pStyle w:val="P68B1DB1-Normal28"/>
              <w:spacing w:line="240" w:lineRule="auto"/>
              <w:rPr>
                <w:rFonts w:eastAsia="Times New Roman"/>
                <w:noProof/>
              </w:rPr>
            </w:pPr>
            <w:r>
              <w:rPr>
                <w:noProof/>
              </w:rPr>
              <w:t>Ulaganje 4: Sigurnost na cestama i željeznicama (željeznički prijelazi, mostovi i tuneli, biciklističke staze i putovi bez prepreka)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5477152" w14:textId="77777777" w:rsidR="00615E2D" w:rsidRDefault="00C83E46">
            <w:pPr>
              <w:pStyle w:val="P68B1DB1-Normal28"/>
              <w:spacing w:line="240" w:lineRule="auto"/>
              <w:rPr>
                <w:rFonts w:eastAsia="Times New Roman"/>
                <w:noProof/>
              </w:rPr>
            </w:pPr>
            <w:r>
              <w:rPr>
                <w:noProof/>
              </w:rPr>
              <w:t>Ciljna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0D31BF3" w14:textId="77777777" w:rsidR="00615E2D" w:rsidRDefault="00C83E46">
            <w:pPr>
              <w:pStyle w:val="P68B1DB1-Normal28"/>
              <w:spacing w:line="240" w:lineRule="auto"/>
              <w:rPr>
                <w:rFonts w:eastAsia="Times New Roman"/>
                <w:noProof/>
              </w:rPr>
            </w:pPr>
            <w:r>
              <w:rPr>
                <w:noProof/>
              </w:rPr>
              <w:t>Dovršetak moderniziranih željezničkih mostova ili tunela</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DE405DC" w14:textId="77777777" w:rsidR="00615E2D" w:rsidRDefault="00615E2D">
            <w:pPr>
              <w:spacing w:line="240" w:lineRule="auto"/>
              <w:rPr>
                <w:rFonts w:eastAsia="Times New Roman"/>
                <w:noProof/>
                <w:color w:val="006100"/>
                <w:sz w:val="18"/>
              </w:rPr>
            </w:pP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FC16E75" w14:textId="77777777" w:rsidR="00615E2D" w:rsidRDefault="00C83E46">
            <w:pPr>
              <w:pStyle w:val="P68B1DB1-Normal28"/>
              <w:spacing w:line="240" w:lineRule="auto"/>
              <w:rPr>
                <w:rFonts w:eastAsia="Times New Roman"/>
                <w:noProof/>
              </w:rPr>
            </w:pPr>
            <w:r>
              <w:rPr>
                <w:noProof/>
              </w:rPr>
              <w:t>Broj moderniziranih umjetnih željezničkih konstrukcija (mostovi/tunelovi)</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B77EC8" w14:textId="77777777" w:rsidR="00615E2D" w:rsidRDefault="00C83E46">
            <w:pPr>
              <w:pStyle w:val="P68B1DB1-Normal11"/>
              <w:spacing w:line="240" w:lineRule="auto"/>
              <w:jc w:val="center"/>
              <w:rPr>
                <w:noProof/>
              </w:rPr>
            </w:pPr>
            <w:r>
              <w:rPr>
                <w:noProof/>
              </w:rPr>
              <w:t>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C87974C" w14:textId="77777777" w:rsidR="00615E2D" w:rsidRDefault="00C83E46">
            <w:pPr>
              <w:pStyle w:val="P68B1DB1-Normal11"/>
              <w:spacing w:line="240" w:lineRule="auto"/>
              <w:jc w:val="center"/>
              <w:rPr>
                <w:noProof/>
              </w:rPr>
            </w:pPr>
            <w:r>
              <w:rPr>
                <w:noProof/>
              </w:rPr>
              <w:t>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8C413E0"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53B6D57" w14:textId="77777777" w:rsidR="00615E2D" w:rsidRDefault="00C83E46">
            <w:pPr>
              <w:pStyle w:val="P68B1DB1-Normal11"/>
              <w:spacing w:line="240" w:lineRule="auto"/>
              <w:jc w:val="center"/>
              <w:rPr>
                <w:noProof/>
              </w:rPr>
            </w:pPr>
            <w:r>
              <w:rPr>
                <w:noProof/>
              </w:rPr>
              <w:t>2023</w:t>
            </w:r>
          </w:p>
        </w:tc>
        <w:tc>
          <w:tcPr>
            <w:tcW w:w="3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DE6AD7" w14:textId="77777777" w:rsidR="00615E2D" w:rsidRDefault="00C83E46">
            <w:pPr>
              <w:pStyle w:val="P68B1DB1-Normal28"/>
              <w:pageBreakBefore/>
              <w:spacing w:line="240" w:lineRule="auto"/>
              <w:rPr>
                <w:rFonts w:eastAsia="Times New Roman"/>
                <w:noProof/>
              </w:rPr>
            </w:pPr>
            <w:r>
              <w:rPr>
                <w:noProof/>
              </w:rPr>
              <w:t>Modernizirana umjetna željeznička struktura za operativnu fazu.</w:t>
            </w:r>
          </w:p>
        </w:tc>
      </w:tr>
    </w:tbl>
    <w:p w14:paraId="7ED7133A" w14:textId="77777777" w:rsidR="00615E2D" w:rsidRDefault="00615E2D">
      <w:pPr>
        <w:spacing w:line="240" w:lineRule="auto"/>
        <w:jc w:val="both"/>
        <w:rPr>
          <w:b/>
          <w:noProof/>
          <w:u w:val="single"/>
          <w:shd w:val="clear" w:color="auto" w:fill="E6E6E6"/>
        </w:rPr>
        <w:sectPr w:rsidR="00615E2D" w:rsidSect="00D57C66">
          <w:headerReference w:type="even" r:id="rId156"/>
          <w:headerReference w:type="default" r:id="rId157"/>
          <w:footerReference w:type="even" r:id="rId158"/>
          <w:footerReference w:type="default" r:id="rId159"/>
          <w:headerReference w:type="first" r:id="rId160"/>
          <w:footerReference w:type="first" r:id="rId161"/>
          <w:pgSz w:w="16839" w:h="11907" w:orient="landscape"/>
          <w:pgMar w:top="1134" w:right="1134" w:bottom="1134" w:left="1134" w:header="567" w:footer="567" w:gutter="0"/>
          <w:cols w:space="720"/>
          <w:docGrid w:linePitch="326"/>
        </w:sectPr>
      </w:pPr>
    </w:p>
    <w:p w14:paraId="3EA4120E" w14:textId="238C41FE" w:rsidR="00615E2D" w:rsidRDefault="00C83E46">
      <w:pPr>
        <w:pStyle w:val="P68B1DB1-Normal2"/>
        <w:keepNext/>
        <w:tabs>
          <w:tab w:val="left" w:pos="850"/>
        </w:tabs>
        <w:spacing w:before="360" w:line="240" w:lineRule="auto"/>
        <w:jc w:val="both"/>
        <w:outlineLvl w:val="0"/>
        <w:rPr>
          <w:noProof/>
        </w:rPr>
      </w:pPr>
      <w:r>
        <w:rPr>
          <w:noProof/>
        </w:rPr>
        <w:t xml:space="preserve">I. SASTAVNICA 2.2.: Smanjenje potrošnje energije u javnom sektoru </w:t>
      </w:r>
    </w:p>
    <w:p w14:paraId="37557788" w14:textId="77777777" w:rsidR="00615E2D" w:rsidRDefault="00C83E46">
      <w:pPr>
        <w:spacing w:line="240" w:lineRule="auto"/>
        <w:jc w:val="both"/>
        <w:rPr>
          <w:noProof/>
        </w:rPr>
      </w:pPr>
      <w:r>
        <w:rPr>
          <w:noProof/>
        </w:rPr>
        <w:t xml:space="preserve">Tom komponentom </w:t>
      </w:r>
      <w:r>
        <w:rPr>
          <w:rFonts w:eastAsia="Times New Roman"/>
          <w:noProof/>
        </w:rPr>
        <w:t xml:space="preserve">češkog plana za oporavak i otpornost </w:t>
      </w:r>
      <w:r>
        <w:rPr>
          <w:noProof/>
        </w:rPr>
        <w:t xml:space="preserve">rješava se problem energetske učinkovitosti u javnom sektoru obnovom državnih i javnih zgrada te modernizacijom javne rasvjete. </w:t>
      </w:r>
    </w:p>
    <w:p w14:paraId="64D76B14" w14:textId="77777777" w:rsidR="00615E2D" w:rsidRDefault="00C83E46">
      <w:pPr>
        <w:spacing w:line="240" w:lineRule="auto"/>
        <w:jc w:val="both"/>
        <w:rPr>
          <w:noProof/>
        </w:rPr>
      </w:pPr>
      <w:r>
        <w:rPr>
          <w:noProof/>
        </w:rPr>
        <w:t xml:space="preserve">Komponenta odražava obveze Češke da poboljša energetsku učinkovitost nacionalnog gospodarstva do 2030. Cilj mu je smanjiti krajnju potrošnju energije u relevantnim državnim i javnim zgradama, povećati broj visokokvalitetnih obnova u javnom sektoru i smanjiti krajnju potrošnju energije javne rasvjete. </w:t>
      </w:r>
    </w:p>
    <w:p w14:paraId="3733D3D4" w14:textId="77777777" w:rsidR="00615E2D" w:rsidRDefault="00C83E46">
      <w:pPr>
        <w:spacing w:line="240" w:lineRule="auto"/>
        <w:jc w:val="both"/>
        <w:rPr>
          <w:noProof/>
          <w:sz w:val="22"/>
        </w:rPr>
      </w:pPr>
      <w:r>
        <w:rPr>
          <w:noProof/>
        </w:rPr>
        <w:t>Komponentom se podupire odgovor na preporuku za tu zemlju o niskougljičnoj i energetskoj tranziciji, uključujući energetsku učinkovitost (3. preporuka za pojedinu zemlju iz 2019.) te o čistoj i učinkovitoj proizvodnji i uporabi energije (3. preporuka za pojedinu zemlju iz 2020.).</w:t>
      </w:r>
    </w:p>
    <w:p w14:paraId="2146149F" w14:textId="36971219" w:rsidR="00615E2D" w:rsidRDefault="00C83E46">
      <w:pPr>
        <w:spacing w:line="240" w:lineRule="auto"/>
        <w:jc w:val="both"/>
        <w:rPr>
          <w:noProof/>
        </w:rPr>
      </w:pPr>
      <w:r>
        <w:rPr>
          <w:noProof/>
        </w:rPr>
        <w:t xml:space="preserve">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 Pri poboljšanju energetskih svojstava državnih i javnih zgrada najmanje 70 % građevinskog otpada i otpada od rušenja priprema se za ponovnu uporabu ili recikliranje. </w:t>
      </w:r>
    </w:p>
    <w:p w14:paraId="5C9E088B" w14:textId="77777777" w:rsidR="00615E2D" w:rsidRDefault="00615E2D">
      <w:pPr>
        <w:spacing w:line="240" w:lineRule="auto"/>
        <w:jc w:val="both"/>
        <w:rPr>
          <w:noProof/>
        </w:rPr>
      </w:pPr>
    </w:p>
    <w:p w14:paraId="1891D727" w14:textId="612C5092" w:rsidR="00615E2D" w:rsidRDefault="00C83E46">
      <w:pPr>
        <w:pStyle w:val="P68B1DB1-Normal5"/>
        <w:spacing w:line="240" w:lineRule="auto"/>
        <w:jc w:val="both"/>
        <w:rPr>
          <w:noProof/>
        </w:rPr>
      </w:pPr>
      <w:r>
        <w:rPr>
          <w:noProof/>
        </w:rPr>
        <w:t>I.1. Opis reformi i ulaganja za programe bespovratne financijske potpore</w:t>
      </w:r>
    </w:p>
    <w:p w14:paraId="2DF7C045" w14:textId="77777777" w:rsidR="00615E2D" w:rsidRDefault="00C83E46">
      <w:pPr>
        <w:pStyle w:val="P68B1DB1-Normal7"/>
        <w:spacing w:line="240" w:lineRule="auto"/>
        <w:jc w:val="both"/>
        <w:rPr>
          <w:noProof/>
        </w:rPr>
      </w:pPr>
      <w:r>
        <w:rPr>
          <w:noProof/>
        </w:rPr>
        <w:t>Ulaganje 1: Poboljšanje energetskih svojstava državnih zgrada</w:t>
      </w:r>
    </w:p>
    <w:p w14:paraId="5396018F" w14:textId="6881B504" w:rsidR="00615E2D" w:rsidRDefault="00C83E46">
      <w:pPr>
        <w:spacing w:line="240" w:lineRule="auto"/>
        <w:jc w:val="both"/>
        <w:rPr>
          <w:noProof/>
        </w:rPr>
      </w:pPr>
      <w:r>
        <w:rPr>
          <w:noProof/>
        </w:rPr>
        <w:t xml:space="preserve">Cilj je ovog ulaganja smanjiti krajnju potrošnju energije u zgradama državne uprave koje dugoročno ne ispunjavaju minimalne zahtjeve energetskih svojstava te povećati broj visokokvalitetnih i umjereno dubokih ili dubinskih obnova. Financiraju se samo projekti kojima </w:t>
      </w:r>
      <w:r>
        <w:rPr>
          <w:rFonts w:eastAsia="Times New Roman"/>
          <w:noProof/>
        </w:rPr>
        <w:t>se u prosjeku</w:t>
      </w:r>
      <w:r>
        <w:rPr>
          <w:noProof/>
        </w:rPr>
        <w:t xml:space="preserve"> postiže smanjenje potrošnje primarne energije od najmanje 30 % ili smanjenje emisija CO2 od 30 %. </w:t>
      </w:r>
    </w:p>
    <w:p w14:paraId="237AAC09" w14:textId="39A4A34A" w:rsidR="00615E2D" w:rsidRDefault="00C83E46">
      <w:pPr>
        <w:tabs>
          <w:tab w:val="left" w:pos="1402"/>
        </w:tabs>
        <w:spacing w:before="0" w:after="300" w:line="280" w:lineRule="exact"/>
        <w:jc w:val="both"/>
        <w:rPr>
          <w:rFonts w:eastAsia="Segoe UI" w:cs="Segoe UI"/>
          <w:noProof/>
          <w:color w:val="000000"/>
        </w:rPr>
      </w:pPr>
      <w:r>
        <w:rPr>
          <w:noProof/>
        </w:rPr>
        <w:t xml:space="preserve">Cilj je ulaganja poduprijeti najmanje 100 projekata obnove zgrada, uključujući izolaciju zgrada, </w:t>
      </w:r>
      <w:r>
        <w:rPr>
          <w:rFonts w:eastAsia="Segoe UI"/>
          <w:noProof/>
          <w:color w:val="000000"/>
        </w:rPr>
        <w:t xml:space="preserve">razmjenu i obnovu prozora </w:t>
      </w:r>
      <w:r>
        <w:rPr>
          <w:noProof/>
        </w:rPr>
        <w:t>i vrata, ugradnju sustava koji se temelje na obnovljivim izvorima energije ili provedbu mjera za poboljšanje unutarnjeg okruženja koje imaju dokaziv utjecaj na energetska svojstva zgrada.</w:t>
      </w:r>
    </w:p>
    <w:p w14:paraId="34268A2C" w14:textId="7C1927CB" w:rsidR="00615E2D" w:rsidRDefault="00C83E46">
      <w:pPr>
        <w:tabs>
          <w:tab w:val="left" w:pos="1402"/>
        </w:tabs>
        <w:spacing w:before="0" w:after="300" w:line="280" w:lineRule="exact"/>
        <w:jc w:val="both"/>
        <w:rPr>
          <w:noProof/>
        </w:rPr>
      </w:pPr>
      <w:r>
        <w:rPr>
          <w:noProof/>
        </w:rPr>
        <w:t xml:space="preserve">75 % projekata ugovorit će se do 31. prosinca 2024. </w:t>
      </w:r>
    </w:p>
    <w:p w14:paraId="458F769A" w14:textId="77777777" w:rsidR="00615E2D" w:rsidRDefault="00C83E46">
      <w:pPr>
        <w:tabs>
          <w:tab w:val="left" w:pos="1402"/>
        </w:tabs>
        <w:spacing w:before="0" w:after="300" w:line="280" w:lineRule="exact"/>
        <w:jc w:val="both"/>
        <w:rPr>
          <w:noProof/>
        </w:rPr>
      </w:pPr>
      <w:r>
        <w:rPr>
          <w:noProof/>
        </w:rPr>
        <w:t>Kako bi se bolje pripremilo to ulaganje, Ministarstvo industrije i trgovine do 31. prosinca 2021. donosi i objavljuje predložak ugovora za usluge povezane s metodom sklapanja ugovora o energetskom učinku s jamstvom. Cilj mu je promicanje provedbe projekata s naglaskom na maksimiziranju prinosa ušteda energije u usporedbi s potrošenim sredstvima.</w:t>
      </w:r>
    </w:p>
    <w:p w14:paraId="2BC5C9C3" w14:textId="77777777" w:rsidR="00615E2D" w:rsidRDefault="00C83E46">
      <w:pPr>
        <w:spacing w:line="240" w:lineRule="auto"/>
        <w:jc w:val="both"/>
        <w:rPr>
          <w:noProof/>
        </w:rPr>
      </w:pPr>
      <w:r>
        <w:rPr>
          <w:noProof/>
        </w:rPr>
        <w:t xml:space="preserve">Provedba ulaganja mora biti dovršena do 31. ožujka 2026. </w:t>
      </w:r>
    </w:p>
    <w:p w14:paraId="5DDA132F" w14:textId="77777777" w:rsidR="00615E2D" w:rsidRDefault="00C83E46">
      <w:pPr>
        <w:pStyle w:val="P68B1DB1-Normal7"/>
        <w:spacing w:line="240" w:lineRule="auto"/>
        <w:jc w:val="both"/>
        <w:rPr>
          <w:noProof/>
        </w:rPr>
      </w:pPr>
      <w:r>
        <w:rPr>
          <w:noProof/>
        </w:rPr>
        <w:t>Ulaganje 2: Poboljšanje energetske učinkovitosti sustava javne rasvjete</w:t>
      </w:r>
    </w:p>
    <w:p w14:paraId="121EC7A5" w14:textId="77777777" w:rsidR="00615E2D" w:rsidRDefault="00C83E46">
      <w:pPr>
        <w:spacing w:line="240" w:lineRule="auto"/>
        <w:jc w:val="both"/>
        <w:rPr>
          <w:noProof/>
        </w:rPr>
      </w:pPr>
      <w:r>
        <w:rPr>
          <w:noProof/>
        </w:rPr>
        <w:t xml:space="preserve">Cilj je tog ulaganja omogućiti obnovu javne rasvjete u različitim općinama u Češkoj i omogućiti povezivanje tih obnova s drugim pametnim elementima kao što je potpora razvoju elektromobilnosti. </w:t>
      </w:r>
    </w:p>
    <w:p w14:paraId="41DDC90D" w14:textId="77777777" w:rsidR="00615E2D" w:rsidRDefault="00C83E46">
      <w:pPr>
        <w:spacing w:line="240" w:lineRule="auto"/>
        <w:jc w:val="both"/>
        <w:rPr>
          <w:noProof/>
        </w:rPr>
      </w:pPr>
      <w:r>
        <w:rPr>
          <w:noProof/>
        </w:rPr>
        <w:t xml:space="preserve">Financiraju se samo projekti kojima </w:t>
      </w:r>
      <w:r>
        <w:rPr>
          <w:rFonts w:eastAsia="Times New Roman"/>
          <w:noProof/>
        </w:rPr>
        <w:t>se u prosjeku</w:t>
      </w:r>
      <w:r>
        <w:rPr>
          <w:noProof/>
        </w:rPr>
        <w:t xml:space="preserve"> postiže smanjenje potrošnje primarne energije za najmanje 30 % ili smanjenje emisija CO2 od 30 %.</w:t>
      </w:r>
    </w:p>
    <w:p w14:paraId="7476D5D4" w14:textId="567DBA5C" w:rsidR="00615E2D" w:rsidRDefault="00C83E46">
      <w:pPr>
        <w:spacing w:line="240" w:lineRule="auto"/>
        <w:jc w:val="both"/>
        <w:rPr>
          <w:noProof/>
        </w:rPr>
      </w:pPr>
      <w:r>
        <w:rPr>
          <w:noProof/>
        </w:rPr>
        <w:t>Ulaganje uključuje potporu za najmanje 800 projekata obnove javnih sustava munje u različitim općinama u Češkoj, od čega će se 80 % ugovoriti do 31. prosinca 2024. Ulaganje uključuje obnovu sustava rasvjete i nabavu ili optimizaciju sustava upravljanja.</w:t>
      </w:r>
    </w:p>
    <w:p w14:paraId="0DF62B9E" w14:textId="77777777" w:rsidR="00615E2D" w:rsidRDefault="00C83E46">
      <w:pPr>
        <w:spacing w:line="240" w:lineRule="auto"/>
        <w:jc w:val="both"/>
        <w:rPr>
          <w:noProof/>
        </w:rPr>
      </w:pPr>
      <w:r>
        <w:rPr>
          <w:noProof/>
        </w:rPr>
        <w:t>Kako bi se bolje pripremilo to ulaganje, Ministarstvo industrije i trgovine donosi i objavljuje programsku dokumentaciju do 31. prosinca 2021. U njemu se utvrđuju vremenski raspored i uvjeti za potporu mjerama za obnovu javnih sustava munje, uključujući pametne elemente.</w:t>
      </w:r>
    </w:p>
    <w:p w14:paraId="37F3FAC8" w14:textId="77777777" w:rsidR="00615E2D" w:rsidRDefault="00C83E46">
      <w:pPr>
        <w:spacing w:line="240" w:lineRule="auto"/>
        <w:jc w:val="both"/>
        <w:rPr>
          <w:noProof/>
        </w:rPr>
      </w:pPr>
      <w:r>
        <w:rPr>
          <w:noProof/>
        </w:rPr>
        <w:t>Provedba ulaganja mora biti dovršena do 31. ožujka 2026.</w:t>
      </w:r>
    </w:p>
    <w:p w14:paraId="25E88ED8" w14:textId="77777777" w:rsidR="00615E2D" w:rsidRDefault="00C83E46">
      <w:pPr>
        <w:pStyle w:val="P68B1DB1-Normal7"/>
        <w:spacing w:line="240" w:lineRule="auto"/>
        <w:jc w:val="both"/>
        <w:rPr>
          <w:noProof/>
        </w:rPr>
      </w:pPr>
      <w:r>
        <w:rPr>
          <w:noProof/>
        </w:rPr>
        <w:t xml:space="preserve">Ulaganje 3: Poboljšanje energetske učinkovitosti javnih zgrada </w:t>
      </w:r>
    </w:p>
    <w:p w14:paraId="1EF02137" w14:textId="30634CDD" w:rsidR="00615E2D" w:rsidRDefault="00C83E46">
      <w:pPr>
        <w:pStyle w:val="pf0"/>
        <w:jc w:val="both"/>
        <w:rPr>
          <w:noProof/>
        </w:rPr>
      </w:pPr>
      <w:r>
        <w:rPr>
          <w:noProof/>
        </w:rPr>
        <w:t>Cilj je tog ulaganja smanjiti krajnju potrošnju energije u javnim zgradama koje dugoročno ne ispunjavaju minimalne zahtjeve energetskih svojstava te povećati broj visokokvalitetnih i umjereno dubokih ili temeljitih obnova. Financiraju se samo projekti kojima se u prosjeku postiže smanjenje potrošnje primarne energije za najmanje 30 % ili smanjenje emisija CO2 od 30 %.</w:t>
      </w:r>
    </w:p>
    <w:p w14:paraId="1332ED31" w14:textId="4EAD210A" w:rsidR="00615E2D" w:rsidRDefault="00C83E46">
      <w:pPr>
        <w:tabs>
          <w:tab w:val="left" w:pos="1402"/>
        </w:tabs>
        <w:spacing w:before="0" w:after="300" w:line="280" w:lineRule="exact"/>
        <w:jc w:val="both"/>
        <w:rPr>
          <w:rFonts w:eastAsia="Segoe UI" w:cs="Segoe UI"/>
          <w:noProof/>
          <w:color w:val="000000"/>
        </w:rPr>
      </w:pPr>
      <w:r>
        <w:rPr>
          <w:noProof/>
        </w:rPr>
        <w:t>Cilj je ulaganja poduprijeti najmanje 220 projekata obnove zgrada, uključujući izolaciju zgrada, razmjenu i obnovu prozora i vrata, ugradnju sustava koji se temelje na obnovljivim izvorima energije ili provedbu mjera za poboljšanje unutarnjeg okruženja koje imaju dokaziv utjecaj na energetska svojstva zgrada.</w:t>
      </w:r>
    </w:p>
    <w:p w14:paraId="23C21F7C" w14:textId="77777777" w:rsidR="00615E2D" w:rsidRDefault="00C83E46">
      <w:pPr>
        <w:spacing w:line="240" w:lineRule="auto"/>
        <w:jc w:val="both"/>
        <w:rPr>
          <w:noProof/>
        </w:rPr>
      </w:pPr>
      <w:r>
        <w:rPr>
          <w:noProof/>
        </w:rPr>
        <w:t>75 % projekata ugovorit će se do 31. prosinca 2023.</w:t>
      </w:r>
    </w:p>
    <w:p w14:paraId="693E91BD" w14:textId="77777777" w:rsidR="00615E2D" w:rsidRDefault="00C83E46">
      <w:pPr>
        <w:spacing w:line="240" w:lineRule="auto"/>
        <w:jc w:val="both"/>
        <w:rPr>
          <w:noProof/>
        </w:rPr>
      </w:pPr>
      <w:r>
        <w:rPr>
          <w:noProof/>
        </w:rPr>
        <w:t xml:space="preserve">Provedba ulaganja mora biti dovršena do 31. ožujka 2026. </w:t>
      </w:r>
    </w:p>
    <w:p w14:paraId="2069FA9F" w14:textId="77777777" w:rsidR="00615E2D" w:rsidRDefault="00615E2D">
      <w:pPr>
        <w:spacing w:line="240" w:lineRule="auto"/>
        <w:rPr>
          <w:rFonts w:ascii="Calibri" w:hAnsi="Calibri"/>
          <w:noProof/>
          <w:sz w:val="22"/>
        </w:rPr>
        <w:sectPr w:rsidR="00615E2D" w:rsidSect="00D57C66">
          <w:headerReference w:type="even" r:id="rId162"/>
          <w:headerReference w:type="default" r:id="rId163"/>
          <w:footerReference w:type="even" r:id="rId164"/>
          <w:footerReference w:type="default" r:id="rId165"/>
          <w:headerReference w:type="first" r:id="rId166"/>
          <w:footerReference w:type="first" r:id="rId167"/>
          <w:pgSz w:w="11907" w:h="16839"/>
          <w:pgMar w:top="1134" w:right="1134" w:bottom="1134" w:left="1134" w:header="567" w:footer="567" w:gutter="0"/>
          <w:cols w:space="720"/>
          <w:docGrid w:linePitch="326"/>
        </w:sectPr>
      </w:pPr>
    </w:p>
    <w:p w14:paraId="1A96A60D" w14:textId="2C42163C" w:rsidR="00615E2D" w:rsidRDefault="00C83E46">
      <w:pPr>
        <w:pStyle w:val="P68B1DB1-Normal8"/>
        <w:pBdr>
          <w:top w:val="nil"/>
          <w:left w:val="nil"/>
          <w:bottom w:val="nil"/>
          <w:right w:val="nil"/>
          <w:between w:val="nil"/>
        </w:pBdr>
        <w:tabs>
          <w:tab w:val="left" w:pos="993"/>
        </w:tabs>
        <w:spacing w:line="240" w:lineRule="auto"/>
        <w:rPr>
          <w:noProof/>
          <w:color w:val="006100"/>
          <w:sz w:val="15"/>
        </w:rPr>
      </w:pPr>
      <w:r>
        <w:rPr>
          <w:noProof/>
        </w:rPr>
        <w:t xml:space="preserve">I.2. Ključne etape, ciljne vrijednosti i vremenski raspored za praćenje i provedbu programa bespovratne financijske potpore </w:t>
      </w:r>
    </w:p>
    <w:tbl>
      <w:tblPr>
        <w:tblW w:w="14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3"/>
        <w:gridCol w:w="1168"/>
        <w:gridCol w:w="1115"/>
        <w:gridCol w:w="1281"/>
        <w:gridCol w:w="1407"/>
        <w:gridCol w:w="1031"/>
        <w:gridCol w:w="1031"/>
        <w:gridCol w:w="1031"/>
        <w:gridCol w:w="949"/>
        <w:gridCol w:w="706"/>
        <w:gridCol w:w="4226"/>
      </w:tblGrid>
      <w:tr w:rsidR="00615E2D" w14:paraId="04818075" w14:textId="77777777">
        <w:trPr>
          <w:trHeight w:val="75"/>
          <w:tblHeader/>
          <w:jc w:val="center"/>
        </w:trPr>
        <w:tc>
          <w:tcPr>
            <w:tcW w:w="663" w:type="dxa"/>
            <w:vMerge w:val="restart"/>
            <w:tcBorders>
              <w:top w:val="single" w:sz="8" w:space="0" w:color="000000"/>
              <w:left w:val="single" w:sz="8" w:space="0" w:color="000000"/>
              <w:right w:val="single" w:sz="8" w:space="0" w:color="000000"/>
            </w:tcBorders>
            <w:shd w:val="clear" w:color="auto" w:fill="BDD7EE"/>
            <w:vAlign w:val="center"/>
          </w:tcPr>
          <w:p w14:paraId="206CF4BA" w14:textId="77777777" w:rsidR="00615E2D" w:rsidRDefault="00C83E46">
            <w:pPr>
              <w:pStyle w:val="P68B1DB1-Normal9"/>
              <w:spacing w:line="240" w:lineRule="auto"/>
              <w:jc w:val="center"/>
              <w:rPr>
                <w:noProof/>
              </w:rPr>
            </w:pPr>
            <w:r>
              <w:rPr>
                <w:noProof/>
              </w:rPr>
              <w:t xml:space="preserve">Sljedeće NUM. </w:t>
            </w:r>
          </w:p>
        </w:tc>
        <w:tc>
          <w:tcPr>
            <w:tcW w:w="1188" w:type="dxa"/>
            <w:vMerge w:val="restart"/>
            <w:tcBorders>
              <w:top w:val="single" w:sz="8" w:space="0" w:color="000000"/>
              <w:left w:val="single" w:sz="8" w:space="0" w:color="000000"/>
              <w:right w:val="single" w:sz="8" w:space="0" w:color="000000"/>
            </w:tcBorders>
            <w:shd w:val="clear" w:color="auto" w:fill="BDD7EE"/>
            <w:vAlign w:val="center"/>
          </w:tcPr>
          <w:p w14:paraId="0EF5394C" w14:textId="77777777" w:rsidR="00615E2D" w:rsidRDefault="00C83E46">
            <w:pPr>
              <w:pStyle w:val="P68B1DB1-Normal9"/>
              <w:spacing w:line="240" w:lineRule="auto"/>
              <w:jc w:val="center"/>
              <w:rPr>
                <w:noProof/>
              </w:rPr>
            </w:pPr>
            <w:r>
              <w:rPr>
                <w:noProof/>
              </w:rPr>
              <w:t xml:space="preserve">Povezana mjera (reforma ili ulaganje) </w:t>
            </w:r>
          </w:p>
        </w:tc>
        <w:tc>
          <w:tcPr>
            <w:tcW w:w="1134" w:type="dxa"/>
            <w:vMerge w:val="restart"/>
            <w:tcBorders>
              <w:top w:val="single" w:sz="8" w:space="0" w:color="000000"/>
              <w:left w:val="single" w:sz="8" w:space="0" w:color="000000"/>
              <w:right w:val="single" w:sz="8" w:space="0" w:color="000000"/>
            </w:tcBorders>
            <w:shd w:val="clear" w:color="auto" w:fill="BDD7EE"/>
            <w:vAlign w:val="center"/>
          </w:tcPr>
          <w:p w14:paraId="70A3D526" w14:textId="77777777" w:rsidR="00615E2D" w:rsidRDefault="00C83E46">
            <w:pPr>
              <w:pStyle w:val="P68B1DB1-Normal9"/>
              <w:spacing w:line="240" w:lineRule="auto"/>
              <w:jc w:val="center"/>
              <w:rPr>
                <w:noProof/>
              </w:rPr>
            </w:pPr>
            <w:r>
              <w:rPr>
                <w:noProof/>
              </w:rPr>
              <w:t>Ključna etapa/ciljna vrijednost</w:t>
            </w:r>
          </w:p>
        </w:tc>
        <w:tc>
          <w:tcPr>
            <w:tcW w:w="1304" w:type="dxa"/>
            <w:vMerge w:val="restart"/>
            <w:tcBorders>
              <w:top w:val="single" w:sz="8" w:space="0" w:color="000000"/>
              <w:left w:val="single" w:sz="8" w:space="0" w:color="000000"/>
              <w:right w:val="single" w:sz="8" w:space="0" w:color="000000"/>
            </w:tcBorders>
            <w:shd w:val="clear" w:color="auto" w:fill="BDD7EE"/>
            <w:vAlign w:val="center"/>
          </w:tcPr>
          <w:p w14:paraId="58350A04" w14:textId="77777777" w:rsidR="00615E2D" w:rsidRDefault="00C83E46">
            <w:pPr>
              <w:pStyle w:val="P68B1DB1-Normal9"/>
              <w:spacing w:line="240" w:lineRule="auto"/>
              <w:jc w:val="center"/>
              <w:rPr>
                <w:noProof/>
              </w:rPr>
            </w:pPr>
            <w:r>
              <w:rPr>
                <w:noProof/>
              </w:rPr>
              <w:t>Ime</w:t>
            </w:r>
          </w:p>
        </w:tc>
        <w:tc>
          <w:tcPr>
            <w:tcW w:w="1432" w:type="dxa"/>
            <w:vMerge w:val="restart"/>
            <w:tcBorders>
              <w:top w:val="single" w:sz="8" w:space="0" w:color="000000"/>
              <w:left w:val="single" w:sz="8" w:space="0" w:color="000000"/>
              <w:right w:val="single" w:sz="8" w:space="0" w:color="000000"/>
            </w:tcBorders>
            <w:shd w:val="clear" w:color="auto" w:fill="BDD7EE"/>
            <w:vAlign w:val="center"/>
          </w:tcPr>
          <w:p w14:paraId="05CE14FF"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w:t>
            </w:r>
          </w:p>
        </w:tc>
        <w:tc>
          <w:tcPr>
            <w:tcW w:w="3144" w:type="dxa"/>
            <w:gridSpan w:val="3"/>
            <w:tcBorders>
              <w:top w:val="single" w:sz="8" w:space="0" w:color="000000"/>
              <w:left w:val="single" w:sz="8" w:space="0" w:color="000000"/>
              <w:bottom w:val="single" w:sz="8" w:space="0" w:color="000000"/>
              <w:right w:val="single" w:sz="8" w:space="0" w:color="000000"/>
            </w:tcBorders>
            <w:shd w:val="clear" w:color="auto" w:fill="BDD7EE"/>
            <w:vAlign w:val="center"/>
          </w:tcPr>
          <w:p w14:paraId="4E08306F"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507" w:type="dxa"/>
            <w:gridSpan w:val="2"/>
            <w:tcBorders>
              <w:top w:val="single" w:sz="8" w:space="0" w:color="000000"/>
              <w:left w:val="nil"/>
              <w:bottom w:val="single" w:sz="8" w:space="0" w:color="000000"/>
              <w:right w:val="single" w:sz="8" w:space="0" w:color="000000"/>
            </w:tcBorders>
            <w:shd w:val="clear" w:color="auto" w:fill="BDD7EE"/>
            <w:vAlign w:val="center"/>
          </w:tcPr>
          <w:p w14:paraId="2B36FC33" w14:textId="77777777" w:rsidR="00615E2D" w:rsidRDefault="00C83E46">
            <w:pPr>
              <w:pStyle w:val="P68B1DB1-Normal9"/>
              <w:spacing w:line="240" w:lineRule="auto"/>
              <w:jc w:val="center"/>
              <w:rPr>
                <w:noProof/>
              </w:rPr>
            </w:pPr>
            <w:r>
              <w:rPr>
                <w:noProof/>
              </w:rPr>
              <w:t xml:space="preserve">Okvirni vremenski okvir za dovršetak </w:t>
            </w:r>
          </w:p>
        </w:tc>
        <w:tc>
          <w:tcPr>
            <w:tcW w:w="4312" w:type="dxa"/>
            <w:vMerge w:val="restart"/>
            <w:tcBorders>
              <w:top w:val="single" w:sz="8" w:space="0" w:color="000000"/>
              <w:left w:val="nil"/>
              <w:right w:val="single" w:sz="8" w:space="0" w:color="000000"/>
            </w:tcBorders>
            <w:shd w:val="clear" w:color="auto" w:fill="BDD7EE"/>
            <w:vAlign w:val="center"/>
          </w:tcPr>
          <w:p w14:paraId="7775FD40"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067B3A51" w14:textId="77777777">
        <w:trPr>
          <w:trHeight w:val="600"/>
          <w:tblHeader/>
          <w:jc w:val="center"/>
        </w:trPr>
        <w:tc>
          <w:tcPr>
            <w:tcW w:w="663" w:type="dxa"/>
            <w:vMerge/>
            <w:vAlign w:val="center"/>
          </w:tcPr>
          <w:p w14:paraId="7729B3E2"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88" w:type="dxa"/>
            <w:vMerge/>
            <w:vAlign w:val="center"/>
          </w:tcPr>
          <w:p w14:paraId="15E6EBD3"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34" w:type="dxa"/>
            <w:vMerge/>
            <w:vAlign w:val="center"/>
          </w:tcPr>
          <w:p w14:paraId="56F1C7E8"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304" w:type="dxa"/>
            <w:vMerge/>
            <w:vAlign w:val="center"/>
          </w:tcPr>
          <w:p w14:paraId="148EE959"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432" w:type="dxa"/>
            <w:vMerge/>
            <w:vAlign w:val="center"/>
          </w:tcPr>
          <w:p w14:paraId="499ABB8C"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5019B6E3" w14:textId="77777777" w:rsidR="00615E2D" w:rsidRDefault="00C83E46">
            <w:pPr>
              <w:pStyle w:val="P68B1DB1-Normal9"/>
              <w:spacing w:line="240" w:lineRule="auto"/>
              <w:jc w:val="center"/>
              <w:rPr>
                <w:noProof/>
              </w:rPr>
            </w:pPr>
            <w:r>
              <w:rPr>
                <w:noProof/>
              </w:rPr>
              <w:t>Jedinica mjere</w:t>
            </w:r>
          </w:p>
        </w:tc>
        <w:tc>
          <w:tcPr>
            <w:tcW w:w="1048" w:type="dxa"/>
            <w:tcBorders>
              <w:top w:val="nil"/>
              <w:left w:val="single" w:sz="8" w:space="0" w:color="000000"/>
              <w:bottom w:val="single" w:sz="8" w:space="0" w:color="000000"/>
              <w:right w:val="single" w:sz="8" w:space="0" w:color="000000"/>
            </w:tcBorders>
            <w:shd w:val="clear" w:color="auto" w:fill="BDD7EE"/>
            <w:vAlign w:val="center"/>
          </w:tcPr>
          <w:p w14:paraId="0589F1D1" w14:textId="77777777" w:rsidR="00615E2D" w:rsidRDefault="00C83E46">
            <w:pPr>
              <w:pStyle w:val="P68B1DB1-Normal9"/>
              <w:spacing w:line="240" w:lineRule="auto"/>
              <w:jc w:val="center"/>
              <w:rPr>
                <w:noProof/>
              </w:rPr>
            </w:pPr>
            <w:r>
              <w:rPr>
                <w:noProof/>
              </w:rPr>
              <w:t>Osnovna vrijednost</w:t>
            </w:r>
          </w:p>
        </w:tc>
        <w:tc>
          <w:tcPr>
            <w:tcW w:w="1048" w:type="dxa"/>
            <w:tcBorders>
              <w:top w:val="nil"/>
              <w:left w:val="single" w:sz="8" w:space="0" w:color="000000"/>
              <w:bottom w:val="single" w:sz="8" w:space="0" w:color="000000"/>
              <w:right w:val="single" w:sz="8" w:space="0" w:color="000000"/>
            </w:tcBorders>
            <w:shd w:val="clear" w:color="auto" w:fill="BDD7EE"/>
            <w:vAlign w:val="center"/>
          </w:tcPr>
          <w:p w14:paraId="180EA01E" w14:textId="77777777" w:rsidR="00615E2D" w:rsidRDefault="00C83E46">
            <w:pPr>
              <w:pStyle w:val="P68B1DB1-Normal9"/>
              <w:spacing w:line="240" w:lineRule="auto"/>
              <w:jc w:val="center"/>
              <w:rPr>
                <w:noProof/>
              </w:rPr>
            </w:pPr>
            <w:r>
              <w:rPr>
                <w:noProof/>
              </w:rPr>
              <w:t>Cilj</w:t>
            </w:r>
          </w:p>
        </w:tc>
        <w:tc>
          <w:tcPr>
            <w:tcW w:w="964"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0421536D" w14:textId="77777777" w:rsidR="00615E2D" w:rsidRDefault="00C83E46">
            <w:pPr>
              <w:pStyle w:val="P68B1DB1-Normal9"/>
              <w:spacing w:line="240" w:lineRule="auto"/>
              <w:jc w:val="center"/>
              <w:rPr>
                <w:noProof/>
              </w:rPr>
            </w:pPr>
            <w:r>
              <w:rPr>
                <w:noProof/>
              </w:rPr>
              <w:t>Tromjesečje</w:t>
            </w:r>
          </w:p>
        </w:tc>
        <w:tc>
          <w:tcPr>
            <w:tcW w:w="716" w:type="dxa"/>
            <w:tcBorders>
              <w:top w:val="nil"/>
              <w:left w:val="single" w:sz="8" w:space="0" w:color="000000"/>
              <w:bottom w:val="single" w:sz="8" w:space="0" w:color="000000"/>
              <w:right w:val="single" w:sz="8" w:space="0" w:color="000000"/>
            </w:tcBorders>
            <w:shd w:val="clear" w:color="auto" w:fill="BDD7EE"/>
            <w:vAlign w:val="center"/>
          </w:tcPr>
          <w:p w14:paraId="0D8A3CBD" w14:textId="77777777" w:rsidR="00615E2D" w:rsidRDefault="00C83E46">
            <w:pPr>
              <w:pStyle w:val="P68B1DB1-Normal9"/>
              <w:spacing w:line="240" w:lineRule="auto"/>
              <w:jc w:val="center"/>
              <w:rPr>
                <w:noProof/>
              </w:rPr>
            </w:pPr>
            <w:r>
              <w:rPr>
                <w:noProof/>
              </w:rPr>
              <w:t>Godina</w:t>
            </w:r>
          </w:p>
        </w:tc>
        <w:tc>
          <w:tcPr>
            <w:tcW w:w="4312" w:type="dxa"/>
            <w:vMerge/>
            <w:vAlign w:val="center"/>
          </w:tcPr>
          <w:p w14:paraId="0B48E4B9"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r>
      <w:tr w:rsidR="00615E2D" w14:paraId="395A8C2E" w14:textId="77777777">
        <w:trPr>
          <w:trHeight w:val="945"/>
          <w:jc w:val="center"/>
        </w:trPr>
        <w:tc>
          <w:tcPr>
            <w:tcW w:w="663"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078F63D" w14:textId="77777777" w:rsidR="00615E2D" w:rsidRDefault="00C83E46">
            <w:pPr>
              <w:pStyle w:val="P68B1DB1-Normal15"/>
              <w:spacing w:line="240" w:lineRule="auto"/>
              <w:jc w:val="center"/>
              <w:rPr>
                <w:noProof/>
              </w:rPr>
            </w:pPr>
            <w:r>
              <w:rPr>
                <w:noProof/>
              </w:rPr>
              <w:t>102</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B8B6091" w14:textId="77777777" w:rsidR="00615E2D" w:rsidRDefault="00C83E46">
            <w:pPr>
              <w:pStyle w:val="P68B1DB1-Normal15"/>
              <w:spacing w:line="240" w:lineRule="auto"/>
              <w:rPr>
                <w:noProof/>
              </w:rPr>
            </w:pPr>
            <w:r>
              <w:rPr>
                <w:noProof/>
              </w:rPr>
              <w:t xml:space="preserve">Ulaganje 1: Poboljšanje energetskih svojstava državnih zgrada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D0495C9" w14:textId="77777777" w:rsidR="00615E2D" w:rsidRDefault="00C83E46">
            <w:pPr>
              <w:pStyle w:val="P68B1DB1-Normal15"/>
              <w:spacing w:line="240" w:lineRule="auto"/>
              <w:rPr>
                <w:noProof/>
              </w:rPr>
            </w:pPr>
            <w:r>
              <w:rPr>
                <w:noProof/>
              </w:rPr>
              <w:t>Prekretnica</w:t>
            </w:r>
          </w:p>
        </w:tc>
        <w:tc>
          <w:tcPr>
            <w:tcW w:w="130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3F30448" w14:textId="77777777" w:rsidR="00615E2D" w:rsidRDefault="00C83E46">
            <w:pPr>
              <w:pStyle w:val="P68B1DB1-Normal15"/>
              <w:spacing w:line="240" w:lineRule="auto"/>
              <w:rPr>
                <w:noProof/>
              </w:rPr>
            </w:pPr>
            <w:r>
              <w:rPr>
                <w:noProof/>
              </w:rPr>
              <w:t xml:space="preserve">Donošenje predloška ugovora od strane Ministarstva industrije i trgovine za usluge povezane s metodom sklapanja ugovora o energetskom učinku s jamstvom </w:t>
            </w:r>
          </w:p>
        </w:tc>
        <w:tc>
          <w:tcPr>
            <w:tcW w:w="143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CF803D7" w14:textId="77777777" w:rsidR="00615E2D" w:rsidRDefault="00C83E46">
            <w:pPr>
              <w:pStyle w:val="P68B1DB1-Normal15"/>
              <w:spacing w:line="240" w:lineRule="auto"/>
              <w:rPr>
                <w:noProof/>
              </w:rPr>
            </w:pPr>
            <w:r>
              <w:rPr>
                <w:noProof/>
              </w:rPr>
              <w:t xml:space="preserve">Objava predloška ugovora na internetskim stranicama Ministarstva </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1B8261A" w14:textId="77777777" w:rsidR="00615E2D" w:rsidRDefault="00615E2D">
            <w:pPr>
              <w:spacing w:line="240" w:lineRule="auto"/>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09A6280" w14:textId="77777777" w:rsidR="00615E2D" w:rsidRDefault="00615E2D">
            <w:pPr>
              <w:spacing w:line="240" w:lineRule="auto"/>
              <w:jc w:val="center"/>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DC1A50A" w14:textId="77777777" w:rsidR="00615E2D" w:rsidRDefault="00615E2D">
            <w:pPr>
              <w:spacing w:line="240" w:lineRule="auto"/>
              <w:jc w:val="center"/>
              <w:rPr>
                <w:rFonts w:eastAsia="Times New Roman"/>
                <w:noProof/>
                <w:color w:val="004300"/>
                <w:sz w:val="18"/>
              </w:rPr>
            </w:pP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8E530A0" w14:textId="77777777" w:rsidR="00615E2D" w:rsidRDefault="00C83E46">
            <w:pPr>
              <w:pStyle w:val="P68B1DB1-Normal15"/>
              <w:spacing w:line="240" w:lineRule="auto"/>
              <w:jc w:val="center"/>
              <w:rPr>
                <w:noProof/>
              </w:rPr>
            </w:pPr>
            <w:r>
              <w:rPr>
                <w:noProof/>
              </w:rPr>
              <w:t>ČETVRTO TROMJESEČJE</w:t>
            </w:r>
          </w:p>
        </w:tc>
        <w:tc>
          <w:tcPr>
            <w:tcW w:w="71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B87223E" w14:textId="77777777" w:rsidR="00615E2D" w:rsidRDefault="00C83E46">
            <w:pPr>
              <w:pStyle w:val="P68B1DB1-Normal15"/>
              <w:spacing w:line="240" w:lineRule="auto"/>
              <w:jc w:val="center"/>
              <w:rPr>
                <w:noProof/>
              </w:rPr>
            </w:pPr>
            <w:r>
              <w:rPr>
                <w:noProof/>
              </w:rPr>
              <w:t>2021</w:t>
            </w:r>
          </w:p>
        </w:tc>
        <w:tc>
          <w:tcPr>
            <w:tcW w:w="431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A39A69A" w14:textId="77777777" w:rsidR="00615E2D" w:rsidRDefault="00C83E46">
            <w:pPr>
              <w:pStyle w:val="P68B1DB1-Normal15"/>
              <w:spacing w:line="240" w:lineRule="auto"/>
              <w:rPr>
                <w:noProof/>
              </w:rPr>
            </w:pPr>
            <w:r>
              <w:rPr>
                <w:noProof/>
              </w:rPr>
              <w:t>Ministarstvo industrije i trgovine donosi predložak ugovora za usluge povezane s metodom sklapanja ugovora o energetskom učinku s jamstvom kako bi se promicala provedba projekata s naglaskom na maksimiziranju prinosa uštede energije u usporedbi s potrošenim sredstvima.</w:t>
            </w:r>
          </w:p>
          <w:p w14:paraId="60B92202" w14:textId="77777777" w:rsidR="00615E2D" w:rsidRDefault="00C83E46">
            <w:pPr>
              <w:pStyle w:val="P68B1DB1-Normal15"/>
              <w:spacing w:line="240" w:lineRule="auto"/>
              <w:rPr>
                <w:noProof/>
              </w:rPr>
            </w:pPr>
            <w:r>
              <w:rPr>
                <w:noProof/>
              </w:rPr>
              <w:t xml:space="preserve">Predložak ugovora objavljuje se na mrežnim stranicama Ministarstva.  </w:t>
            </w:r>
          </w:p>
        </w:tc>
      </w:tr>
      <w:tr w:rsidR="00615E2D" w14:paraId="189E4835" w14:textId="77777777">
        <w:trPr>
          <w:trHeight w:val="573"/>
          <w:jc w:val="center"/>
        </w:trPr>
        <w:tc>
          <w:tcPr>
            <w:tcW w:w="663"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1C0984D" w14:textId="77777777" w:rsidR="00615E2D" w:rsidRDefault="00C83E46">
            <w:pPr>
              <w:pStyle w:val="P68B1DB1-Normal15"/>
              <w:spacing w:line="240" w:lineRule="auto"/>
              <w:jc w:val="center"/>
              <w:rPr>
                <w:noProof/>
              </w:rPr>
            </w:pPr>
            <w:r>
              <w:rPr>
                <w:noProof/>
              </w:rPr>
              <w:t>103</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49FA8C6" w14:textId="77777777" w:rsidR="00615E2D" w:rsidRDefault="00C83E46">
            <w:pPr>
              <w:pStyle w:val="P68B1DB1-Normal15"/>
              <w:spacing w:line="240" w:lineRule="auto"/>
              <w:rPr>
                <w:noProof/>
              </w:rPr>
            </w:pPr>
            <w:r>
              <w:rPr>
                <w:noProof/>
              </w:rPr>
              <w:t xml:space="preserve">Ulaganje 1: Poboljšanje energetskih svojstava državnih zgrada </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C1A95DC" w14:textId="77777777" w:rsidR="00615E2D" w:rsidRDefault="00C83E46">
            <w:pPr>
              <w:pStyle w:val="P68B1DB1-Normal15"/>
              <w:spacing w:line="240" w:lineRule="auto"/>
              <w:rPr>
                <w:noProof/>
              </w:rPr>
            </w:pPr>
            <w:r>
              <w:rPr>
                <w:noProof/>
              </w:rPr>
              <w:t>Ciljna</w:t>
            </w:r>
          </w:p>
        </w:tc>
        <w:tc>
          <w:tcPr>
            <w:tcW w:w="130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2F40245" w14:textId="77777777" w:rsidR="00615E2D" w:rsidRDefault="00C83E46">
            <w:pPr>
              <w:pStyle w:val="P68B1DB1-Normal16"/>
              <w:spacing w:line="240" w:lineRule="auto"/>
              <w:rPr>
                <w:rFonts w:eastAsia="Times New Roman"/>
                <w:noProof/>
              </w:rPr>
            </w:pPr>
            <w:r>
              <w:rPr>
                <w:noProof/>
              </w:rPr>
              <w:t>Dodjela 75 % svih ugovora o javnoj nabavi za projekte obnove zgrada kojima se ostvaruje ušteda primarne energije od najmanje 30 %</w:t>
            </w:r>
          </w:p>
        </w:tc>
        <w:tc>
          <w:tcPr>
            <w:tcW w:w="143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607F9E3" w14:textId="77777777" w:rsidR="00615E2D" w:rsidRDefault="00615E2D">
            <w:pPr>
              <w:spacing w:line="240" w:lineRule="auto"/>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B0A7E17" w14:textId="77777777" w:rsidR="00615E2D" w:rsidRDefault="00C83E46">
            <w:pPr>
              <w:pStyle w:val="P68B1DB1-Normal15"/>
              <w:spacing w:line="240" w:lineRule="auto"/>
              <w:rPr>
                <w:noProof/>
              </w:rPr>
            </w:pPr>
            <w:r>
              <w:rPr>
                <w:noProof/>
              </w:rPr>
              <w:t xml:space="preserve">Postotak </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C93FF50" w14:textId="77777777" w:rsidR="00615E2D" w:rsidRDefault="00C83E46">
            <w:pPr>
              <w:pStyle w:val="P68B1DB1-Normal15"/>
              <w:spacing w:line="240" w:lineRule="auto"/>
              <w:jc w:val="center"/>
              <w:rPr>
                <w:noProof/>
              </w:rPr>
            </w:pPr>
            <w:r>
              <w:rPr>
                <w:noProof/>
              </w:rPr>
              <w:t>0</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4B67A6D" w14:textId="77777777" w:rsidR="00615E2D" w:rsidRDefault="00C83E46">
            <w:pPr>
              <w:pStyle w:val="P68B1DB1-Normal15"/>
              <w:spacing w:line="240" w:lineRule="auto"/>
              <w:jc w:val="center"/>
              <w:rPr>
                <w:noProof/>
              </w:rPr>
            </w:pPr>
            <w:r>
              <w:rPr>
                <w:noProof/>
              </w:rPr>
              <w:t>75</w:t>
            </w: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78383AF" w14:textId="77777777" w:rsidR="00615E2D" w:rsidRDefault="00C83E46">
            <w:pPr>
              <w:pStyle w:val="P68B1DB1-Normal15"/>
              <w:spacing w:line="240" w:lineRule="auto"/>
              <w:jc w:val="center"/>
              <w:rPr>
                <w:noProof/>
              </w:rPr>
            </w:pPr>
            <w:r>
              <w:rPr>
                <w:noProof/>
              </w:rPr>
              <w:t>ČETVRTO TROMJESEČJE</w:t>
            </w:r>
          </w:p>
        </w:tc>
        <w:tc>
          <w:tcPr>
            <w:tcW w:w="71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B5FB37B" w14:textId="4589C0A1" w:rsidR="00615E2D" w:rsidRDefault="00C83E46">
            <w:pPr>
              <w:pStyle w:val="P68B1DB1-Normal15"/>
              <w:spacing w:line="240" w:lineRule="auto"/>
              <w:jc w:val="center"/>
              <w:rPr>
                <w:noProof/>
              </w:rPr>
            </w:pPr>
            <w:r>
              <w:rPr>
                <w:noProof/>
              </w:rPr>
              <w:t>2024</w:t>
            </w:r>
          </w:p>
        </w:tc>
        <w:tc>
          <w:tcPr>
            <w:tcW w:w="431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1754688" w14:textId="77777777" w:rsidR="00615E2D" w:rsidRDefault="00C83E46">
            <w:pPr>
              <w:pStyle w:val="P68B1DB1-Normal16"/>
              <w:spacing w:line="240" w:lineRule="auto"/>
              <w:rPr>
                <w:noProof/>
              </w:rPr>
            </w:pPr>
            <w:r>
              <w:rPr>
                <w:noProof/>
              </w:rPr>
              <w:t xml:space="preserve">U okviru ove mjere podupire se ukupno najmanje 100 projekata obnove zgrada. Cilj se postiže nakon ugovaranja 75 % njih. Projekti se podnose MIT-u u okviru kontinuiranog poziva na podnošenje prijedloga i ocjenjuju na temelju utvrđenih kriterija, nakon transparentnog postupka odabira. </w:t>
            </w:r>
          </w:p>
          <w:p w14:paraId="4B1FA8DF" w14:textId="77777777" w:rsidR="00615E2D" w:rsidRDefault="00C83E46">
            <w:pPr>
              <w:pStyle w:val="P68B1DB1-Normal16"/>
              <w:spacing w:line="240" w:lineRule="auto"/>
              <w:rPr>
                <w:rFonts w:eastAsia="Times New Roman"/>
                <w:noProof/>
              </w:rPr>
            </w:pPr>
            <w:r>
              <w:rPr>
                <w:noProof/>
              </w:rPr>
              <w:t xml:space="preserve">Za provedbu se odabiru samo projekti kojima se u prosjeku postiže smanjenje potrošnje primarne energije od najmanje 30 % ili smanjenje emisija CO2 od 30 %. Ciljna vrijednost od 75 % odnosi se na projekte s potpisanim sporazumom o dodjeli bespovratnih sredstava. Ulaganja </w:t>
            </w:r>
            <w:r>
              <w:rPr>
                <w:rFonts w:eastAsia="Times New Roman"/>
                <w:noProof/>
              </w:rPr>
              <w:t xml:space="preserve">u zamjenu kotlova, uključujući one </w:t>
            </w:r>
            <w:r>
              <w:rPr>
                <w:noProof/>
              </w:rPr>
              <w:t>s prirodnim plinom kao izvorom energije, ograničena su na najviše 20 % ukupne dodjele.</w:t>
            </w:r>
          </w:p>
        </w:tc>
      </w:tr>
      <w:tr w:rsidR="00615E2D" w14:paraId="58D01BF7" w14:textId="77777777">
        <w:trPr>
          <w:trHeight w:val="945"/>
          <w:jc w:val="center"/>
        </w:trPr>
        <w:tc>
          <w:tcPr>
            <w:tcW w:w="663"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B44E0E4" w14:textId="77777777" w:rsidR="00615E2D" w:rsidRDefault="00C83E46">
            <w:pPr>
              <w:pStyle w:val="P68B1DB1-Normal15"/>
              <w:spacing w:line="240" w:lineRule="auto"/>
              <w:jc w:val="center"/>
              <w:rPr>
                <w:noProof/>
              </w:rPr>
            </w:pPr>
            <w:r>
              <w:rPr>
                <w:noProof/>
              </w:rPr>
              <w:t>104</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C7430D0" w14:textId="77777777" w:rsidR="00615E2D" w:rsidRDefault="00C83E46">
            <w:pPr>
              <w:pStyle w:val="P68B1DB1-Normal15"/>
              <w:spacing w:line="240" w:lineRule="auto"/>
              <w:rPr>
                <w:noProof/>
              </w:rPr>
            </w:pPr>
            <w:r>
              <w:rPr>
                <w:noProof/>
              </w:rPr>
              <w:t>Ulaganje 1: Poboljšanje energetskih svojstava državnih zgrada</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0819F49" w14:textId="77777777" w:rsidR="00615E2D" w:rsidRDefault="00C83E46">
            <w:pPr>
              <w:pStyle w:val="P68B1DB1-Normal15"/>
              <w:spacing w:line="240" w:lineRule="auto"/>
              <w:rPr>
                <w:noProof/>
              </w:rPr>
            </w:pPr>
            <w:r>
              <w:rPr>
                <w:noProof/>
              </w:rPr>
              <w:t>Ciljna</w:t>
            </w:r>
          </w:p>
        </w:tc>
        <w:tc>
          <w:tcPr>
            <w:tcW w:w="130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7C899F2" w14:textId="77777777" w:rsidR="00615E2D" w:rsidRDefault="00C83E46">
            <w:pPr>
              <w:pStyle w:val="P68B1DB1-Normal15"/>
              <w:spacing w:line="240" w:lineRule="auto"/>
              <w:rPr>
                <w:noProof/>
              </w:rPr>
            </w:pPr>
            <w:r>
              <w:rPr>
                <w:noProof/>
              </w:rPr>
              <w:t xml:space="preserve">Smanjenje potrošnje energije </w:t>
            </w:r>
          </w:p>
        </w:tc>
        <w:tc>
          <w:tcPr>
            <w:tcW w:w="143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5C6BE5D" w14:textId="77777777" w:rsidR="00615E2D" w:rsidRDefault="00615E2D">
            <w:pPr>
              <w:spacing w:line="240" w:lineRule="auto"/>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481F3BD" w14:textId="77777777" w:rsidR="00615E2D" w:rsidRDefault="00C83E46">
            <w:pPr>
              <w:pStyle w:val="P68B1DB1-Normal15"/>
              <w:spacing w:line="240" w:lineRule="auto"/>
              <w:rPr>
                <w:noProof/>
              </w:rPr>
            </w:pPr>
            <w:r>
              <w:rPr>
                <w:noProof/>
              </w:rPr>
              <w:t>Ušteda energije u džžulima tera godišnje</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8708089" w14:textId="77777777" w:rsidR="00615E2D" w:rsidRDefault="00C83E46">
            <w:pPr>
              <w:pStyle w:val="P68B1DB1-Normal15"/>
              <w:spacing w:line="240" w:lineRule="auto"/>
              <w:jc w:val="center"/>
              <w:rPr>
                <w:noProof/>
              </w:rPr>
            </w:pPr>
            <w:r>
              <w:rPr>
                <w:noProof/>
              </w:rPr>
              <w:t>0</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EFFF0AB" w14:textId="50AFCB8F" w:rsidR="00615E2D" w:rsidRDefault="00C83E46">
            <w:pPr>
              <w:pStyle w:val="P68B1DB1-Normal15"/>
              <w:spacing w:line="240" w:lineRule="auto"/>
              <w:jc w:val="center"/>
              <w:rPr>
                <w:noProof/>
              </w:rPr>
            </w:pPr>
            <w:r>
              <w:rPr>
                <w:noProof/>
              </w:rPr>
              <w:t>140</w:t>
            </w: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BC0B559" w14:textId="77777777" w:rsidR="00615E2D" w:rsidRDefault="00C83E46">
            <w:pPr>
              <w:pStyle w:val="P68B1DB1-Normal15"/>
              <w:spacing w:line="240" w:lineRule="auto"/>
              <w:jc w:val="center"/>
              <w:rPr>
                <w:noProof/>
              </w:rPr>
            </w:pPr>
            <w:r>
              <w:rPr>
                <w:noProof/>
              </w:rPr>
              <w:t>TROMJESEČJE</w:t>
            </w:r>
          </w:p>
        </w:tc>
        <w:tc>
          <w:tcPr>
            <w:tcW w:w="71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AFA0062" w14:textId="77777777" w:rsidR="00615E2D" w:rsidRDefault="00C83E46">
            <w:pPr>
              <w:pStyle w:val="P68B1DB1-Normal15"/>
              <w:spacing w:line="240" w:lineRule="auto"/>
              <w:jc w:val="center"/>
              <w:rPr>
                <w:noProof/>
              </w:rPr>
            </w:pPr>
            <w:r>
              <w:rPr>
                <w:noProof/>
              </w:rPr>
              <w:t>2026</w:t>
            </w:r>
          </w:p>
        </w:tc>
        <w:tc>
          <w:tcPr>
            <w:tcW w:w="431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3ED7C8D" w14:textId="03211C72" w:rsidR="00615E2D" w:rsidRDefault="00C83E46">
            <w:pPr>
              <w:pStyle w:val="P68B1DB1-Normal15"/>
              <w:spacing w:line="240" w:lineRule="auto"/>
              <w:rPr>
                <w:noProof/>
              </w:rPr>
            </w:pPr>
            <w:r>
              <w:rPr>
                <w:noProof/>
              </w:rPr>
              <w:t>Cilj se postiže smanjenjem potrošnje energije u državnim zgradama za 140 TJ/godišnje do 31. ožujka 2026. kao rezultat obnove zgrada, što se dokazuje energetskim certifikatima. Potrošnja energije smanjuje se u usporedbi sa scenarijem uobičajenog poslovanja (tj. nepostojanje potpore na temelju Uredbe (EU) 2021/241). Količina ušteđene energije određuje se mjerenjem i/ili procjenom potrošnje prije i nakon provedbe mjere za poboljšanje energetske učinkovitosti, uz osiguravanje normalizacije vanjskih uvjeta koji utječu na potrošnju energije.</w:t>
            </w:r>
          </w:p>
        </w:tc>
      </w:tr>
      <w:tr w:rsidR="00615E2D" w14:paraId="0AD0541F" w14:textId="77777777">
        <w:trPr>
          <w:trHeight w:val="945"/>
          <w:jc w:val="center"/>
        </w:trPr>
        <w:tc>
          <w:tcPr>
            <w:tcW w:w="663"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2CDBE67" w14:textId="77777777" w:rsidR="00615E2D" w:rsidRDefault="00C83E46">
            <w:pPr>
              <w:pStyle w:val="P68B1DB1-Normal15"/>
              <w:spacing w:line="240" w:lineRule="auto"/>
              <w:jc w:val="center"/>
              <w:rPr>
                <w:noProof/>
              </w:rPr>
            </w:pPr>
            <w:r>
              <w:rPr>
                <w:noProof/>
              </w:rPr>
              <w:t>105</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A0E4FEE" w14:textId="77777777" w:rsidR="00615E2D" w:rsidRDefault="00C83E46">
            <w:pPr>
              <w:pStyle w:val="P68B1DB1-Normal15"/>
              <w:spacing w:line="240" w:lineRule="auto"/>
              <w:rPr>
                <w:noProof/>
              </w:rPr>
            </w:pPr>
            <w:r>
              <w:rPr>
                <w:noProof/>
              </w:rPr>
              <w:t>Ulaganje 2: Poboljšanje energetske učinkovitosti sustava javne rasvjete</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21D477C" w14:textId="77777777" w:rsidR="00615E2D" w:rsidRDefault="00C83E46">
            <w:pPr>
              <w:pStyle w:val="P68B1DB1-Normal15"/>
              <w:spacing w:line="240" w:lineRule="auto"/>
              <w:rPr>
                <w:noProof/>
              </w:rPr>
            </w:pPr>
            <w:r>
              <w:rPr>
                <w:noProof/>
              </w:rPr>
              <w:t>Prekretnica</w:t>
            </w:r>
          </w:p>
        </w:tc>
        <w:tc>
          <w:tcPr>
            <w:tcW w:w="130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84C3AB5" w14:textId="77777777" w:rsidR="00615E2D" w:rsidRDefault="00C83E46">
            <w:pPr>
              <w:pStyle w:val="P68B1DB1-Normal15"/>
              <w:spacing w:line="240" w:lineRule="auto"/>
              <w:rPr>
                <w:noProof/>
              </w:rPr>
            </w:pPr>
            <w:r>
              <w:rPr>
                <w:noProof/>
              </w:rPr>
              <w:t>Ministarstvo industrije i trgovine donosi programsku dokumentaciju o mjerama za obnovu javnih sustava munje</w:t>
            </w:r>
          </w:p>
        </w:tc>
        <w:tc>
          <w:tcPr>
            <w:tcW w:w="143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F7529B7" w14:textId="77777777" w:rsidR="00615E2D" w:rsidRDefault="00C83E46">
            <w:pPr>
              <w:pStyle w:val="P68B1DB1-Normal15"/>
              <w:spacing w:line="240" w:lineRule="auto"/>
              <w:rPr>
                <w:noProof/>
              </w:rPr>
            </w:pPr>
            <w:r>
              <w:rPr>
                <w:noProof/>
              </w:rPr>
              <w:t>Objava programske dokumentacije na internetskim stranicama Ministarstva</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CCE23F9" w14:textId="77777777" w:rsidR="00615E2D" w:rsidRDefault="00615E2D">
            <w:pPr>
              <w:spacing w:line="240" w:lineRule="auto"/>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B470723" w14:textId="77777777" w:rsidR="00615E2D" w:rsidRDefault="00615E2D">
            <w:pPr>
              <w:spacing w:line="240" w:lineRule="auto"/>
              <w:jc w:val="center"/>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EE990F9" w14:textId="77777777" w:rsidR="00615E2D" w:rsidRDefault="00615E2D">
            <w:pPr>
              <w:spacing w:line="240" w:lineRule="auto"/>
              <w:jc w:val="center"/>
              <w:rPr>
                <w:rFonts w:eastAsia="Times New Roman"/>
                <w:noProof/>
                <w:color w:val="004300"/>
                <w:sz w:val="18"/>
              </w:rPr>
            </w:pP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16B7054" w14:textId="77777777" w:rsidR="00615E2D" w:rsidRDefault="00C83E46">
            <w:pPr>
              <w:pStyle w:val="P68B1DB1-Normal15"/>
              <w:spacing w:line="240" w:lineRule="auto"/>
              <w:jc w:val="center"/>
              <w:rPr>
                <w:noProof/>
              </w:rPr>
            </w:pPr>
            <w:r>
              <w:rPr>
                <w:noProof/>
              </w:rPr>
              <w:t>ČETVRTO TROMJESEČJE</w:t>
            </w:r>
          </w:p>
        </w:tc>
        <w:tc>
          <w:tcPr>
            <w:tcW w:w="71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1C1387C" w14:textId="77777777" w:rsidR="00615E2D" w:rsidRDefault="00C83E46">
            <w:pPr>
              <w:pStyle w:val="P68B1DB1-Normal15"/>
              <w:spacing w:line="240" w:lineRule="auto"/>
              <w:jc w:val="center"/>
              <w:rPr>
                <w:noProof/>
              </w:rPr>
            </w:pPr>
            <w:r>
              <w:rPr>
                <w:noProof/>
              </w:rPr>
              <w:t>2021</w:t>
            </w:r>
          </w:p>
        </w:tc>
        <w:tc>
          <w:tcPr>
            <w:tcW w:w="431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CA0AB17" w14:textId="77777777" w:rsidR="00615E2D" w:rsidRDefault="00C83E46">
            <w:pPr>
              <w:pStyle w:val="P68B1DB1-Normal15"/>
              <w:spacing w:line="259" w:lineRule="auto"/>
              <w:jc w:val="both"/>
              <w:rPr>
                <w:noProof/>
              </w:rPr>
            </w:pPr>
            <w:r>
              <w:rPr>
                <w:noProof/>
              </w:rPr>
              <w:t>Programsku dokumentaciju priprema Ministarstvo industrije i trgovine te se objavljuje na internetskim stranicama Ministarstva. U njemu se utvrđuju vremenski raspored i uvjeti za potporu mjerama za obnovu sustava javne rasvjete, uključujući pametne elemente, s ciljem postizanja uštede primarne energije od najmanje 30 %.</w:t>
            </w:r>
          </w:p>
        </w:tc>
      </w:tr>
      <w:tr w:rsidR="00615E2D" w14:paraId="429E5304" w14:textId="77777777">
        <w:trPr>
          <w:trHeight w:val="945"/>
          <w:jc w:val="center"/>
        </w:trPr>
        <w:tc>
          <w:tcPr>
            <w:tcW w:w="663"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537D6AA" w14:textId="77777777" w:rsidR="00615E2D" w:rsidRDefault="00C83E46">
            <w:pPr>
              <w:pStyle w:val="P68B1DB1-Normal15"/>
              <w:spacing w:line="240" w:lineRule="auto"/>
              <w:jc w:val="center"/>
              <w:rPr>
                <w:noProof/>
              </w:rPr>
            </w:pPr>
            <w:r>
              <w:rPr>
                <w:noProof/>
              </w:rPr>
              <w:t>106</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A333ACE" w14:textId="77777777" w:rsidR="00615E2D" w:rsidRDefault="00C83E46">
            <w:pPr>
              <w:pStyle w:val="P68B1DB1-Normal15"/>
              <w:spacing w:line="240" w:lineRule="auto"/>
              <w:rPr>
                <w:noProof/>
              </w:rPr>
            </w:pPr>
            <w:r>
              <w:rPr>
                <w:noProof/>
              </w:rPr>
              <w:t>Ulaganje 2: Poboljšanje energetske učinkovitosti sustava javne rasvjete</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A63E534" w14:textId="77777777" w:rsidR="00615E2D" w:rsidRDefault="00C83E46">
            <w:pPr>
              <w:pStyle w:val="P68B1DB1-Normal15"/>
              <w:spacing w:line="240" w:lineRule="auto"/>
              <w:rPr>
                <w:noProof/>
              </w:rPr>
            </w:pPr>
            <w:r>
              <w:rPr>
                <w:noProof/>
              </w:rPr>
              <w:t>Ciljna</w:t>
            </w:r>
          </w:p>
        </w:tc>
        <w:tc>
          <w:tcPr>
            <w:tcW w:w="130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55CB2D1" w14:textId="77777777" w:rsidR="00615E2D" w:rsidRDefault="00C83E46">
            <w:pPr>
              <w:pStyle w:val="P68B1DB1-Normal16"/>
              <w:spacing w:line="240" w:lineRule="auto"/>
              <w:rPr>
                <w:rFonts w:eastAsia="Times New Roman"/>
                <w:noProof/>
              </w:rPr>
            </w:pPr>
            <w:r>
              <w:rPr>
                <w:noProof/>
              </w:rPr>
              <w:t>Dodjela 80 % svih ugovora o javnoj nabavi za obnovu javnih sustava munje kojima se ostvaruje ušteda primarne energije od najmanje 30 %</w:t>
            </w:r>
          </w:p>
        </w:tc>
        <w:tc>
          <w:tcPr>
            <w:tcW w:w="143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044B4DF" w14:textId="77777777" w:rsidR="00615E2D" w:rsidRDefault="00615E2D">
            <w:pPr>
              <w:spacing w:line="240" w:lineRule="auto"/>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6DBAAA5" w14:textId="77777777" w:rsidR="00615E2D" w:rsidRDefault="00C83E46">
            <w:pPr>
              <w:pStyle w:val="P68B1DB1-Normal15"/>
              <w:spacing w:line="240" w:lineRule="auto"/>
              <w:rPr>
                <w:noProof/>
              </w:rPr>
            </w:pPr>
            <w:r>
              <w:rPr>
                <w:noProof/>
              </w:rPr>
              <w:t xml:space="preserve">Postotak </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42E81C3" w14:textId="77777777" w:rsidR="00615E2D" w:rsidRDefault="00C83E46">
            <w:pPr>
              <w:pStyle w:val="P68B1DB1-Normal15"/>
              <w:spacing w:line="240" w:lineRule="auto"/>
              <w:jc w:val="center"/>
              <w:rPr>
                <w:noProof/>
              </w:rPr>
            </w:pPr>
            <w:r>
              <w:rPr>
                <w:noProof/>
              </w:rPr>
              <w:t>0</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734FF90" w14:textId="77777777" w:rsidR="00615E2D" w:rsidRDefault="00C83E46">
            <w:pPr>
              <w:pStyle w:val="P68B1DB1-Normal15"/>
              <w:spacing w:line="240" w:lineRule="auto"/>
              <w:jc w:val="center"/>
              <w:rPr>
                <w:noProof/>
              </w:rPr>
            </w:pPr>
            <w:r>
              <w:rPr>
                <w:noProof/>
              </w:rPr>
              <w:t>80</w:t>
            </w: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73D1C76" w14:textId="77777777" w:rsidR="00615E2D" w:rsidRDefault="00C83E46">
            <w:pPr>
              <w:pStyle w:val="P68B1DB1-Normal15"/>
              <w:spacing w:line="240" w:lineRule="auto"/>
              <w:jc w:val="center"/>
              <w:rPr>
                <w:noProof/>
              </w:rPr>
            </w:pPr>
            <w:r>
              <w:rPr>
                <w:noProof/>
              </w:rPr>
              <w:t xml:space="preserve">ČETVRTO TROMJESEČJE </w:t>
            </w:r>
          </w:p>
        </w:tc>
        <w:tc>
          <w:tcPr>
            <w:tcW w:w="71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E79E34F" w14:textId="77777777" w:rsidR="00615E2D" w:rsidRDefault="00C83E46">
            <w:pPr>
              <w:pStyle w:val="P68B1DB1-Normal15"/>
              <w:spacing w:line="240" w:lineRule="auto"/>
              <w:jc w:val="center"/>
              <w:rPr>
                <w:noProof/>
              </w:rPr>
            </w:pPr>
            <w:r>
              <w:rPr>
                <w:noProof/>
              </w:rPr>
              <w:t>2024</w:t>
            </w:r>
          </w:p>
        </w:tc>
        <w:tc>
          <w:tcPr>
            <w:tcW w:w="431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5124510" w14:textId="2CF98DE2" w:rsidR="00615E2D" w:rsidRDefault="00C83E46">
            <w:pPr>
              <w:pStyle w:val="P68B1DB1-Normal16"/>
              <w:spacing w:line="240" w:lineRule="auto"/>
              <w:rPr>
                <w:noProof/>
              </w:rPr>
            </w:pPr>
            <w:r>
              <w:rPr>
                <w:noProof/>
              </w:rPr>
              <w:t>U okviru ove mjere podupire se ukupno najmanje 800 projekata obnove javnih sustava munje. Cilj se mora postići nakon ugovaranja 80 % njih (tj. 640) do 31. prosinca 2024. Projekti se ocjenjuju i odabiru svake godine na temelju utvrđenih kriterija, nakon transparentnog postupka odabira.</w:t>
            </w:r>
          </w:p>
          <w:p w14:paraId="48F037ED" w14:textId="77777777" w:rsidR="00615E2D" w:rsidRDefault="00C83E46">
            <w:pPr>
              <w:pStyle w:val="P68B1DB1-Normal16"/>
              <w:spacing w:line="240" w:lineRule="auto"/>
              <w:rPr>
                <w:rFonts w:eastAsia="Times New Roman"/>
                <w:noProof/>
              </w:rPr>
            </w:pPr>
            <w:r>
              <w:rPr>
                <w:noProof/>
              </w:rPr>
              <w:t>Za provedbu se odabiru samo projekti kojima se u prosjeku postiže smanjenje potrošnje primarne energije od najmanje 30 % ili smanjenje emisija CO2 od 30 %. Cilj od 80 % odnosi se na projekte s potpisanim sporazumom o dodjeli bespovratnih sredstava.</w:t>
            </w:r>
          </w:p>
        </w:tc>
      </w:tr>
      <w:tr w:rsidR="00615E2D" w14:paraId="7B2EA6B4" w14:textId="77777777">
        <w:trPr>
          <w:trHeight w:val="945"/>
          <w:jc w:val="center"/>
        </w:trPr>
        <w:tc>
          <w:tcPr>
            <w:tcW w:w="663"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EE3AB13" w14:textId="77777777" w:rsidR="00615E2D" w:rsidRDefault="00C83E46">
            <w:pPr>
              <w:pStyle w:val="P68B1DB1-Normal15"/>
              <w:spacing w:line="240" w:lineRule="auto"/>
              <w:jc w:val="center"/>
              <w:rPr>
                <w:noProof/>
              </w:rPr>
            </w:pPr>
            <w:r>
              <w:rPr>
                <w:noProof/>
              </w:rPr>
              <w:t>107</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F26E3F4" w14:textId="77777777" w:rsidR="00615E2D" w:rsidRDefault="00C83E46">
            <w:pPr>
              <w:pStyle w:val="P68B1DB1-Normal15"/>
              <w:spacing w:line="240" w:lineRule="auto"/>
              <w:rPr>
                <w:noProof/>
              </w:rPr>
            </w:pPr>
            <w:r>
              <w:rPr>
                <w:noProof/>
              </w:rPr>
              <w:t>Ulaganje 2: Poboljšanje energetske učinkovitosti sustava javne rasvjete</w:t>
            </w:r>
          </w:p>
          <w:p w14:paraId="6203B844" w14:textId="77777777" w:rsidR="00615E2D" w:rsidRDefault="00615E2D">
            <w:pPr>
              <w:spacing w:line="240" w:lineRule="auto"/>
              <w:rPr>
                <w:rFonts w:eastAsia="Times New Roman"/>
                <w:noProof/>
                <w:color w:val="004300"/>
                <w:sz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3C1047C" w14:textId="77777777" w:rsidR="00615E2D" w:rsidRDefault="00C83E46">
            <w:pPr>
              <w:pStyle w:val="P68B1DB1-Normal15"/>
              <w:spacing w:line="240" w:lineRule="auto"/>
              <w:rPr>
                <w:noProof/>
              </w:rPr>
            </w:pPr>
            <w:r>
              <w:rPr>
                <w:noProof/>
              </w:rPr>
              <w:t>Ciljna</w:t>
            </w:r>
          </w:p>
        </w:tc>
        <w:tc>
          <w:tcPr>
            <w:tcW w:w="130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ED5E595" w14:textId="77777777" w:rsidR="00615E2D" w:rsidRDefault="00C83E46">
            <w:pPr>
              <w:pStyle w:val="P68B1DB1-Normal15"/>
              <w:spacing w:line="240" w:lineRule="auto"/>
              <w:rPr>
                <w:noProof/>
              </w:rPr>
            </w:pPr>
            <w:r>
              <w:rPr>
                <w:noProof/>
              </w:rPr>
              <w:t xml:space="preserve">Smanjenje potrošnje energije </w:t>
            </w:r>
          </w:p>
        </w:tc>
        <w:tc>
          <w:tcPr>
            <w:tcW w:w="143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ED56B7B" w14:textId="77777777" w:rsidR="00615E2D" w:rsidRDefault="00615E2D">
            <w:pPr>
              <w:spacing w:line="240" w:lineRule="auto"/>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C892C2A" w14:textId="77777777" w:rsidR="00615E2D" w:rsidRDefault="00C83E46">
            <w:pPr>
              <w:pStyle w:val="P68B1DB1-Normal15"/>
              <w:spacing w:line="240" w:lineRule="auto"/>
              <w:rPr>
                <w:noProof/>
              </w:rPr>
            </w:pPr>
            <w:r>
              <w:rPr>
                <w:noProof/>
              </w:rPr>
              <w:t>Ušteda energije u džžulima tera godišnje</w:t>
            </w:r>
          </w:p>
          <w:p w14:paraId="65704955" w14:textId="77777777" w:rsidR="00615E2D" w:rsidRDefault="00615E2D">
            <w:pPr>
              <w:spacing w:line="240" w:lineRule="auto"/>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FBA284F" w14:textId="77777777" w:rsidR="00615E2D" w:rsidRDefault="00C83E46">
            <w:pPr>
              <w:pStyle w:val="P68B1DB1-Normal15"/>
              <w:spacing w:line="240" w:lineRule="auto"/>
              <w:jc w:val="center"/>
              <w:rPr>
                <w:noProof/>
              </w:rPr>
            </w:pPr>
            <w:r>
              <w:rPr>
                <w:noProof/>
              </w:rPr>
              <w:t>0</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3A91DCA" w14:textId="77777777" w:rsidR="00615E2D" w:rsidRDefault="00C83E46">
            <w:pPr>
              <w:pStyle w:val="P68B1DB1-Normal15"/>
              <w:spacing w:line="240" w:lineRule="auto"/>
              <w:jc w:val="center"/>
              <w:rPr>
                <w:noProof/>
              </w:rPr>
            </w:pPr>
            <w:r>
              <w:rPr>
                <w:noProof/>
              </w:rPr>
              <w:t>286</w:t>
            </w: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9E8A5F9" w14:textId="77777777" w:rsidR="00615E2D" w:rsidRDefault="00C83E46">
            <w:pPr>
              <w:pStyle w:val="P68B1DB1-Normal15"/>
              <w:spacing w:line="240" w:lineRule="auto"/>
              <w:jc w:val="center"/>
              <w:rPr>
                <w:noProof/>
              </w:rPr>
            </w:pPr>
            <w:r>
              <w:rPr>
                <w:noProof/>
              </w:rPr>
              <w:t>TROMJESEČJE</w:t>
            </w:r>
          </w:p>
        </w:tc>
        <w:tc>
          <w:tcPr>
            <w:tcW w:w="71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D342841" w14:textId="77777777" w:rsidR="00615E2D" w:rsidRDefault="00C83E46">
            <w:pPr>
              <w:pStyle w:val="P68B1DB1-Normal15"/>
              <w:spacing w:line="240" w:lineRule="auto"/>
              <w:jc w:val="center"/>
              <w:rPr>
                <w:noProof/>
              </w:rPr>
            </w:pPr>
            <w:r>
              <w:rPr>
                <w:noProof/>
              </w:rPr>
              <w:t>2026</w:t>
            </w:r>
          </w:p>
        </w:tc>
        <w:tc>
          <w:tcPr>
            <w:tcW w:w="431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4F94DE8" w14:textId="77777777" w:rsidR="00615E2D" w:rsidRDefault="00C83E46">
            <w:pPr>
              <w:pStyle w:val="P68B1DB1-Normal16"/>
              <w:spacing w:line="240" w:lineRule="auto"/>
              <w:rPr>
                <w:rFonts w:eastAsia="Times New Roman"/>
                <w:noProof/>
              </w:rPr>
            </w:pPr>
            <w:r>
              <w:rPr>
                <w:noProof/>
              </w:rPr>
              <w:t>Cilj se postiže smanjenjem potrošnje energije za 286 TJ/godišnje do 31. ožujka 2026. kao rezultat rekonstrukcije javne rasvjete, što se dokazuje energetskim certifikatima. Potrošnja energije smanjuje se u usporedbi sa scenarijem uobičajenog poslovanja</w:t>
            </w:r>
            <w:r>
              <w:rPr>
                <w:rFonts w:eastAsia="Times New Roman"/>
                <w:noProof/>
              </w:rPr>
              <w:t xml:space="preserve"> (tj. nepostojanje potpore na temelju Uredbe (EU) 2021/241)</w:t>
            </w:r>
            <w:r>
              <w:rPr>
                <w:noProof/>
              </w:rPr>
              <w:t xml:space="preserve">. Količina ušteđene energije određuje se mjerenjem i/ili procjenom potrošnje prije i nakon provedbe mjere za poboljšanje energetske učinkovitosti, uz osiguravanje normalizacije vanjskih uvjeta koji utječu na potrošnju energije.   </w:t>
            </w:r>
          </w:p>
        </w:tc>
      </w:tr>
      <w:tr w:rsidR="00615E2D" w14:paraId="3EDA0E2F" w14:textId="77777777">
        <w:trPr>
          <w:trHeight w:val="337"/>
          <w:jc w:val="center"/>
        </w:trPr>
        <w:tc>
          <w:tcPr>
            <w:tcW w:w="663"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7BE3709" w14:textId="77777777" w:rsidR="00615E2D" w:rsidRDefault="00C83E46">
            <w:pPr>
              <w:pStyle w:val="P68B1DB1-Normal15"/>
              <w:spacing w:line="240" w:lineRule="auto"/>
              <w:jc w:val="center"/>
              <w:rPr>
                <w:noProof/>
              </w:rPr>
            </w:pPr>
            <w:r>
              <w:rPr>
                <w:noProof/>
              </w:rPr>
              <w:t>108</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752209F" w14:textId="77777777" w:rsidR="00615E2D" w:rsidRDefault="00C83E46">
            <w:pPr>
              <w:pStyle w:val="P68B1DB1-Normal15"/>
              <w:spacing w:line="240" w:lineRule="auto"/>
              <w:rPr>
                <w:noProof/>
              </w:rPr>
            </w:pPr>
            <w:r>
              <w:rPr>
                <w:noProof/>
              </w:rPr>
              <w:t>Ulaganje 3: Poboljšanje energetske učinkovitosti javnih zgrada</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4BA511F" w14:textId="77777777" w:rsidR="00615E2D" w:rsidRDefault="00C83E46">
            <w:pPr>
              <w:pStyle w:val="P68B1DB1-Normal15"/>
              <w:spacing w:line="240" w:lineRule="auto"/>
              <w:rPr>
                <w:noProof/>
              </w:rPr>
            </w:pPr>
            <w:r>
              <w:rPr>
                <w:noProof/>
              </w:rPr>
              <w:t>Ciljna</w:t>
            </w:r>
          </w:p>
        </w:tc>
        <w:tc>
          <w:tcPr>
            <w:tcW w:w="130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AC6F88B" w14:textId="77777777" w:rsidR="00615E2D" w:rsidRDefault="00C83E46">
            <w:pPr>
              <w:pStyle w:val="P68B1DB1-Normal16"/>
              <w:spacing w:line="240" w:lineRule="auto"/>
              <w:rPr>
                <w:rFonts w:eastAsia="Times New Roman"/>
                <w:noProof/>
              </w:rPr>
            </w:pPr>
            <w:r>
              <w:rPr>
                <w:noProof/>
              </w:rPr>
              <w:t>Dodjela 75 % svih ugovora o javnoj nabavi za projekte obnove zgrada kojima se ostvaruje ušteda primarne energije od najmanje 30 %</w:t>
            </w:r>
          </w:p>
        </w:tc>
        <w:tc>
          <w:tcPr>
            <w:tcW w:w="143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E399DA7" w14:textId="77777777" w:rsidR="00615E2D" w:rsidRDefault="00615E2D">
            <w:pPr>
              <w:spacing w:line="240" w:lineRule="auto"/>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361C923" w14:textId="77777777" w:rsidR="00615E2D" w:rsidRDefault="00C83E46">
            <w:pPr>
              <w:pStyle w:val="P68B1DB1-Normal15"/>
              <w:spacing w:line="240" w:lineRule="auto"/>
              <w:rPr>
                <w:noProof/>
              </w:rPr>
            </w:pPr>
            <w:r>
              <w:rPr>
                <w:noProof/>
              </w:rPr>
              <w:t xml:space="preserve">Postotak </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96E29C4" w14:textId="77777777" w:rsidR="00615E2D" w:rsidRDefault="00C83E46">
            <w:pPr>
              <w:pStyle w:val="P68B1DB1-Normal15"/>
              <w:spacing w:line="240" w:lineRule="auto"/>
              <w:jc w:val="center"/>
              <w:rPr>
                <w:noProof/>
              </w:rPr>
            </w:pPr>
            <w:r>
              <w:rPr>
                <w:noProof/>
              </w:rPr>
              <w:t>0</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2452D2E" w14:textId="77777777" w:rsidR="00615E2D" w:rsidRDefault="00C83E46">
            <w:pPr>
              <w:pStyle w:val="P68B1DB1-Normal15"/>
              <w:spacing w:line="240" w:lineRule="auto"/>
              <w:jc w:val="center"/>
              <w:rPr>
                <w:noProof/>
              </w:rPr>
            </w:pPr>
            <w:r>
              <w:rPr>
                <w:noProof/>
              </w:rPr>
              <w:t>75</w:t>
            </w: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2E3038B" w14:textId="77777777" w:rsidR="00615E2D" w:rsidRDefault="00C83E46">
            <w:pPr>
              <w:pStyle w:val="P68B1DB1-Normal15"/>
              <w:spacing w:line="240" w:lineRule="auto"/>
              <w:jc w:val="center"/>
              <w:rPr>
                <w:noProof/>
              </w:rPr>
            </w:pPr>
            <w:r>
              <w:rPr>
                <w:noProof/>
              </w:rPr>
              <w:t>ČETVRTO TROMJESEČJE</w:t>
            </w:r>
          </w:p>
        </w:tc>
        <w:tc>
          <w:tcPr>
            <w:tcW w:w="71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A0BD06E" w14:textId="77777777" w:rsidR="00615E2D" w:rsidRDefault="00C83E46">
            <w:pPr>
              <w:pStyle w:val="P68B1DB1-Normal15"/>
              <w:spacing w:line="240" w:lineRule="auto"/>
              <w:jc w:val="center"/>
              <w:rPr>
                <w:noProof/>
              </w:rPr>
            </w:pPr>
            <w:r>
              <w:rPr>
                <w:noProof/>
              </w:rPr>
              <w:t>2023</w:t>
            </w:r>
          </w:p>
        </w:tc>
        <w:tc>
          <w:tcPr>
            <w:tcW w:w="431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247B2DA" w14:textId="7CC4CF25" w:rsidR="00615E2D" w:rsidRDefault="00C83E46">
            <w:pPr>
              <w:pStyle w:val="P68B1DB1-Normal16"/>
              <w:spacing w:line="240" w:lineRule="auto"/>
              <w:rPr>
                <w:noProof/>
              </w:rPr>
            </w:pPr>
            <w:r>
              <w:rPr>
                <w:noProof/>
              </w:rPr>
              <w:t xml:space="preserve">U okviru ove mjere podupire se ukupno najmanje 220 projekata obnove zgrada. Cilj se postiže nakon ugovaranja 75 % njih. Projekti se podnose Državnom fondu za zaštitu okoliša u okviru kontinuiranog poziva na podnošenje prijedloga i ocjenjuju se na temelju utvrđenih kriterija, nakon transparentnog postupka odabira. </w:t>
            </w:r>
          </w:p>
          <w:p w14:paraId="13A51317" w14:textId="77777777" w:rsidR="00615E2D" w:rsidRDefault="00C83E46">
            <w:pPr>
              <w:pStyle w:val="P68B1DB1-Normal16"/>
              <w:spacing w:line="240" w:lineRule="auto"/>
              <w:rPr>
                <w:noProof/>
              </w:rPr>
            </w:pPr>
            <w:r>
              <w:rPr>
                <w:noProof/>
              </w:rPr>
              <w:t xml:space="preserve">Za provedbu se odabiru samo projekti kojima se u prosjeku postiže smanjenje potrošnje primarne energije od najmanje 30 % ili smanjenje emisija CO2 od 30 %. Ciljna vrijednost od 75 % odnosi se na projekte s potpisanim sporazumom o dodjeli bespovratnih sredstava. Ulaganja </w:t>
            </w:r>
            <w:r>
              <w:rPr>
                <w:rFonts w:eastAsia="Times New Roman"/>
                <w:noProof/>
              </w:rPr>
              <w:t xml:space="preserve">u zamjenu kotlova, uključujući one </w:t>
            </w:r>
            <w:r>
              <w:rPr>
                <w:noProof/>
              </w:rPr>
              <w:t xml:space="preserve">s prirodnim plinom kao izvorom energije, ograničena su na najviše 20 % ukupne dodjele. </w:t>
            </w:r>
          </w:p>
        </w:tc>
      </w:tr>
      <w:tr w:rsidR="00615E2D" w14:paraId="38CC5739" w14:textId="77777777">
        <w:trPr>
          <w:trHeight w:val="578"/>
          <w:jc w:val="center"/>
        </w:trPr>
        <w:tc>
          <w:tcPr>
            <w:tcW w:w="663"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E5EEDBA" w14:textId="77777777" w:rsidR="00615E2D" w:rsidRDefault="00C83E46">
            <w:pPr>
              <w:pStyle w:val="P68B1DB1-Normal15"/>
              <w:spacing w:line="240" w:lineRule="auto"/>
              <w:jc w:val="center"/>
              <w:rPr>
                <w:noProof/>
              </w:rPr>
            </w:pPr>
            <w:r>
              <w:rPr>
                <w:noProof/>
              </w:rPr>
              <w:t>109</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AD2CB71" w14:textId="77777777" w:rsidR="00615E2D" w:rsidRDefault="00C83E46">
            <w:pPr>
              <w:pStyle w:val="P68B1DB1-Normal15"/>
              <w:spacing w:line="240" w:lineRule="auto"/>
              <w:rPr>
                <w:noProof/>
              </w:rPr>
            </w:pPr>
            <w:r>
              <w:rPr>
                <w:noProof/>
              </w:rPr>
              <w:t>Ulaganje 3: Poboljšanje energetske učinkovitosti javnih zgrada</w:t>
            </w:r>
          </w:p>
        </w:tc>
        <w:tc>
          <w:tcPr>
            <w:tcW w:w="113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3D383D7" w14:textId="77777777" w:rsidR="00615E2D" w:rsidRDefault="00C83E46">
            <w:pPr>
              <w:pStyle w:val="P68B1DB1-Normal15"/>
              <w:spacing w:line="240" w:lineRule="auto"/>
              <w:rPr>
                <w:noProof/>
              </w:rPr>
            </w:pPr>
            <w:r>
              <w:rPr>
                <w:noProof/>
              </w:rPr>
              <w:t>Ciljna</w:t>
            </w:r>
          </w:p>
        </w:tc>
        <w:tc>
          <w:tcPr>
            <w:tcW w:w="130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475CE7D" w14:textId="77777777" w:rsidR="00615E2D" w:rsidRDefault="00C83E46">
            <w:pPr>
              <w:pStyle w:val="P68B1DB1-Normal15"/>
              <w:spacing w:line="240" w:lineRule="auto"/>
              <w:rPr>
                <w:noProof/>
              </w:rPr>
            </w:pPr>
            <w:r>
              <w:rPr>
                <w:noProof/>
              </w:rPr>
              <w:t>Smanjenje potrošnje energije</w:t>
            </w:r>
          </w:p>
        </w:tc>
        <w:tc>
          <w:tcPr>
            <w:tcW w:w="143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67F3CCC" w14:textId="77777777" w:rsidR="00615E2D" w:rsidRDefault="00615E2D">
            <w:pPr>
              <w:spacing w:line="240" w:lineRule="auto"/>
              <w:rPr>
                <w:rFonts w:eastAsia="Times New Roman"/>
                <w:noProof/>
                <w:color w:val="004300"/>
                <w:sz w:val="18"/>
              </w:rPr>
            </w:pP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A4C181A" w14:textId="77777777" w:rsidR="00615E2D" w:rsidRDefault="00C83E46">
            <w:pPr>
              <w:pStyle w:val="P68B1DB1-Normal16"/>
              <w:spacing w:line="240" w:lineRule="auto"/>
              <w:rPr>
                <w:rFonts w:eastAsia="Times New Roman"/>
                <w:noProof/>
              </w:rPr>
            </w:pPr>
            <w:r>
              <w:rPr>
                <w:noProof/>
              </w:rPr>
              <w:t>Ušteda energije u džžulima tera godišnje</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4458DEA" w14:textId="77777777" w:rsidR="00615E2D" w:rsidRDefault="00C83E46">
            <w:pPr>
              <w:pStyle w:val="P68B1DB1-Normal15"/>
              <w:spacing w:line="240" w:lineRule="auto"/>
              <w:jc w:val="center"/>
              <w:rPr>
                <w:noProof/>
              </w:rPr>
            </w:pPr>
            <w:r>
              <w:rPr>
                <w:noProof/>
              </w:rPr>
              <w:t>0</w:t>
            </w:r>
          </w:p>
        </w:tc>
        <w:tc>
          <w:tcPr>
            <w:tcW w:w="104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6B621622" w14:textId="254BB98D" w:rsidR="00615E2D" w:rsidRDefault="00C83E46">
            <w:pPr>
              <w:pStyle w:val="P68B1DB1-Normal15"/>
              <w:spacing w:line="240" w:lineRule="auto"/>
              <w:jc w:val="center"/>
              <w:rPr>
                <w:noProof/>
              </w:rPr>
            </w:pPr>
            <w:r>
              <w:rPr>
                <w:noProof/>
              </w:rPr>
              <w:t>410</w:t>
            </w: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CF8052C" w14:textId="77777777" w:rsidR="00615E2D" w:rsidRDefault="00C83E46">
            <w:pPr>
              <w:pStyle w:val="P68B1DB1-Normal15"/>
              <w:spacing w:line="240" w:lineRule="auto"/>
              <w:jc w:val="center"/>
              <w:rPr>
                <w:noProof/>
              </w:rPr>
            </w:pPr>
            <w:r>
              <w:rPr>
                <w:noProof/>
              </w:rPr>
              <w:t>TROMJESEČJE</w:t>
            </w:r>
          </w:p>
        </w:tc>
        <w:tc>
          <w:tcPr>
            <w:tcW w:w="71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1EB3556" w14:textId="77777777" w:rsidR="00615E2D" w:rsidRDefault="00C83E46">
            <w:pPr>
              <w:pStyle w:val="P68B1DB1-Normal15"/>
              <w:spacing w:line="240" w:lineRule="auto"/>
              <w:jc w:val="center"/>
              <w:rPr>
                <w:noProof/>
              </w:rPr>
            </w:pPr>
            <w:r>
              <w:rPr>
                <w:noProof/>
              </w:rPr>
              <w:t>2026</w:t>
            </w:r>
          </w:p>
        </w:tc>
        <w:tc>
          <w:tcPr>
            <w:tcW w:w="4312"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76A019A" w14:textId="651A1A7B" w:rsidR="00615E2D" w:rsidRDefault="00C83E46">
            <w:pPr>
              <w:pStyle w:val="P68B1DB1-Normal16"/>
              <w:spacing w:line="240" w:lineRule="auto"/>
              <w:rPr>
                <w:noProof/>
              </w:rPr>
            </w:pPr>
            <w:r>
              <w:rPr>
                <w:noProof/>
              </w:rPr>
              <w:t>Cilj se postiže smanjenjem potrošnje energije u državnim zgradama za 410 TJ/godišnje do 31. ožujka 2026., kao rezultat obnove zgrada, što se dokazuje energetskim certifikatima. Potrošnja energije smanjuje se u usporedbi sa scenarijem uobičajenog poslovanja (tj.</w:t>
            </w:r>
            <w:r>
              <w:rPr>
                <w:rFonts w:eastAsia="Times New Roman"/>
                <w:noProof/>
              </w:rPr>
              <w:t>nepostojanje potpore na temelju Uredbe (EU) 2021/241)</w:t>
            </w:r>
            <w:r>
              <w:rPr>
                <w:noProof/>
              </w:rPr>
              <w:t>. Količina ušteđene energije određuje se mjerenjem i/ili procjenom potrošnje prije i nakon provedbe mjere za poboljšanje energetske učinkovitosti, uz osiguravanje normalizacije vanjskih uvjeta koji utječu na potrošnju energije.</w:t>
            </w:r>
          </w:p>
        </w:tc>
      </w:tr>
    </w:tbl>
    <w:p w14:paraId="123AFD4D" w14:textId="77777777" w:rsidR="00615E2D" w:rsidRDefault="00615E2D">
      <w:pPr>
        <w:pBdr>
          <w:top w:val="nil"/>
          <w:left w:val="nil"/>
          <w:bottom w:val="nil"/>
          <w:right w:val="nil"/>
          <w:between w:val="nil"/>
        </w:pBdr>
        <w:spacing w:line="240" w:lineRule="auto"/>
        <w:rPr>
          <w:noProof/>
          <w:color w:val="006100"/>
          <w:sz w:val="15"/>
        </w:rPr>
        <w:sectPr w:rsidR="00615E2D" w:rsidSect="00D57C66">
          <w:headerReference w:type="even" r:id="rId168"/>
          <w:headerReference w:type="default" r:id="rId169"/>
          <w:footerReference w:type="even" r:id="rId170"/>
          <w:footerReference w:type="default" r:id="rId171"/>
          <w:headerReference w:type="first" r:id="rId172"/>
          <w:footerReference w:type="first" r:id="rId173"/>
          <w:pgSz w:w="16839" w:h="11907" w:orient="landscape"/>
          <w:pgMar w:top="1134" w:right="1134" w:bottom="1134" w:left="1134" w:header="567" w:footer="567" w:gutter="0"/>
          <w:cols w:space="720"/>
          <w:docGrid w:linePitch="326"/>
        </w:sectPr>
      </w:pPr>
    </w:p>
    <w:p w14:paraId="7C143368" w14:textId="6994548E" w:rsidR="00615E2D" w:rsidRDefault="00C83E46">
      <w:pPr>
        <w:pStyle w:val="P68B1DB1-Normal2"/>
        <w:keepNext/>
        <w:tabs>
          <w:tab w:val="left" w:pos="850"/>
        </w:tabs>
        <w:spacing w:line="240" w:lineRule="auto"/>
        <w:jc w:val="both"/>
        <w:outlineLvl w:val="0"/>
        <w:rPr>
          <w:noProof/>
        </w:rPr>
      </w:pPr>
      <w:r>
        <w:rPr>
          <w:noProof/>
        </w:rPr>
        <w:t xml:space="preserve">J. SASTAVNICA 2.3.: Prijelaz na čišće izvore energije </w:t>
      </w:r>
    </w:p>
    <w:p w14:paraId="2E052514" w14:textId="77777777" w:rsidR="00615E2D" w:rsidRDefault="00C83E46">
      <w:pPr>
        <w:pStyle w:val="P68B1DB1-Normal3"/>
        <w:spacing w:line="240" w:lineRule="auto"/>
        <w:jc w:val="both"/>
        <w:rPr>
          <w:noProof/>
        </w:rPr>
      </w:pPr>
      <w:r>
        <w:rPr>
          <w:noProof/>
        </w:rPr>
        <w:t>Ta komponenta češkog plana za oporavak i otpornost pridonosi svladavanju izazova prelaska s fosilnih goriva na izvore energije s niskim i nultim emisijama kao što je fotonaponska energija. Njezin je cilj smanjenje intenziteta emisija češkog gospodarstva i emisija onečišćujućih tvari, kao i modernizacija distribucijske mreže toplinske energije, posebno zamjenom pare tople vode, što bi dovelo do ušteda u primarnim izvorima energije.</w:t>
      </w:r>
    </w:p>
    <w:p w14:paraId="166C3354" w14:textId="77777777" w:rsidR="00615E2D" w:rsidRDefault="00C83E46">
      <w:pPr>
        <w:spacing w:line="240" w:lineRule="auto"/>
        <w:jc w:val="both"/>
        <w:rPr>
          <w:rFonts w:eastAsia="Times New Roman"/>
          <w:noProof/>
          <w:color w:val="000000"/>
        </w:rPr>
      </w:pPr>
      <w:r>
        <w:rPr>
          <w:rFonts w:eastAsia="Times New Roman"/>
          <w:noProof/>
        </w:rPr>
        <w:t>Reformama i ulaganjima podupire se odgovor na 3. preporuku za</w:t>
      </w:r>
      <w:r>
        <w:rPr>
          <w:noProof/>
        </w:rPr>
        <w:t>pojedinu zemlju</w:t>
      </w:r>
      <w:r>
        <w:rPr>
          <w:rFonts w:eastAsia="Times New Roman"/>
          <w:noProof/>
        </w:rPr>
        <w:t>, u skladu s kojom Češka investicijsku politiku usmjerava na niskougljičnu i energetsku tranziciju, uključujući energetsku učinkovitost, uzimajući u obzir regionalne razlike i preporuku 3. 2020. za</w:t>
      </w:r>
      <w:r>
        <w:rPr>
          <w:noProof/>
        </w:rPr>
        <w:t xml:space="preserve">pojedinu zemlju, u skladu s kojom će Češka usmjeriti ulaganja u zelenu i digitalnu tranziciju, posebno na čistu i učinkovitu proizvodnju i uporabu energije, među ostalim u rudarskim regijama. </w:t>
      </w:r>
    </w:p>
    <w:p w14:paraId="669613CF" w14:textId="77777777"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4117EC50" w14:textId="6C927183" w:rsidR="00615E2D" w:rsidRDefault="00615E2D">
      <w:pPr>
        <w:spacing w:line="240" w:lineRule="auto"/>
        <w:jc w:val="both"/>
        <w:rPr>
          <w:rFonts w:eastAsia="Times New Roman"/>
          <w:i/>
          <w:noProof/>
          <w:color w:val="000000"/>
        </w:rPr>
      </w:pPr>
    </w:p>
    <w:p w14:paraId="4DD1887C" w14:textId="79FB25E5" w:rsidR="00615E2D" w:rsidRDefault="00C83E46">
      <w:pPr>
        <w:pStyle w:val="P68B1DB1-Normal32"/>
        <w:spacing w:line="240" w:lineRule="auto"/>
        <w:jc w:val="both"/>
        <w:rPr>
          <w:i/>
          <w:noProof/>
          <w:color w:val="4F81BD"/>
        </w:rPr>
      </w:pPr>
      <w:r>
        <w:rPr>
          <w:noProof/>
        </w:rPr>
        <w:t>J.1. Opis reformi i ulaganja za programe bespovratne financijske potpore</w:t>
      </w:r>
    </w:p>
    <w:p w14:paraId="7A6DEB90" w14:textId="3503CDA7" w:rsidR="00615E2D" w:rsidRDefault="00C83E46">
      <w:pPr>
        <w:pStyle w:val="P68B1DB1-Normal26"/>
        <w:spacing w:line="240" w:lineRule="auto"/>
        <w:jc w:val="both"/>
        <w:rPr>
          <w:noProof/>
        </w:rPr>
      </w:pPr>
      <w:r>
        <w:rPr>
          <w:noProof/>
        </w:rPr>
        <w:t xml:space="preserve">Reforma 1.: Modernizacija distribucije toplinske energije u sustavima centraliziranog grijanja </w:t>
      </w:r>
    </w:p>
    <w:p w14:paraId="65F2F071" w14:textId="77777777" w:rsidR="00615E2D" w:rsidRDefault="00C83E46">
      <w:pPr>
        <w:pStyle w:val="P68B1DB1-Normal4"/>
        <w:spacing w:line="259" w:lineRule="auto"/>
        <w:jc w:val="both"/>
        <w:rPr>
          <w:rFonts w:ascii="Calibri" w:hAnsi="Calibri"/>
          <w:noProof/>
        </w:rPr>
      </w:pPr>
      <w:r>
        <w:rPr>
          <w:noProof/>
        </w:rPr>
        <w:t xml:space="preserve">Cilj je te mjere dekarbonizacija centraliziranog grijanja, posebno povećanjem energetske učinkovitosti, prelaskom s izgaranja ugljena na obnovljive izvore energije, izgaranjem prirodnog plina, biomase i otpada te smanjenjem emisija stakleničkih plinova i onečišćujućih tvari. </w:t>
      </w:r>
    </w:p>
    <w:p w14:paraId="33FF0614" w14:textId="77777777" w:rsidR="00615E2D" w:rsidRDefault="00C83E46">
      <w:pPr>
        <w:pStyle w:val="P68B1DB1-Normal4"/>
        <w:spacing w:line="259" w:lineRule="auto"/>
        <w:jc w:val="both"/>
        <w:rPr>
          <w:rFonts w:ascii="Calibri" w:hAnsi="Calibri"/>
          <w:noProof/>
        </w:rPr>
      </w:pPr>
      <w:r>
        <w:rPr>
          <w:noProof/>
        </w:rPr>
        <w:t>Provodi se i objavljuje procjena puta prema dekarbonizaciji centraliziranog grijanja u Češkoj. Tom se ocjenom usmjeravaju ulaganja koja se financiraju u okviru ove komponente češkog plana za oporavak i otpornost.</w:t>
      </w:r>
    </w:p>
    <w:p w14:paraId="5D4B18A5" w14:textId="79BAEED5" w:rsidR="00615E2D" w:rsidRDefault="00C83E46">
      <w:pPr>
        <w:pStyle w:val="P68B1DB1-Normal4"/>
        <w:spacing w:line="259" w:lineRule="auto"/>
        <w:jc w:val="both"/>
        <w:rPr>
          <w:noProof/>
        </w:rPr>
      </w:pPr>
      <w:r>
        <w:rPr>
          <w:noProof/>
        </w:rPr>
        <w:t>Reforma se provodi do 31. prosinca 2023.</w:t>
      </w:r>
    </w:p>
    <w:p w14:paraId="24FD5BBE" w14:textId="35F2918B" w:rsidR="00615E2D" w:rsidRDefault="00C83E46">
      <w:pPr>
        <w:pStyle w:val="P68B1DB1-Normal26"/>
        <w:spacing w:line="240" w:lineRule="auto"/>
        <w:jc w:val="both"/>
        <w:rPr>
          <w:noProof/>
        </w:rPr>
      </w:pPr>
      <w:r>
        <w:rPr>
          <w:noProof/>
        </w:rPr>
        <w:t>Reforma br. 2: Modernizacija distribucije toplinske energije u sustavima centraliziranog grijanja</w:t>
      </w:r>
    </w:p>
    <w:p w14:paraId="26B54DC9" w14:textId="77777777" w:rsidR="00615E2D" w:rsidRDefault="00C83E46">
      <w:pPr>
        <w:pStyle w:val="P68B1DB1-Normal3"/>
        <w:spacing w:line="240" w:lineRule="auto"/>
        <w:jc w:val="both"/>
        <w:rPr>
          <w:noProof/>
        </w:rPr>
      </w:pPr>
      <w:r>
        <w:rPr>
          <w:noProof/>
        </w:rPr>
        <w:t>Cilj je ove mjere promicati ulaganja u biomasu koja se</w:t>
      </w:r>
      <w:r>
        <w:rPr>
          <w:b/>
          <w:noProof/>
        </w:rPr>
        <w:t xml:space="preserve"> </w:t>
      </w:r>
      <w:r>
        <w:rPr>
          <w:noProof/>
        </w:rPr>
        <w:t xml:space="preserve">temelje na otpadu i ostacima biomase koji se mogu izvaditi na održiv način, uz popratne mjere za smanjenje emisija. </w:t>
      </w:r>
    </w:p>
    <w:p w14:paraId="1475CF9F" w14:textId="77777777" w:rsidR="00615E2D" w:rsidRDefault="00C83E46">
      <w:pPr>
        <w:pStyle w:val="P68B1DB1-Normal3"/>
        <w:spacing w:line="259" w:lineRule="auto"/>
        <w:jc w:val="both"/>
        <w:rPr>
          <w:noProof/>
        </w:rPr>
      </w:pPr>
      <w:r>
        <w:rPr>
          <w:noProof/>
        </w:rPr>
        <w:t>Objavljuje se procjena putanja održive uporabe bioenergije i opskrbe biomasom u Češkoj i njezinih učinaka na korištenje zemljišta, prenamjenu zemljišta i šumske ponore te bioraznolikost, kao i njezina utjecaja na kvalitetu zraka za razdoblje 2020. – 2030. Tom se ocjenom usmjeravaju ulaganja u bioenergiju koja se financiraju u okviru komponenata 2.2., 2.3. i 2.5. češkog plana za oporavak i otpornost.</w:t>
      </w:r>
    </w:p>
    <w:p w14:paraId="06AAB1B3" w14:textId="13696D33" w:rsidR="00615E2D" w:rsidRDefault="00C83E46">
      <w:pPr>
        <w:pStyle w:val="P68B1DB1-Normal3"/>
        <w:spacing w:line="259" w:lineRule="auto"/>
        <w:jc w:val="both"/>
        <w:rPr>
          <w:noProof/>
        </w:rPr>
      </w:pPr>
      <w:r>
        <w:rPr>
          <w:noProof/>
        </w:rPr>
        <w:t xml:space="preserve">Reforma se </w:t>
      </w:r>
      <w:r>
        <w:rPr>
          <w:noProof/>
          <w:color w:val="000000" w:themeColor="text1"/>
        </w:rPr>
        <w:t>provodi</w:t>
      </w:r>
      <w:r>
        <w:rPr>
          <w:noProof/>
        </w:rPr>
        <w:t xml:space="preserve"> do 31. prosinca 2023.</w:t>
      </w:r>
      <w:r>
        <w:rPr>
          <w:b/>
          <w:noProof/>
        </w:rPr>
        <w:t xml:space="preserve"> </w:t>
      </w:r>
    </w:p>
    <w:p w14:paraId="5D6FD693" w14:textId="4D44197B" w:rsidR="00615E2D" w:rsidRDefault="00C83E46">
      <w:pPr>
        <w:pStyle w:val="P68B1DB1-Normal3"/>
        <w:spacing w:line="259" w:lineRule="auto"/>
        <w:jc w:val="both"/>
        <w:rPr>
          <w:noProof/>
        </w:rPr>
      </w:pPr>
      <w:r>
        <w:rPr>
          <w:b/>
          <w:noProof/>
          <w:sz w:val="22"/>
        </w:rPr>
        <w:br w:type="page"/>
      </w:r>
      <w:r>
        <w:rPr>
          <w:b/>
          <w:noProof/>
        </w:rPr>
        <w:t>Ulaganje 1: Razvoj novih fotonaponskih izvora energije</w:t>
      </w:r>
      <w:r>
        <w:rPr>
          <w:noProof/>
        </w:rPr>
        <w:t xml:space="preserve"> </w:t>
      </w:r>
    </w:p>
    <w:p w14:paraId="2687A83C"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Cilj je te mjere zamijeniti barem dio izvora energije iz ugljena izvorima fotonaponske energije. </w:t>
      </w:r>
    </w:p>
    <w:p w14:paraId="3D4DCFAD"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Ugrađuje se i stavlja u pogon novi kapacitet fotonaponske energije od 270 MWp. Projekti uključuju izgradnju fotonaponskih elektrana na krovovima zgrada poduzeća, uključujući skloništa (kao što su skloništa za automobile, građevinske strojeve ili skladištenje materijala) te akumulaciju energije s ciljem optimizacije proizvodnje električne energije. </w:t>
      </w:r>
    </w:p>
    <w:p w14:paraId="3F1B6025" w14:textId="4E8EEEE8" w:rsidR="00615E2D" w:rsidRDefault="00C83E46">
      <w:pPr>
        <w:pStyle w:val="P68B1DB1-Normal4"/>
        <w:pBdr>
          <w:top w:val="nil"/>
          <w:left w:val="nil"/>
          <w:bottom w:val="nil"/>
          <w:right w:val="nil"/>
          <w:between w:val="nil"/>
        </w:pBdr>
        <w:spacing w:line="240" w:lineRule="auto"/>
        <w:jc w:val="both"/>
        <w:rPr>
          <w:noProof/>
        </w:rPr>
      </w:pPr>
      <w:r>
        <w:rPr>
          <w:noProof/>
        </w:rPr>
        <w:t>To se ulaganje provodi do 31. ožujka 2026.</w:t>
      </w:r>
    </w:p>
    <w:p w14:paraId="18443699" w14:textId="599662DB" w:rsidR="00615E2D" w:rsidRDefault="00C83E46">
      <w:pPr>
        <w:pStyle w:val="P68B1DB1-Normal26"/>
        <w:jc w:val="both"/>
        <w:rPr>
          <w:noProof/>
        </w:rPr>
      </w:pPr>
      <w:r>
        <w:rPr>
          <w:noProof/>
        </w:rPr>
        <w:t>Ulaganje 2: Modernizacija distribucije toplinske energije u sustavima centraliziranog grijanja</w:t>
      </w:r>
    </w:p>
    <w:p w14:paraId="0BEF462E" w14:textId="77777777" w:rsidR="00615E2D" w:rsidRDefault="00C83E46">
      <w:pPr>
        <w:pStyle w:val="P68B1DB1-Normal3"/>
        <w:spacing w:line="240" w:lineRule="auto"/>
        <w:jc w:val="both"/>
        <w:rPr>
          <w:noProof/>
        </w:rPr>
      </w:pPr>
      <w:r>
        <w:rPr>
          <w:noProof/>
        </w:rPr>
        <w:t>Cilj je te mjere</w:t>
      </w:r>
      <w:r>
        <w:rPr>
          <w:b/>
          <w:noProof/>
        </w:rPr>
        <w:t xml:space="preserve"> </w:t>
      </w:r>
      <w:r>
        <w:rPr>
          <w:noProof/>
        </w:rPr>
        <w:t xml:space="preserve">smanjiti izgaranje ugljena za proizvodnju topline (i povezanu proizvodnju električne energije) do 2030., u skladu s donesenom ocjenom </w:t>
      </w:r>
      <w:r>
        <w:rPr>
          <w:noProof/>
          <w:shd w:val="clear" w:color="auto" w:fill="FFFFFF"/>
        </w:rPr>
        <w:t>dekarbonizacije centraliziranog grijanja u Češkoj u okviru reforme 1. te komponente,</w:t>
      </w:r>
      <w:r>
        <w:rPr>
          <w:noProof/>
        </w:rPr>
        <w:t xml:space="preserve"> posebno tako da centralizirano grijanje postane visoko učinkovito i da se smanje emisije stakleničkih plinova i onečišćujuće tvari zamjenom parnih distribucijskih mreža mrežama za distribuciju tople vode.</w:t>
      </w:r>
    </w:p>
    <w:p w14:paraId="756407D5" w14:textId="77777777" w:rsidR="00615E2D" w:rsidRDefault="00C83E46">
      <w:pPr>
        <w:pStyle w:val="P68B1DB1-Normal3"/>
        <w:spacing w:line="240" w:lineRule="auto"/>
        <w:jc w:val="both"/>
        <w:rPr>
          <w:noProof/>
        </w:rPr>
      </w:pPr>
      <w:r>
        <w:rPr>
          <w:noProof/>
        </w:rPr>
        <w:t xml:space="preserve">Očekuje se da se tom mjerom ne nanosi znatna šteta okolišnim ciljevima u smislu članka 17. Uredbe (EU) 2020/852, uzimajući u obzir opis mjere i korake ublažavanja utvrđene u planu za oporavak i otpornost u skladu s Tehničkim smjernicama DNSH-a (2021/C58/01). Konkretno, obnova postrojenja za proizvodnju toplinske i električne energije započinje u roku od tri godine od modernizacije mreže kako bi se uskladilo s definicijom „učinkovitog centraliziranog grijanja i hlađenja” iz članka 2. stavka 41. Direktive 2012/27/EU („sustav centraliziranoga grijanja ili hlađenja koji upotrebljava najmanje 50 % energije iz obnovljivih izvora, 50 % otpadne topline, 75 % topline dobivene kogeneracijom ili 50 % kombinacije takve energije i topline”). Osigurava se da ta postrojenja za proizvodnju toplinske energije ispunjavaju zahtjeve Tehničkih smjernica o nenanošenju bitne štete (2021/C58/01) i ne upotrebljavaju kruta fosilna goriva kao izvor topline, osim onih koja su u skladu s kriterijima za proizvodnju topline na bazi prirodnog plina navedenima u Prilogu III. Tehničkim smjernicama o nenanošenju bitne štete. </w:t>
      </w:r>
    </w:p>
    <w:p w14:paraId="198D6E44" w14:textId="77777777" w:rsidR="00615E2D" w:rsidRDefault="00C83E46">
      <w:pPr>
        <w:pStyle w:val="P68B1DB1-Normal3"/>
        <w:spacing w:line="240" w:lineRule="auto"/>
        <w:jc w:val="both"/>
        <w:rPr>
          <w:noProof/>
        </w:rPr>
      </w:pPr>
      <w:r>
        <w:rPr>
          <w:noProof/>
        </w:rPr>
        <w:t>Ako se biomasa upotrebljava kao izvor goriva, ulaganje mora biti u skladu s kriterijima održivosti i uštede stakleničkih plinova kako je utvrđeno u članku 29. Direktive 2018/2001 o promicanju uporabe energije iz obnovljivih izvora („Direktiva o energiji iz obnovljivih izvora”, „RED II”). Upotrebljavaju se samo otpad i ostaci biomase koji se mogu izvaditi na održiv način, a ulaganje je popraćeno mjerama za smanjenje emisija. </w:t>
      </w:r>
    </w:p>
    <w:p w14:paraId="61CBF227" w14:textId="77777777" w:rsidR="00615E2D" w:rsidRDefault="00C83E46">
      <w:pPr>
        <w:pStyle w:val="P68B1DB1-Normal3"/>
        <w:spacing w:line="240" w:lineRule="auto"/>
        <w:jc w:val="both"/>
        <w:rPr>
          <w:noProof/>
        </w:rPr>
      </w:pPr>
      <w:r>
        <w:rPr>
          <w:noProof/>
        </w:rPr>
        <w:t xml:space="preserve">Usklađenost s relevantnim zakonodavstvom EU-a i nacionalnim zakonodavstvom u području okoliša osigurava se tako da su emisije unutar ili niže od razina emisija povezanih sa zaključcima o najboljim raspoloživim tehnikama (u skladu s Direktivom o industrijskim emisijama). </w:t>
      </w:r>
    </w:p>
    <w:p w14:paraId="6815BEFF" w14:textId="77777777" w:rsidR="00615E2D" w:rsidRDefault="00C83E46">
      <w:pPr>
        <w:pStyle w:val="P68B1DB1-Normal3"/>
        <w:spacing w:line="240" w:lineRule="auto"/>
        <w:jc w:val="both"/>
        <w:rPr>
          <w:noProof/>
        </w:rPr>
      </w:pPr>
      <w:r>
        <w:rPr>
          <w:noProof/>
        </w:rPr>
        <w:t xml:space="preserve">Ulaganje se </w:t>
      </w:r>
      <w:r>
        <w:rPr>
          <w:noProof/>
          <w:color w:val="000000"/>
        </w:rPr>
        <w:t>provodi</w:t>
      </w:r>
      <w:r>
        <w:rPr>
          <w:noProof/>
        </w:rPr>
        <w:t xml:space="preserve"> sljedećim mjerama:</w:t>
      </w:r>
    </w:p>
    <w:p w14:paraId="254D2E01" w14:textId="77777777" w:rsidR="00615E2D" w:rsidRDefault="00C83E46">
      <w:pPr>
        <w:pStyle w:val="P68B1DB1-Normal3"/>
        <w:numPr>
          <w:ilvl w:val="0"/>
          <w:numId w:val="173"/>
        </w:numPr>
        <w:spacing w:line="240" w:lineRule="auto"/>
        <w:ind w:left="360"/>
        <w:jc w:val="both"/>
        <w:rPr>
          <w:noProof/>
        </w:rPr>
      </w:pPr>
      <w:r>
        <w:rPr>
          <w:noProof/>
        </w:rPr>
        <w:t>Prije dovršetka ulaganja u mrežu Češka do 30. lipnja 2024. dostavlja konkretan plan ulaganja u postrojenja za proizvodnju toplinske i električne energije, uključujući ugovorne obveze češke vlade da naruči relevantne radove.</w:t>
      </w:r>
    </w:p>
    <w:p w14:paraId="1CEAAF63" w14:textId="77777777" w:rsidR="00615E2D" w:rsidRDefault="00C83E46">
      <w:pPr>
        <w:pStyle w:val="P68B1DB1-Normal3"/>
        <w:numPr>
          <w:ilvl w:val="0"/>
          <w:numId w:val="173"/>
        </w:numPr>
        <w:spacing w:line="240" w:lineRule="auto"/>
        <w:ind w:left="360"/>
        <w:jc w:val="both"/>
        <w:rPr>
          <w:noProof/>
        </w:rPr>
      </w:pPr>
      <w:r>
        <w:rPr>
          <w:noProof/>
        </w:rPr>
        <w:t>Ostvarenje uštede primarne energije u iznosu od 245 327 GJ zahvaljujući modernizaciji mreža za distribuciju topline do 31. ožujka 2026.</w:t>
      </w:r>
    </w:p>
    <w:p w14:paraId="72572654" w14:textId="77777777" w:rsidR="00615E2D" w:rsidRDefault="00615E2D">
      <w:pPr>
        <w:spacing w:before="0" w:after="160" w:line="259" w:lineRule="auto"/>
        <w:jc w:val="both"/>
        <w:rPr>
          <w:rFonts w:eastAsia="Times New Roman"/>
          <w:noProof/>
        </w:rPr>
        <w:sectPr w:rsidR="00615E2D" w:rsidSect="00D57C66">
          <w:headerReference w:type="even" r:id="rId174"/>
          <w:headerReference w:type="default" r:id="rId175"/>
          <w:footerReference w:type="even" r:id="rId176"/>
          <w:footerReference w:type="default" r:id="rId177"/>
          <w:headerReference w:type="first" r:id="rId178"/>
          <w:footerReference w:type="first" r:id="rId179"/>
          <w:pgSz w:w="11907" w:h="16839"/>
          <w:pgMar w:top="1134" w:right="1134" w:bottom="1134" w:left="1134" w:header="567" w:footer="567" w:gutter="0"/>
          <w:cols w:space="720"/>
          <w:docGrid w:linePitch="326"/>
        </w:sectPr>
      </w:pPr>
    </w:p>
    <w:p w14:paraId="35D6E851" w14:textId="67C8A417" w:rsidR="00615E2D" w:rsidRDefault="00C83E46">
      <w:pPr>
        <w:pStyle w:val="P68B1DB1-Normal33"/>
        <w:pBdr>
          <w:top w:val="nil"/>
          <w:left w:val="nil"/>
          <w:bottom w:val="nil"/>
          <w:right w:val="nil"/>
          <w:between w:val="nil"/>
        </w:pBdr>
        <w:tabs>
          <w:tab w:val="left" w:pos="993"/>
        </w:tabs>
        <w:spacing w:line="240" w:lineRule="auto"/>
        <w:jc w:val="both"/>
        <w:rPr>
          <w:noProof/>
          <w:color w:val="000000"/>
        </w:rPr>
      </w:pPr>
      <w:r>
        <w:rPr>
          <w:noProof/>
        </w:rPr>
        <w:t xml:space="preserve">J.2. Ključne etape, ciljne vrijednosti i vremenski raspored za praćenje i provedbu programa bespovratne financijske potpore </w:t>
      </w:r>
    </w:p>
    <w:tbl>
      <w:tblPr>
        <w:tblW w:w="14887" w:type="dxa"/>
        <w:jc w:val="center"/>
        <w:tblLayout w:type="fixed"/>
        <w:tblLook w:val="0400" w:firstRow="0" w:lastRow="0" w:firstColumn="0" w:lastColumn="0" w:noHBand="0" w:noVBand="1"/>
      </w:tblPr>
      <w:tblGrid>
        <w:gridCol w:w="834"/>
        <w:gridCol w:w="1172"/>
        <w:gridCol w:w="1070"/>
        <w:gridCol w:w="1045"/>
        <w:gridCol w:w="1126"/>
        <w:gridCol w:w="918"/>
        <w:gridCol w:w="1045"/>
        <w:gridCol w:w="789"/>
        <w:gridCol w:w="984"/>
        <w:gridCol w:w="662"/>
        <w:gridCol w:w="5242"/>
      </w:tblGrid>
      <w:tr w:rsidR="00615E2D" w14:paraId="088E29AA" w14:textId="77777777">
        <w:trPr>
          <w:trHeight w:val="75"/>
          <w:tblHeader/>
          <w:jc w:val="center"/>
        </w:trPr>
        <w:tc>
          <w:tcPr>
            <w:tcW w:w="838"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109B2C51" w14:textId="77777777" w:rsidR="00615E2D" w:rsidRDefault="00C83E46">
            <w:pPr>
              <w:pStyle w:val="P68B1DB1-Normal9"/>
              <w:spacing w:line="240" w:lineRule="auto"/>
              <w:jc w:val="center"/>
              <w:rPr>
                <w:noProof/>
              </w:rPr>
            </w:pPr>
            <w:r>
              <w:rPr>
                <w:noProof/>
              </w:rPr>
              <w:t>Sljedeće NUM.</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BFFDE71" w14:textId="77777777" w:rsidR="00615E2D" w:rsidRDefault="00C83E46">
            <w:pPr>
              <w:pStyle w:val="P68B1DB1-Normal9"/>
              <w:spacing w:line="240" w:lineRule="auto"/>
              <w:jc w:val="center"/>
              <w:rPr>
                <w:noProof/>
              </w:rPr>
            </w:pPr>
            <w:r>
              <w:rPr>
                <w:noProof/>
              </w:rPr>
              <w:t>Povezana mjera (reforma ili ulaganje)</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120565AD" w14:textId="77777777" w:rsidR="00615E2D" w:rsidRDefault="00C83E46">
            <w:pPr>
              <w:pStyle w:val="P68B1DB1-Normal9"/>
              <w:spacing w:line="240" w:lineRule="auto"/>
              <w:jc w:val="center"/>
              <w:rPr>
                <w:noProof/>
              </w:rPr>
            </w:pPr>
            <w:r>
              <w:rPr>
                <w:noProof/>
              </w:rPr>
              <w:t xml:space="preserve">Ključna etapa/ciljna vrijednost </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41A6267" w14:textId="77777777" w:rsidR="00615E2D" w:rsidRDefault="00C83E46">
            <w:pPr>
              <w:pStyle w:val="P68B1DB1-Normal9"/>
              <w:spacing w:line="240" w:lineRule="auto"/>
              <w:jc w:val="center"/>
              <w:rPr>
                <w:noProof/>
              </w:rPr>
            </w:pPr>
            <w:r>
              <w:rPr>
                <w:noProof/>
              </w:rPr>
              <w:t xml:space="preserve">Ime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33E1157"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w:t>
            </w:r>
          </w:p>
        </w:tc>
        <w:tc>
          <w:tcPr>
            <w:tcW w:w="2770" w:type="dxa"/>
            <w:gridSpan w:val="3"/>
            <w:tcBorders>
              <w:top w:val="single" w:sz="8" w:space="0" w:color="000000" w:themeColor="text1"/>
              <w:left w:val="single" w:sz="4" w:space="0" w:color="auto"/>
              <w:bottom w:val="single" w:sz="8" w:space="0" w:color="000000" w:themeColor="text1"/>
              <w:right w:val="single" w:sz="8" w:space="0" w:color="000000" w:themeColor="text1"/>
            </w:tcBorders>
            <w:shd w:val="clear" w:color="auto" w:fill="BDD7EE"/>
            <w:vAlign w:val="center"/>
          </w:tcPr>
          <w:p w14:paraId="6F2BFD43"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657" w:type="dxa"/>
            <w:gridSpan w:val="2"/>
            <w:tcBorders>
              <w:top w:val="single" w:sz="8" w:space="0" w:color="000000" w:themeColor="text1"/>
              <w:left w:val="nil"/>
              <w:bottom w:val="single" w:sz="8" w:space="0" w:color="000000" w:themeColor="text1"/>
              <w:right w:val="single" w:sz="4" w:space="0" w:color="auto"/>
            </w:tcBorders>
            <w:shd w:val="clear" w:color="auto" w:fill="BDD7EE"/>
            <w:vAlign w:val="center"/>
          </w:tcPr>
          <w:p w14:paraId="059FD832" w14:textId="77777777" w:rsidR="00615E2D" w:rsidRDefault="00C83E46">
            <w:pPr>
              <w:pStyle w:val="P68B1DB1-Normal9"/>
              <w:spacing w:line="240" w:lineRule="auto"/>
              <w:jc w:val="center"/>
              <w:rPr>
                <w:noProof/>
              </w:rPr>
            </w:pPr>
            <w:r>
              <w:rPr>
                <w:noProof/>
              </w:rPr>
              <w:t xml:space="preserve">Okvirni vremenski okvir za dovršetak </w:t>
            </w:r>
          </w:p>
        </w:tc>
        <w:tc>
          <w:tcPr>
            <w:tcW w:w="528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035BC85"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2C9752B3" w14:textId="77777777">
        <w:trPr>
          <w:trHeight w:val="600"/>
          <w:tblHeade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50E10F16" w14:textId="77777777" w:rsidR="00615E2D" w:rsidRDefault="00615E2D">
            <w:pPr>
              <w:spacing w:line="240" w:lineRule="auto"/>
              <w:jc w:val="center"/>
              <w:rPr>
                <w:rFonts w:eastAsia="Times New Roman"/>
                <w:noProof/>
                <w:sz w:val="18"/>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650C9EE6" w14:textId="77777777" w:rsidR="00615E2D" w:rsidRDefault="00615E2D">
            <w:pPr>
              <w:spacing w:line="240" w:lineRule="auto"/>
              <w:jc w:val="center"/>
              <w:rPr>
                <w:rFonts w:eastAsia="Times New Roman"/>
                <w:noProof/>
                <w:sz w:val="18"/>
              </w:rPr>
            </w:pPr>
          </w:p>
        </w:tc>
        <w:tc>
          <w:tcPr>
            <w:tcW w:w="1077" w:type="dxa"/>
            <w:vMerge/>
            <w:tcBorders>
              <w:top w:val="single" w:sz="4" w:space="0" w:color="auto"/>
              <w:left w:val="single" w:sz="4" w:space="0" w:color="auto"/>
              <w:bottom w:val="single" w:sz="4" w:space="0" w:color="auto"/>
              <w:right w:val="single" w:sz="4" w:space="0" w:color="auto"/>
            </w:tcBorders>
            <w:vAlign w:val="center"/>
          </w:tcPr>
          <w:p w14:paraId="3038CA94" w14:textId="77777777" w:rsidR="00615E2D" w:rsidRDefault="00615E2D">
            <w:pPr>
              <w:spacing w:line="240" w:lineRule="auto"/>
              <w:jc w:val="center"/>
              <w:rPr>
                <w:rFonts w:eastAsia="Times New Roman"/>
                <w:noProof/>
                <w:sz w:val="18"/>
              </w:rPr>
            </w:pPr>
          </w:p>
        </w:tc>
        <w:tc>
          <w:tcPr>
            <w:tcW w:w="1052" w:type="dxa"/>
            <w:vMerge/>
            <w:tcBorders>
              <w:top w:val="single" w:sz="4" w:space="0" w:color="auto"/>
              <w:left w:val="single" w:sz="4" w:space="0" w:color="auto"/>
              <w:bottom w:val="single" w:sz="4" w:space="0" w:color="auto"/>
              <w:right w:val="single" w:sz="4" w:space="0" w:color="auto"/>
            </w:tcBorders>
            <w:vAlign w:val="center"/>
          </w:tcPr>
          <w:p w14:paraId="0DC04E42" w14:textId="77777777" w:rsidR="00615E2D" w:rsidRDefault="00615E2D">
            <w:pPr>
              <w:spacing w:line="240" w:lineRule="auto"/>
              <w:jc w:val="center"/>
              <w:rPr>
                <w:rFonts w:eastAsia="Times New Roman"/>
                <w:noProof/>
                <w:sz w:val="18"/>
              </w:rPr>
            </w:pPr>
          </w:p>
        </w:tc>
        <w:tc>
          <w:tcPr>
            <w:tcW w:w="1134" w:type="dxa"/>
            <w:vMerge/>
            <w:tcBorders>
              <w:left w:val="single" w:sz="4" w:space="0" w:color="auto"/>
            </w:tcBorders>
            <w:vAlign w:val="center"/>
          </w:tcPr>
          <w:p w14:paraId="25870030" w14:textId="77777777" w:rsidR="00615E2D" w:rsidRDefault="00615E2D">
            <w:pPr>
              <w:spacing w:line="240" w:lineRule="auto"/>
              <w:jc w:val="center"/>
              <w:rPr>
                <w:rFonts w:eastAsia="Times New Roman"/>
                <w:noProof/>
                <w:sz w:val="18"/>
              </w:rPr>
            </w:pPr>
          </w:p>
        </w:tc>
        <w:tc>
          <w:tcPr>
            <w:tcW w:w="924" w:type="dxa"/>
            <w:tcBorders>
              <w:top w:val="single" w:sz="8" w:space="0" w:color="000000" w:themeColor="text1"/>
              <w:left w:val="single" w:sz="4" w:space="0" w:color="auto"/>
              <w:bottom w:val="single" w:sz="8" w:space="0" w:color="000000" w:themeColor="text1"/>
              <w:right w:val="single" w:sz="4" w:space="0" w:color="auto"/>
            </w:tcBorders>
            <w:shd w:val="clear" w:color="auto" w:fill="BDD7EE"/>
            <w:vAlign w:val="center"/>
          </w:tcPr>
          <w:p w14:paraId="471EEC7B" w14:textId="77777777" w:rsidR="00615E2D" w:rsidRDefault="00C83E46">
            <w:pPr>
              <w:pStyle w:val="P68B1DB1-Normal9"/>
              <w:spacing w:line="240" w:lineRule="auto"/>
              <w:jc w:val="center"/>
              <w:rPr>
                <w:noProof/>
              </w:rPr>
            </w:pPr>
            <w:r>
              <w:rPr>
                <w:noProof/>
              </w:rPr>
              <w:t>Jedinica mjere</w:t>
            </w:r>
          </w:p>
        </w:tc>
        <w:tc>
          <w:tcPr>
            <w:tcW w:w="1052" w:type="dxa"/>
            <w:tcBorders>
              <w:top w:val="nil"/>
              <w:left w:val="single" w:sz="4" w:space="0" w:color="auto"/>
              <w:bottom w:val="single" w:sz="8" w:space="0" w:color="000000" w:themeColor="text1"/>
              <w:right w:val="single" w:sz="8" w:space="0" w:color="000000" w:themeColor="text1"/>
            </w:tcBorders>
            <w:shd w:val="clear" w:color="auto" w:fill="BDD7EE"/>
            <w:vAlign w:val="center"/>
          </w:tcPr>
          <w:p w14:paraId="0863099F" w14:textId="77777777" w:rsidR="00615E2D" w:rsidRDefault="00C83E46">
            <w:pPr>
              <w:pStyle w:val="P68B1DB1-Normal9"/>
              <w:spacing w:line="240" w:lineRule="auto"/>
              <w:jc w:val="center"/>
              <w:rPr>
                <w:noProof/>
              </w:rPr>
            </w:pPr>
            <w:r>
              <w:rPr>
                <w:noProof/>
              </w:rPr>
              <w:t>Osnovna vrijednost</w:t>
            </w:r>
          </w:p>
        </w:tc>
        <w:tc>
          <w:tcPr>
            <w:tcW w:w="794"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5A74D18E" w14:textId="77777777" w:rsidR="00615E2D" w:rsidRDefault="00C83E46">
            <w:pPr>
              <w:pStyle w:val="P68B1DB1-Normal9"/>
              <w:spacing w:line="240" w:lineRule="auto"/>
              <w:jc w:val="center"/>
              <w:rPr>
                <w:noProof/>
              </w:rPr>
            </w:pPr>
            <w:r>
              <w:rPr>
                <w:noProof/>
              </w:rPr>
              <w:t>Cilj</w:t>
            </w:r>
          </w:p>
        </w:tc>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4E9828A6" w14:textId="77777777" w:rsidR="00615E2D" w:rsidRDefault="00C83E46">
            <w:pPr>
              <w:pStyle w:val="P68B1DB1-Normal9"/>
              <w:spacing w:line="240" w:lineRule="auto"/>
              <w:jc w:val="center"/>
              <w:rPr>
                <w:noProof/>
              </w:rPr>
            </w:pPr>
            <w:r>
              <w:rPr>
                <w:noProof/>
              </w:rPr>
              <w:t>Tromjesečje</w:t>
            </w:r>
          </w:p>
        </w:tc>
        <w:tc>
          <w:tcPr>
            <w:tcW w:w="666" w:type="dxa"/>
            <w:tcBorders>
              <w:top w:val="nil"/>
              <w:left w:val="single" w:sz="8" w:space="0" w:color="000000" w:themeColor="text1"/>
              <w:bottom w:val="single" w:sz="8" w:space="0" w:color="000000" w:themeColor="text1"/>
              <w:right w:val="single" w:sz="4" w:space="0" w:color="auto"/>
            </w:tcBorders>
            <w:shd w:val="clear" w:color="auto" w:fill="BDD7EE"/>
            <w:vAlign w:val="center"/>
          </w:tcPr>
          <w:p w14:paraId="3E5C5002" w14:textId="77777777" w:rsidR="00615E2D" w:rsidRDefault="00C83E46">
            <w:pPr>
              <w:pStyle w:val="P68B1DB1-Normal9"/>
              <w:spacing w:line="240" w:lineRule="auto"/>
              <w:jc w:val="center"/>
              <w:rPr>
                <w:noProof/>
              </w:rPr>
            </w:pPr>
            <w:r>
              <w:rPr>
                <w:noProof/>
              </w:rPr>
              <w:t>Godina</w:t>
            </w:r>
          </w:p>
        </w:tc>
        <w:tc>
          <w:tcPr>
            <w:tcW w:w="5286" w:type="dxa"/>
            <w:vMerge/>
            <w:tcBorders>
              <w:bottom w:val="single" w:sz="4" w:space="0" w:color="auto"/>
              <w:right w:val="single" w:sz="4" w:space="0" w:color="auto"/>
            </w:tcBorders>
            <w:vAlign w:val="center"/>
          </w:tcPr>
          <w:p w14:paraId="76761F2F" w14:textId="77777777" w:rsidR="00615E2D" w:rsidRDefault="00615E2D">
            <w:pPr>
              <w:spacing w:line="240" w:lineRule="auto"/>
              <w:jc w:val="center"/>
              <w:rPr>
                <w:rFonts w:eastAsia="Times New Roman"/>
                <w:noProof/>
                <w:sz w:val="18"/>
              </w:rPr>
            </w:pPr>
          </w:p>
        </w:tc>
      </w:tr>
      <w:tr w:rsidR="00615E2D" w14:paraId="12E667E2" w14:textId="77777777">
        <w:trPr>
          <w:trHeight w:val="945"/>
          <w:jc w:val="center"/>
        </w:trPr>
        <w:tc>
          <w:tcPr>
            <w:tcW w:w="83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444C63FC" w14:textId="77777777" w:rsidR="00615E2D" w:rsidRDefault="00C83E46">
            <w:pPr>
              <w:pStyle w:val="P68B1DB1-Normal28"/>
              <w:spacing w:line="240" w:lineRule="auto"/>
              <w:jc w:val="center"/>
              <w:rPr>
                <w:noProof/>
              </w:rPr>
            </w:pPr>
            <w:r>
              <w:rPr>
                <w:noProof/>
              </w:rPr>
              <w:t>110</w:t>
            </w:r>
          </w:p>
        </w:tc>
        <w:tc>
          <w:tcPr>
            <w:tcW w:w="118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41A494E9" w14:textId="77777777" w:rsidR="00615E2D" w:rsidRDefault="00C83E46">
            <w:pPr>
              <w:pStyle w:val="P68B1DB1-Normal28"/>
              <w:spacing w:line="240" w:lineRule="auto"/>
              <w:rPr>
                <w:noProof/>
              </w:rPr>
            </w:pPr>
            <w:r>
              <w:rPr>
                <w:noProof/>
              </w:rPr>
              <w:t>Reforma 1.: Modernizacija distribucije toplinske energije u sustavima centraliziranog grijanja</w:t>
            </w:r>
          </w:p>
        </w:tc>
        <w:tc>
          <w:tcPr>
            <w:tcW w:w="107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61F18ABB" w14:textId="77777777" w:rsidR="00615E2D" w:rsidRDefault="00C83E46">
            <w:pPr>
              <w:pStyle w:val="P68B1DB1-Normal28"/>
              <w:spacing w:line="240" w:lineRule="auto"/>
              <w:rPr>
                <w:noProof/>
              </w:rPr>
            </w:pPr>
            <w:r>
              <w:rPr>
                <w:noProof/>
              </w:rPr>
              <w:t>Prekretnica</w:t>
            </w:r>
          </w:p>
        </w:tc>
        <w:tc>
          <w:tcPr>
            <w:tcW w:w="105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0A640AD8" w14:textId="77777777" w:rsidR="00615E2D" w:rsidRDefault="00C83E46">
            <w:pPr>
              <w:pStyle w:val="P68B1DB1-Normal28"/>
              <w:spacing w:line="240" w:lineRule="auto"/>
              <w:rPr>
                <w:noProof/>
              </w:rPr>
            </w:pPr>
            <w:r>
              <w:rPr>
                <w:noProof/>
              </w:rPr>
              <w:t>Ocjena dekarbonizacije centraliziranog grijanja u Češkoj</w:t>
            </w:r>
          </w:p>
        </w:tc>
        <w:tc>
          <w:tcPr>
            <w:tcW w:w="1134" w:type="dxa"/>
            <w:tcBorders>
              <w:top w:val="single" w:sz="4" w:space="0" w:color="auto"/>
              <w:left w:val="single" w:sz="8" w:space="0" w:color="000000" w:themeColor="text1"/>
              <w:bottom w:val="single" w:sz="4" w:space="0" w:color="auto"/>
              <w:right w:val="single" w:sz="8" w:space="0" w:color="000000" w:themeColor="text1"/>
            </w:tcBorders>
            <w:shd w:val="clear" w:color="auto" w:fill="C6EFCE"/>
            <w:vAlign w:val="center"/>
          </w:tcPr>
          <w:p w14:paraId="3B00AAF4" w14:textId="77777777" w:rsidR="00615E2D" w:rsidRDefault="00C83E46">
            <w:pPr>
              <w:pStyle w:val="P68B1DB1-Normal28"/>
              <w:spacing w:line="240" w:lineRule="auto"/>
              <w:rPr>
                <w:noProof/>
              </w:rPr>
            </w:pPr>
            <w:r>
              <w:rPr>
                <w:noProof/>
              </w:rPr>
              <w:t>Objava ocjene</w:t>
            </w: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3AB2C1B" w14:textId="77777777" w:rsidR="00615E2D" w:rsidRDefault="00615E2D">
            <w:pPr>
              <w:spacing w:line="240" w:lineRule="auto"/>
              <w:rPr>
                <w:noProof/>
                <w:color w:val="006100"/>
                <w:sz w:val="18"/>
              </w:rPr>
            </w:pP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C7DD00" w14:textId="77777777" w:rsidR="00615E2D" w:rsidRDefault="00615E2D">
            <w:pPr>
              <w:spacing w:line="240" w:lineRule="auto"/>
              <w:jc w:val="center"/>
              <w:rPr>
                <w:noProof/>
                <w:color w:val="006100"/>
                <w:sz w:val="18"/>
              </w:rPr>
            </w:pP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67636FF" w14:textId="77777777" w:rsidR="00615E2D" w:rsidRDefault="00615E2D">
            <w:pPr>
              <w:spacing w:line="240" w:lineRule="auto"/>
              <w:jc w:val="center"/>
              <w:rPr>
                <w:noProof/>
                <w:color w:val="006100"/>
                <w:sz w:val="18"/>
              </w:rPr>
            </w:pPr>
          </w:p>
        </w:tc>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028A0FE" w14:textId="5108EEB8" w:rsidR="00615E2D" w:rsidRDefault="00C83E46">
            <w:pPr>
              <w:pStyle w:val="P68B1DB1-Normal28"/>
              <w:spacing w:line="240" w:lineRule="auto"/>
              <w:jc w:val="center"/>
              <w:rPr>
                <w:noProof/>
              </w:rPr>
            </w:pPr>
            <w:r>
              <w:rPr>
                <w:noProof/>
              </w:rPr>
              <w:t>ČETVRTO TROMJESEČJE</w:t>
            </w:r>
          </w:p>
        </w:tc>
        <w:tc>
          <w:tcPr>
            <w:tcW w:w="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1B4E745" w14:textId="5EBAF2F1" w:rsidR="00615E2D" w:rsidRDefault="00C83E46">
            <w:pPr>
              <w:pStyle w:val="P68B1DB1-Normal28"/>
              <w:spacing w:line="240" w:lineRule="auto"/>
              <w:jc w:val="center"/>
              <w:rPr>
                <w:noProof/>
              </w:rPr>
            </w:pPr>
            <w:r>
              <w:rPr>
                <w:noProof/>
              </w:rPr>
              <w:t>2023</w:t>
            </w:r>
          </w:p>
        </w:tc>
        <w:tc>
          <w:tcPr>
            <w:tcW w:w="528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24192858" w14:textId="185CAFF5" w:rsidR="00615E2D" w:rsidRDefault="00C83E46">
            <w:pPr>
              <w:pStyle w:val="P68B1DB1-Normal28"/>
              <w:spacing w:line="240" w:lineRule="auto"/>
              <w:rPr>
                <w:noProof/>
              </w:rPr>
            </w:pPr>
            <w:r>
              <w:rPr>
                <w:noProof/>
              </w:rPr>
              <w:t>Ministarstvo industrije i trgovine provodi i objavljuje procjenu puta prema dekarbonizaciji centraliziranog grijanja u Češkoj u skladu s pravnim zahtjevima EU-a, uključujući zahtjeve iz Tehničkih smjernica o nenanošenju bitne štete (2021/C58/01).</w:t>
            </w:r>
          </w:p>
          <w:p w14:paraId="742D8F7B" w14:textId="77777777" w:rsidR="00615E2D" w:rsidRDefault="00C83E46">
            <w:pPr>
              <w:pStyle w:val="P68B1DB1-Normal28"/>
              <w:spacing w:line="240" w:lineRule="auto"/>
              <w:rPr>
                <w:noProof/>
              </w:rPr>
            </w:pPr>
            <w:r>
              <w:rPr>
                <w:noProof/>
              </w:rPr>
              <w:t>Tom se ocjenom usmjeravaju ulaganja koja se financiraju u okviru ove komponente češkog plana za oporavak i otpornost te ulaganja u području dekarbonizacije centraliziranog grijanja koja se financiraju iz drugih fondova EU-a ili nacionalnih izvora uz potpuno poštovanje pravnih zahtjeva, među ostalim u pogledu nenanošenja bitne štete.</w:t>
            </w:r>
          </w:p>
        </w:tc>
      </w:tr>
      <w:tr w:rsidR="00615E2D" w14:paraId="2D1A0C92" w14:textId="77777777">
        <w:trPr>
          <w:trHeight w:val="945"/>
          <w:jc w:val="center"/>
        </w:trPr>
        <w:tc>
          <w:tcPr>
            <w:tcW w:w="8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C2C08DE" w14:textId="77777777" w:rsidR="00615E2D" w:rsidRDefault="00C83E46">
            <w:pPr>
              <w:pStyle w:val="P68B1DB1-Normal28"/>
              <w:spacing w:line="240" w:lineRule="auto"/>
              <w:jc w:val="center"/>
              <w:rPr>
                <w:noProof/>
              </w:rPr>
            </w:pPr>
            <w:r>
              <w:rPr>
                <w:noProof/>
              </w:rPr>
              <w:t>111</w:t>
            </w:r>
          </w:p>
        </w:tc>
        <w:tc>
          <w:tcPr>
            <w:tcW w:w="1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05CF63B" w14:textId="77777777" w:rsidR="00615E2D" w:rsidRDefault="00C83E46">
            <w:pPr>
              <w:pStyle w:val="P68B1DB1-Normal28"/>
              <w:spacing w:line="240" w:lineRule="auto"/>
              <w:rPr>
                <w:noProof/>
              </w:rPr>
            </w:pPr>
            <w:r>
              <w:rPr>
                <w:noProof/>
              </w:rPr>
              <w:t>Reforma br. 2: Modernizacija distribucije toplinske energije u sustavima centraliziranog grijanja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95EF724" w14:textId="77777777" w:rsidR="00615E2D" w:rsidRDefault="00C83E46">
            <w:pPr>
              <w:pStyle w:val="P68B1DB1-Normal28"/>
              <w:spacing w:line="240" w:lineRule="auto"/>
              <w:rPr>
                <w:noProof/>
              </w:rPr>
            </w:pPr>
            <w:r>
              <w:rPr>
                <w:noProof/>
              </w:rPr>
              <w:t>Prekretnica</w:t>
            </w:r>
          </w:p>
        </w:tc>
        <w:tc>
          <w:tcPr>
            <w:tcW w:w="1052"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C6EFCE"/>
            <w:vAlign w:val="center"/>
          </w:tcPr>
          <w:p w14:paraId="4B3C2BBE" w14:textId="77777777" w:rsidR="00615E2D" w:rsidRDefault="00C83E46">
            <w:pPr>
              <w:pStyle w:val="P68B1DB1-Normal28"/>
              <w:spacing w:line="240" w:lineRule="auto"/>
              <w:rPr>
                <w:noProof/>
              </w:rPr>
            </w:pPr>
            <w:r>
              <w:rPr>
                <w:noProof/>
              </w:rPr>
              <w:t>Procjena putanja održive opskrbe biomasom u Češkoj</w:t>
            </w:r>
          </w:p>
        </w:tc>
        <w:tc>
          <w:tcPr>
            <w:tcW w:w="1134" w:type="dxa"/>
            <w:tcBorders>
              <w:top w:val="single" w:sz="4" w:space="0" w:color="auto"/>
              <w:left w:val="single" w:sz="4" w:space="0" w:color="auto"/>
              <w:bottom w:val="single" w:sz="8" w:space="0" w:color="000000" w:themeColor="text1"/>
              <w:right w:val="single" w:sz="4" w:space="0" w:color="auto"/>
            </w:tcBorders>
            <w:shd w:val="clear" w:color="auto" w:fill="C6EFCE"/>
            <w:vAlign w:val="center"/>
          </w:tcPr>
          <w:p w14:paraId="5E67080A" w14:textId="77777777" w:rsidR="00615E2D" w:rsidRDefault="00C83E46">
            <w:pPr>
              <w:pStyle w:val="P68B1DB1-Normal28"/>
              <w:spacing w:line="240" w:lineRule="auto"/>
              <w:rPr>
                <w:noProof/>
              </w:rPr>
            </w:pPr>
            <w:r>
              <w:rPr>
                <w:noProof/>
              </w:rPr>
              <w:t>Objava ocjene</w:t>
            </w:r>
          </w:p>
        </w:tc>
        <w:tc>
          <w:tcPr>
            <w:tcW w:w="924"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C6EFCE"/>
            <w:vAlign w:val="center"/>
          </w:tcPr>
          <w:p w14:paraId="31AC56AE" w14:textId="77777777" w:rsidR="00615E2D" w:rsidRDefault="00615E2D">
            <w:pPr>
              <w:spacing w:line="240" w:lineRule="auto"/>
              <w:jc w:val="center"/>
              <w:rPr>
                <w:noProof/>
                <w:color w:val="006100"/>
                <w:sz w:val="18"/>
              </w:rPr>
            </w:pP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B860C08" w14:textId="77777777" w:rsidR="00615E2D" w:rsidRDefault="00615E2D">
            <w:pPr>
              <w:spacing w:line="240" w:lineRule="auto"/>
              <w:jc w:val="center"/>
              <w:rPr>
                <w:noProof/>
                <w:color w:val="006100"/>
                <w:sz w:val="18"/>
              </w:rPr>
            </w:pP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08858F0" w14:textId="77777777" w:rsidR="00615E2D" w:rsidRDefault="00615E2D">
            <w:pPr>
              <w:spacing w:line="240" w:lineRule="auto"/>
              <w:jc w:val="center"/>
              <w:rPr>
                <w:noProof/>
                <w:color w:val="006100"/>
                <w:sz w:val="18"/>
              </w:rPr>
            </w:pPr>
          </w:p>
        </w:tc>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C8B459" w14:textId="77777777" w:rsidR="00615E2D" w:rsidRDefault="00C83E46">
            <w:pPr>
              <w:pStyle w:val="P68B1DB1-Normal28"/>
              <w:spacing w:line="240" w:lineRule="auto"/>
              <w:jc w:val="center"/>
              <w:rPr>
                <w:noProof/>
              </w:rPr>
            </w:pPr>
            <w:r>
              <w:rPr>
                <w:noProof/>
              </w:rPr>
              <w:t>ČETVRTO TROMJESEČJE</w:t>
            </w:r>
          </w:p>
        </w:tc>
        <w:tc>
          <w:tcPr>
            <w:tcW w:w="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BB86E9" w14:textId="4506E92F" w:rsidR="00615E2D" w:rsidRDefault="00C83E46">
            <w:pPr>
              <w:pStyle w:val="P68B1DB1-Normal28"/>
              <w:spacing w:line="240" w:lineRule="auto"/>
              <w:jc w:val="center"/>
              <w:rPr>
                <w:noProof/>
              </w:rPr>
            </w:pPr>
            <w:r>
              <w:rPr>
                <w:noProof/>
              </w:rPr>
              <w:t>2023</w:t>
            </w:r>
          </w:p>
        </w:tc>
        <w:tc>
          <w:tcPr>
            <w:tcW w:w="52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C33648D" w14:textId="77777777" w:rsidR="00615E2D" w:rsidRDefault="00C83E46">
            <w:pPr>
              <w:pStyle w:val="P68B1DB1-Normal28"/>
              <w:spacing w:line="240" w:lineRule="auto"/>
              <w:rPr>
                <w:noProof/>
              </w:rPr>
            </w:pPr>
            <w:r>
              <w:rPr>
                <w:noProof/>
              </w:rPr>
              <w:t>Ministarstvo okoliša u suradnji s Ministarstvom industrije i trgovine i Ministarstvom poljoprivrede provodi i objavljuje procjenu putanja održive uporabe bioenergije i opskrbe biomasom u Češkoj i njezinih učinaka na korištenje zemljišta, prenamjenu zemljišta i šumske ponore i bioraznolikost te utjecaja na kvalitetu zraka za razdoblje 2020. – 2030., u skladu s pravnim zahtjevima EU-a, uključujući zahtjeve uključene u Tehničke smjernice „Ne nanosi bitnu štetu” (2021/C58/01).</w:t>
            </w:r>
          </w:p>
          <w:p w14:paraId="7AA528C5" w14:textId="77777777" w:rsidR="00615E2D" w:rsidRDefault="00C83E46">
            <w:pPr>
              <w:pStyle w:val="P68B1DB1-Normal28"/>
              <w:spacing w:line="240" w:lineRule="auto"/>
              <w:rPr>
                <w:noProof/>
              </w:rPr>
            </w:pPr>
            <w:r>
              <w:rPr>
                <w:noProof/>
              </w:rPr>
              <w:t>Tom se ocjenom usmjeravaju ulaganja u bioenergiju koja se financiraju u okviru komponenata 2.2., 2.3. i 2.5. češkog plana za oporavak i otpornost te ulaganja u bioenergiju u području energetike, prometa, okoliša, klimatskih promjena, šumarstva ili poljoprivrede koja se financiraju iz drugih fondova EU-a ili nacionalnih izvora uz potpuno poštovanje pravnih zahtjeva, među ostalim u pogledu nenanošenja bitne štete.</w:t>
            </w:r>
          </w:p>
        </w:tc>
      </w:tr>
      <w:tr w:rsidR="00615E2D" w14:paraId="28EC8D34" w14:textId="77777777">
        <w:trPr>
          <w:trHeight w:val="354"/>
          <w:jc w:val="center"/>
        </w:trPr>
        <w:tc>
          <w:tcPr>
            <w:tcW w:w="8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B611262" w14:textId="77777777" w:rsidR="00615E2D" w:rsidRDefault="00C83E46">
            <w:pPr>
              <w:pStyle w:val="P68B1DB1-Normal28"/>
              <w:spacing w:line="240" w:lineRule="auto"/>
              <w:jc w:val="center"/>
              <w:rPr>
                <w:noProof/>
              </w:rPr>
            </w:pPr>
            <w:r>
              <w:rPr>
                <w:noProof/>
              </w:rPr>
              <w:t>112</w:t>
            </w:r>
          </w:p>
        </w:tc>
        <w:tc>
          <w:tcPr>
            <w:tcW w:w="1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60B0F2C" w14:textId="77777777" w:rsidR="00615E2D" w:rsidRDefault="00C83E46">
            <w:pPr>
              <w:pStyle w:val="P68B1DB1-Normal28"/>
              <w:spacing w:line="240" w:lineRule="auto"/>
              <w:rPr>
                <w:noProof/>
              </w:rPr>
            </w:pPr>
            <w:r>
              <w:rPr>
                <w:noProof/>
              </w:rPr>
              <w:t>Ulaganje 1: Razvoj novih fotonaponskih izvora energije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151CF18" w14:textId="77777777" w:rsidR="00615E2D" w:rsidRDefault="00C83E46">
            <w:pPr>
              <w:pStyle w:val="P68B1DB1-Normal28"/>
              <w:spacing w:line="240" w:lineRule="auto"/>
              <w:rPr>
                <w:noProof/>
              </w:rPr>
            </w:pPr>
            <w:r>
              <w:rPr>
                <w:noProof/>
              </w:rPr>
              <w:t>Ciljna</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82A9D5" w14:textId="77777777" w:rsidR="00615E2D" w:rsidRDefault="00C83E46">
            <w:pPr>
              <w:pStyle w:val="P68B1DB1-Normal28"/>
              <w:spacing w:line="240" w:lineRule="auto"/>
              <w:rPr>
                <w:noProof/>
              </w:rPr>
            </w:pPr>
            <w:r>
              <w:rPr>
                <w:noProof/>
              </w:rPr>
              <w:t>Povećanje instaliranog kapaciteta izvora FVE-a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1BA0940" w14:textId="77777777" w:rsidR="00615E2D" w:rsidRDefault="00615E2D">
            <w:pPr>
              <w:spacing w:line="240" w:lineRule="auto"/>
              <w:rPr>
                <w:noProof/>
                <w:color w:val="006100"/>
                <w:sz w:val="18"/>
              </w:rPr>
            </w:pP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901B0EA" w14:textId="77777777" w:rsidR="00615E2D" w:rsidRDefault="00C83E46">
            <w:pPr>
              <w:pStyle w:val="P68B1DB1-Normal28"/>
              <w:spacing w:line="240" w:lineRule="auto"/>
              <w:jc w:val="center"/>
              <w:rPr>
                <w:noProof/>
              </w:rPr>
            </w:pPr>
            <w:r>
              <w:rPr>
                <w:noProof/>
              </w:rPr>
              <w:t>MWp</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ED0AF3" w14:textId="77777777" w:rsidR="00615E2D" w:rsidRDefault="00C83E46">
            <w:pPr>
              <w:pStyle w:val="P68B1DB1-Normal28"/>
              <w:spacing w:line="240" w:lineRule="auto"/>
              <w:jc w:val="center"/>
              <w:rPr>
                <w:noProof/>
              </w:rPr>
            </w:pPr>
            <w:r>
              <w:rPr>
                <w:noProof/>
              </w:rPr>
              <w:t>0</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0C9F58E" w14:textId="77777777" w:rsidR="00615E2D" w:rsidRDefault="00C83E46">
            <w:pPr>
              <w:pStyle w:val="P68B1DB1-Normal28"/>
              <w:spacing w:line="240" w:lineRule="auto"/>
              <w:jc w:val="center"/>
              <w:rPr>
                <w:noProof/>
              </w:rPr>
            </w:pPr>
            <w:r>
              <w:rPr>
                <w:noProof/>
              </w:rPr>
              <w:t>270</w:t>
            </w:r>
          </w:p>
        </w:tc>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EDE03EE" w14:textId="77777777" w:rsidR="00615E2D" w:rsidRDefault="00C83E46">
            <w:pPr>
              <w:pStyle w:val="P68B1DB1-Normal28"/>
              <w:spacing w:line="240" w:lineRule="auto"/>
              <w:jc w:val="center"/>
              <w:rPr>
                <w:noProof/>
              </w:rPr>
            </w:pPr>
            <w:r>
              <w:rPr>
                <w:noProof/>
              </w:rPr>
              <w:t>TROMJESEČJE</w:t>
            </w:r>
          </w:p>
        </w:tc>
        <w:tc>
          <w:tcPr>
            <w:tcW w:w="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64995E8" w14:textId="77777777" w:rsidR="00615E2D" w:rsidRDefault="00C83E46">
            <w:pPr>
              <w:pStyle w:val="P68B1DB1-Normal28"/>
              <w:spacing w:line="240" w:lineRule="auto"/>
              <w:jc w:val="center"/>
              <w:rPr>
                <w:noProof/>
              </w:rPr>
            </w:pPr>
            <w:r>
              <w:rPr>
                <w:noProof/>
              </w:rPr>
              <w:t>2026</w:t>
            </w:r>
          </w:p>
        </w:tc>
        <w:tc>
          <w:tcPr>
            <w:tcW w:w="52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08B3F5" w14:textId="77777777" w:rsidR="00615E2D" w:rsidRDefault="00C83E46">
            <w:pPr>
              <w:pStyle w:val="P68B1DB1-Normal28"/>
              <w:spacing w:line="240" w:lineRule="auto"/>
              <w:rPr>
                <w:noProof/>
              </w:rPr>
            </w:pPr>
            <w:r>
              <w:rPr>
                <w:noProof/>
              </w:rPr>
              <w:t>Ugrađuje se i stavlja u pogon novi kapacitet fotonaponskih izvora energije od 270 MWp.</w:t>
            </w:r>
          </w:p>
        </w:tc>
      </w:tr>
      <w:tr w:rsidR="00615E2D" w14:paraId="2AF069B4" w14:textId="77777777">
        <w:trPr>
          <w:trHeight w:val="746"/>
          <w:jc w:val="center"/>
        </w:trPr>
        <w:tc>
          <w:tcPr>
            <w:tcW w:w="8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5F1DD82" w14:textId="77777777" w:rsidR="00615E2D" w:rsidRDefault="00C83E46">
            <w:pPr>
              <w:pStyle w:val="P68B1DB1-Normal28"/>
              <w:spacing w:line="240" w:lineRule="auto"/>
              <w:jc w:val="center"/>
              <w:rPr>
                <w:noProof/>
              </w:rPr>
            </w:pPr>
            <w:r>
              <w:rPr>
                <w:noProof/>
              </w:rPr>
              <w:t>113</w:t>
            </w:r>
          </w:p>
        </w:tc>
        <w:tc>
          <w:tcPr>
            <w:tcW w:w="1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CB80FD" w14:textId="77777777" w:rsidR="00615E2D" w:rsidRDefault="00C83E46">
            <w:pPr>
              <w:pStyle w:val="P68B1DB1-Normal28"/>
              <w:spacing w:line="240" w:lineRule="auto"/>
              <w:rPr>
                <w:noProof/>
              </w:rPr>
            </w:pPr>
            <w:r>
              <w:rPr>
                <w:noProof/>
              </w:rPr>
              <w:t>Ulaganje 2: Modernizacija distribucije toplinske energije u sustavima centraliziranog grijanja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C207606" w14:textId="77777777" w:rsidR="00615E2D" w:rsidRDefault="00C83E46">
            <w:pPr>
              <w:pStyle w:val="P68B1DB1-Normal28"/>
              <w:spacing w:line="240" w:lineRule="auto"/>
              <w:rPr>
                <w:noProof/>
              </w:rPr>
            </w:pPr>
            <w:r>
              <w:rPr>
                <w:noProof/>
              </w:rPr>
              <w:t>Prekretnica</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5CB7CC" w14:textId="77777777" w:rsidR="00615E2D" w:rsidRDefault="00C83E46">
            <w:pPr>
              <w:pStyle w:val="P68B1DB1-Normal28"/>
              <w:spacing w:line="240" w:lineRule="auto"/>
              <w:rPr>
                <w:noProof/>
              </w:rPr>
            </w:pPr>
            <w:r>
              <w:rPr>
                <w:noProof/>
              </w:rPr>
              <w:t>Plan ulaganja u postrojenja za proizvodnju toplinske i električne energije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03CB13" w14:textId="77777777" w:rsidR="00615E2D" w:rsidRDefault="00C83E46">
            <w:pPr>
              <w:pStyle w:val="P68B1DB1-Normal28"/>
              <w:spacing w:line="240" w:lineRule="auto"/>
              <w:rPr>
                <w:noProof/>
              </w:rPr>
            </w:pPr>
            <w:r>
              <w:rPr>
                <w:noProof/>
              </w:rPr>
              <w:t>Podnošenje Komisiji</w:t>
            </w: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0927A10" w14:textId="77777777" w:rsidR="00615E2D" w:rsidRDefault="00615E2D">
            <w:pPr>
              <w:spacing w:line="240" w:lineRule="auto"/>
              <w:rPr>
                <w:noProof/>
                <w:color w:val="006100"/>
                <w:sz w:val="18"/>
              </w:rPr>
            </w:pP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616958" w14:textId="77777777" w:rsidR="00615E2D" w:rsidRDefault="00615E2D">
            <w:pPr>
              <w:spacing w:line="240" w:lineRule="auto"/>
              <w:jc w:val="center"/>
              <w:rPr>
                <w:noProof/>
                <w:color w:val="006100"/>
                <w:sz w:val="18"/>
              </w:rPr>
            </w:pP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A130AEB" w14:textId="77777777" w:rsidR="00615E2D" w:rsidRDefault="00615E2D">
            <w:pPr>
              <w:spacing w:line="240" w:lineRule="auto"/>
              <w:jc w:val="center"/>
              <w:rPr>
                <w:noProof/>
                <w:color w:val="006100"/>
                <w:sz w:val="18"/>
              </w:rPr>
            </w:pPr>
          </w:p>
        </w:tc>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796B652" w14:textId="77777777" w:rsidR="00615E2D" w:rsidRDefault="00C83E46">
            <w:pPr>
              <w:pStyle w:val="P68B1DB1-Normal28"/>
              <w:spacing w:line="240" w:lineRule="auto"/>
              <w:jc w:val="center"/>
              <w:rPr>
                <w:noProof/>
              </w:rPr>
            </w:pPr>
            <w:r>
              <w:rPr>
                <w:noProof/>
              </w:rPr>
              <w:t>TROMJESEČJE</w:t>
            </w:r>
          </w:p>
        </w:tc>
        <w:tc>
          <w:tcPr>
            <w:tcW w:w="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BDD3AF6" w14:textId="77777777" w:rsidR="00615E2D" w:rsidRDefault="00C83E46">
            <w:pPr>
              <w:pStyle w:val="P68B1DB1-Normal28"/>
              <w:spacing w:line="240" w:lineRule="auto"/>
              <w:jc w:val="center"/>
              <w:rPr>
                <w:noProof/>
              </w:rPr>
            </w:pPr>
            <w:r>
              <w:rPr>
                <w:noProof/>
              </w:rPr>
              <w:t>2024</w:t>
            </w:r>
          </w:p>
        </w:tc>
        <w:tc>
          <w:tcPr>
            <w:tcW w:w="52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12BBAAD" w14:textId="77777777" w:rsidR="00615E2D" w:rsidRDefault="00C83E46">
            <w:pPr>
              <w:pStyle w:val="P68B1DB1-Normal28"/>
              <w:spacing w:line="240" w:lineRule="auto"/>
              <w:rPr>
                <w:noProof/>
              </w:rPr>
            </w:pPr>
            <w:r>
              <w:rPr>
                <w:noProof/>
              </w:rPr>
              <w:t>U skladu s Tehničkim smjernicama o nenanošenju bitne štete (2021/C58/01) Češka prije dovršetka ulaganja u mrežu dostavlja konkretan plan ulaganja u postrojenja za proizvodnju toplinske i električne energije u skladu s Tehničkim smjernicama o nenanošenju bitne štete (2021/C58/01), a posebno kriterije za toplinsku i električnu energiju na bazi prirodnog plina utvrđene u Prilogu III. Smjernicama ako se upotrebljava prirodni plin, među ostalim putem ugovornih obveza češke vlade za naručivanje relevantnog rada.</w:t>
            </w:r>
          </w:p>
          <w:p w14:paraId="05A52105" w14:textId="77777777" w:rsidR="00615E2D" w:rsidRDefault="00C83E46">
            <w:pPr>
              <w:pStyle w:val="P68B1DB1-Normal28"/>
              <w:spacing w:line="240" w:lineRule="auto"/>
              <w:rPr>
                <w:noProof/>
              </w:rPr>
            </w:pPr>
            <w:r>
              <w:rPr>
                <w:noProof/>
              </w:rPr>
              <w:t>Obnova postrojenja za proizvodnju toplinske i električne energije započinje u roku od tri godine od modernizacije mreže radi usklađivanja s definicijom „učinkovitog centraliziranog grijanja i hlađenja” iz članka 2. stavka 41. Direktive 2012/27/EU („sustav centraliziranoga grijanja ili hlađenja koji upotrebljava najmanje 50 % energije iz obnovljivih izvora, 50 % otpadne topline, 75 % topline dobivene kogeneracijom ili 50 % kombinacije takve energije i topline”).</w:t>
            </w:r>
          </w:p>
        </w:tc>
      </w:tr>
      <w:tr w:rsidR="00615E2D" w14:paraId="72C6BEF7" w14:textId="77777777">
        <w:trPr>
          <w:trHeight w:val="945"/>
          <w:jc w:val="center"/>
        </w:trPr>
        <w:tc>
          <w:tcPr>
            <w:tcW w:w="8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13D5CB" w14:textId="77777777" w:rsidR="00615E2D" w:rsidRDefault="00C83E46">
            <w:pPr>
              <w:pStyle w:val="P68B1DB1-Normal28"/>
              <w:spacing w:line="240" w:lineRule="auto"/>
              <w:jc w:val="center"/>
              <w:rPr>
                <w:noProof/>
              </w:rPr>
            </w:pPr>
            <w:r>
              <w:rPr>
                <w:noProof/>
              </w:rPr>
              <w:t>114</w:t>
            </w:r>
          </w:p>
        </w:tc>
        <w:tc>
          <w:tcPr>
            <w:tcW w:w="1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7FDBE86" w14:textId="77777777" w:rsidR="00615E2D" w:rsidRDefault="00C83E46">
            <w:pPr>
              <w:pStyle w:val="P68B1DB1-Normal28"/>
              <w:spacing w:line="240" w:lineRule="auto"/>
              <w:rPr>
                <w:noProof/>
              </w:rPr>
            </w:pPr>
            <w:r>
              <w:rPr>
                <w:noProof/>
              </w:rPr>
              <w:t>Ulaganje 2: Modernizacija distribucije toplinske energije u sustavima centraliziranog grijanja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C8300E3" w14:textId="77777777" w:rsidR="00615E2D" w:rsidRDefault="00C83E46">
            <w:pPr>
              <w:pStyle w:val="P68B1DB1-Normal28"/>
              <w:spacing w:line="240" w:lineRule="auto"/>
              <w:rPr>
                <w:noProof/>
              </w:rPr>
            </w:pPr>
            <w:r>
              <w:rPr>
                <w:noProof/>
              </w:rPr>
              <w:t>Ciljna</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C5AEA7" w14:textId="77777777" w:rsidR="00615E2D" w:rsidRDefault="00C83E46">
            <w:pPr>
              <w:pStyle w:val="P68B1DB1-Normal28"/>
              <w:spacing w:line="240" w:lineRule="auto"/>
              <w:rPr>
                <w:noProof/>
              </w:rPr>
            </w:pPr>
            <w:r>
              <w:rPr>
                <w:noProof/>
              </w:rPr>
              <w:t>Uštede primarne energije koje proizlaze iz modernizacije distribucije topline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2C9FA42" w14:textId="77777777" w:rsidR="00615E2D" w:rsidRDefault="00615E2D">
            <w:pPr>
              <w:spacing w:line="240" w:lineRule="auto"/>
              <w:rPr>
                <w:noProof/>
                <w:color w:val="006100"/>
                <w:sz w:val="18"/>
              </w:rPr>
            </w:pPr>
          </w:p>
        </w:tc>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929BA7" w14:textId="77777777" w:rsidR="00615E2D" w:rsidRDefault="00C83E46">
            <w:pPr>
              <w:pStyle w:val="P68B1DB1-Normal28"/>
              <w:spacing w:line="240" w:lineRule="auto"/>
              <w:rPr>
                <w:noProof/>
              </w:rPr>
            </w:pPr>
            <w:r>
              <w:rPr>
                <w:noProof/>
              </w:rPr>
              <w:t>Ušteda primarne energije u gigadžulama</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6A423E" w14:textId="77777777" w:rsidR="00615E2D" w:rsidRDefault="00C83E46">
            <w:pPr>
              <w:pStyle w:val="P68B1DB1-Normal28"/>
              <w:spacing w:line="240" w:lineRule="auto"/>
              <w:jc w:val="center"/>
              <w:rPr>
                <w:noProof/>
              </w:rPr>
            </w:pPr>
            <w:r>
              <w:rPr>
                <w:noProof/>
              </w:rPr>
              <w:t>0</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F7BFF91" w14:textId="77777777" w:rsidR="00615E2D" w:rsidRDefault="00C83E46">
            <w:pPr>
              <w:pStyle w:val="P68B1DB1-Normal28"/>
              <w:spacing w:line="240" w:lineRule="auto"/>
              <w:jc w:val="center"/>
              <w:rPr>
                <w:noProof/>
              </w:rPr>
            </w:pPr>
            <w:r>
              <w:rPr>
                <w:noProof/>
              </w:rPr>
              <w:t>245 327</w:t>
            </w:r>
          </w:p>
        </w:tc>
        <w:tc>
          <w:tcPr>
            <w:tcW w:w="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083C9D" w14:textId="77777777" w:rsidR="00615E2D" w:rsidRDefault="00C83E46">
            <w:pPr>
              <w:pStyle w:val="P68B1DB1-Normal28"/>
              <w:spacing w:line="240" w:lineRule="auto"/>
              <w:jc w:val="center"/>
              <w:rPr>
                <w:noProof/>
              </w:rPr>
            </w:pPr>
            <w:r>
              <w:rPr>
                <w:noProof/>
              </w:rPr>
              <w:t>TROMJESEČJE</w:t>
            </w:r>
          </w:p>
        </w:tc>
        <w:tc>
          <w:tcPr>
            <w:tcW w:w="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E0A0BD5" w14:textId="77777777" w:rsidR="00615E2D" w:rsidRDefault="00C83E46">
            <w:pPr>
              <w:pStyle w:val="P68B1DB1-Normal28"/>
              <w:spacing w:line="240" w:lineRule="auto"/>
              <w:jc w:val="center"/>
              <w:rPr>
                <w:noProof/>
              </w:rPr>
            </w:pPr>
            <w:r>
              <w:rPr>
                <w:noProof/>
              </w:rPr>
              <w:t>2026</w:t>
            </w:r>
          </w:p>
        </w:tc>
        <w:tc>
          <w:tcPr>
            <w:tcW w:w="52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274B815" w14:textId="77777777" w:rsidR="00615E2D" w:rsidRDefault="00C83E46">
            <w:pPr>
              <w:pStyle w:val="P68B1DB1-Normal28"/>
              <w:spacing w:line="240" w:lineRule="auto"/>
              <w:rPr>
                <w:noProof/>
              </w:rPr>
            </w:pPr>
            <w:r>
              <w:rPr>
                <w:noProof/>
              </w:rPr>
              <w:t>Ostvaruju se uštede primarne energije od 245 327 GJ.</w:t>
            </w:r>
          </w:p>
        </w:tc>
      </w:tr>
    </w:tbl>
    <w:p w14:paraId="4D98F28E" w14:textId="77777777" w:rsidR="00615E2D" w:rsidRDefault="00615E2D">
      <w:pPr>
        <w:pBdr>
          <w:top w:val="nil"/>
          <w:left w:val="nil"/>
          <w:bottom w:val="nil"/>
          <w:right w:val="nil"/>
          <w:between w:val="nil"/>
        </w:pBdr>
        <w:spacing w:line="240" w:lineRule="auto"/>
        <w:jc w:val="both"/>
        <w:rPr>
          <w:rFonts w:eastAsia="Times New Roman"/>
          <w:noProof/>
          <w:color w:val="000000"/>
        </w:rPr>
        <w:sectPr w:rsidR="00615E2D" w:rsidSect="00D57C66">
          <w:headerReference w:type="even" r:id="rId180"/>
          <w:headerReference w:type="default" r:id="rId181"/>
          <w:footerReference w:type="even" r:id="rId182"/>
          <w:footerReference w:type="default" r:id="rId183"/>
          <w:headerReference w:type="first" r:id="rId184"/>
          <w:footerReference w:type="first" r:id="rId185"/>
          <w:pgSz w:w="16839" w:h="11907" w:orient="landscape"/>
          <w:pgMar w:top="1134" w:right="1134" w:bottom="1134" w:left="1134" w:header="567" w:footer="567" w:gutter="0"/>
          <w:cols w:space="720"/>
          <w:docGrid w:linePitch="326"/>
        </w:sectPr>
      </w:pPr>
    </w:p>
    <w:p w14:paraId="7F9E0FEB" w14:textId="7156A00E" w:rsidR="00615E2D" w:rsidRDefault="00C83E46">
      <w:pPr>
        <w:pStyle w:val="P68B1DB1-Normal2"/>
        <w:keepNext/>
        <w:tabs>
          <w:tab w:val="left" w:pos="850"/>
        </w:tabs>
        <w:spacing w:line="240" w:lineRule="auto"/>
        <w:jc w:val="both"/>
        <w:outlineLvl w:val="0"/>
        <w:rPr>
          <w:noProof/>
        </w:rPr>
      </w:pPr>
      <w:r>
        <w:rPr>
          <w:noProof/>
        </w:rPr>
        <w:t xml:space="preserve">K. SASTAVNI DIO 2.4.: Čista mobilnost </w:t>
      </w:r>
    </w:p>
    <w:p w14:paraId="6DD59E82"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Cilj je te komponente češkog plana za oporavak i otpornost poduprijeti ciljeve ažuriranog nacionalnog akcijskog plana za čistu mobilnost Češke na temelju Direktive 2014/94/EU. Jedan je od glavnih strateških ciljeva akcijskog plana postizanje rada od 220000 do 500000 električnih vozila u Češkoj do 2030. Taj će se cilj postići poticanjem potražnje subvencijama, davanjem prednosti električnim vozilima na cesti, podupiranjem izgradnje infrastrukture za punjenje i informiranjem javnosti. Uz program subvencija za poduzeća, ista je inicijativa najavljena i za općine, regije i druga javna tijela. </w:t>
      </w:r>
    </w:p>
    <w:p w14:paraId="372ED00C" w14:textId="77777777" w:rsidR="00615E2D" w:rsidRDefault="00C83E46">
      <w:pPr>
        <w:pStyle w:val="P68B1DB1-Normal3"/>
        <w:pBdr>
          <w:top w:val="nil"/>
          <w:left w:val="nil"/>
          <w:bottom w:val="nil"/>
          <w:right w:val="nil"/>
          <w:between w:val="nil"/>
        </w:pBdr>
        <w:spacing w:line="240" w:lineRule="auto"/>
        <w:jc w:val="both"/>
        <w:rPr>
          <w:noProof/>
        </w:rPr>
      </w:pPr>
      <w:r>
        <w:rPr>
          <w:noProof/>
          <w:color w:val="000000"/>
        </w:rPr>
        <w:t xml:space="preserve">Komponentom se podupire odgovor na 3. preporuku za pojedinu zemlju, u skladu s kojom će Češka </w:t>
      </w:r>
      <w:r>
        <w:rPr>
          <w:noProof/>
        </w:rPr>
        <w:t xml:space="preserve">usmjeriti ulaganja u zelenu i digitalnu tranziciju, posebno digitalnu infrastrukturu i tehnologije visokog kapaciteta, čistu i učinkovitu proizvodnju i uporabu energije te održivu prometnu infrastrukturu, među ostalim u rudarskim regijama, te 3. preporuku, u skladu s kojom Češka investicijsku politiku usmjerava na promet, posebno na njegovu održivost, digitalnu infrastrukturu te niskougljičnu i energetsku tranziciju, uključujući energetsku učinkovitost, uzimajući u obzir regionalne razlike. </w:t>
      </w:r>
    </w:p>
    <w:p w14:paraId="5F5177E8" w14:textId="77777777"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2D56AB7B" w14:textId="77777777" w:rsidR="00615E2D" w:rsidRDefault="00C83E46">
      <w:pPr>
        <w:pStyle w:val="P68B1DB1-Normal34"/>
        <w:pBdr>
          <w:top w:val="nil"/>
          <w:left w:val="nil"/>
          <w:bottom w:val="nil"/>
          <w:right w:val="nil"/>
          <w:between w:val="nil"/>
        </w:pBdr>
        <w:spacing w:line="240" w:lineRule="auto"/>
        <w:jc w:val="both"/>
        <w:rPr>
          <w:rFonts w:eastAsia="Times New Roman"/>
          <w:noProof/>
          <w:color w:val="000000"/>
        </w:rPr>
      </w:pPr>
      <w:r>
        <w:rPr>
          <w:noProof/>
        </w:rPr>
        <w:t xml:space="preserve">  </w:t>
      </w:r>
    </w:p>
    <w:p w14:paraId="70FD4D98" w14:textId="20C2600A" w:rsidR="00615E2D" w:rsidRDefault="00C83E46">
      <w:pPr>
        <w:pStyle w:val="P68B1DB1-Normal33"/>
        <w:pBdr>
          <w:top w:val="nil"/>
          <w:left w:val="nil"/>
          <w:bottom w:val="nil"/>
          <w:right w:val="nil"/>
          <w:between w:val="nil"/>
        </w:pBdr>
        <w:spacing w:line="240" w:lineRule="auto"/>
        <w:jc w:val="both"/>
        <w:rPr>
          <w:i/>
          <w:noProof/>
        </w:rPr>
      </w:pPr>
      <w:r>
        <w:rPr>
          <w:noProof/>
        </w:rPr>
        <w:t>K.1. Opis reformi i ulaganja za programe bespovratne financijske potpore</w:t>
      </w:r>
    </w:p>
    <w:p w14:paraId="4096BE19"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Ulaganje 1: Izgradnja infrastrukture za javni prijevoz u gradu Pragu</w:t>
      </w:r>
    </w:p>
    <w:p w14:paraId="7207A4EA" w14:textId="77777777" w:rsidR="00615E2D" w:rsidRDefault="00C83E46">
      <w:pPr>
        <w:pStyle w:val="P68B1DB1-Normal3"/>
        <w:spacing w:line="240" w:lineRule="auto"/>
        <w:jc w:val="both"/>
        <w:rPr>
          <w:noProof/>
          <w:color w:val="000000"/>
        </w:rPr>
      </w:pPr>
      <w:r>
        <w:rPr>
          <w:noProof/>
          <w:color w:val="000000"/>
        </w:rPr>
        <w:t>Uz ulaganje 6 u okviru ove komponente, cilj je ove mjere obnoviti i dekarbonizirati vozni park javnog prijevoza u Pragu. Očekuje se da će</w:t>
      </w:r>
      <w:r>
        <w:rPr>
          <w:noProof/>
        </w:rPr>
        <w:t xml:space="preserve">podupiranje električnih autobusa i trolejbusa s nultim emisijama pridonijeti naporima za dekarbonizaciju prometnog i energetskog sektora. Osim toga, očekuje se da će se time poboljšati kvaliteta zraka i razina buke u urbanom okruženju. </w:t>
      </w:r>
      <w:r>
        <w:rPr>
          <w:noProof/>
          <w:color w:val="000000"/>
        </w:rPr>
        <w:t>Cilj je tog ulaganja povećati broj stanica za punjenje električnih autobusa i baterijskih trolejbusa u Pragu za 52 jedinice i povećati dio cesta za dinamičko punjenje (elektrifikacija cesta) za trolejbuse akumulatora za 40 km.</w:t>
      </w:r>
    </w:p>
    <w:p w14:paraId="2A4E8B10" w14:textId="2F790BB7" w:rsidR="00615E2D" w:rsidRDefault="00C83E46">
      <w:pPr>
        <w:pStyle w:val="P68B1DB1-Normal4"/>
        <w:spacing w:line="240" w:lineRule="auto"/>
        <w:jc w:val="both"/>
        <w:rPr>
          <w:noProof/>
        </w:rPr>
      </w:pPr>
      <w:r>
        <w:rPr>
          <w:noProof/>
        </w:rPr>
        <w:t>Ulaganje mora biti dovršeno do 30. lipnja 2026.</w:t>
      </w:r>
    </w:p>
    <w:p w14:paraId="2239A793"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Ulaganje 2: Izgradnja infrastrukture – mjesta za punjenje za privatna poduzeća</w:t>
      </w:r>
    </w:p>
    <w:p w14:paraId="18DE862D" w14:textId="030C3F4B" w:rsidR="00615E2D" w:rsidRDefault="00C83E46">
      <w:pPr>
        <w:pStyle w:val="P68B1DB1-Normal3"/>
        <w:autoSpaceDE w:val="0"/>
        <w:autoSpaceDN w:val="0"/>
        <w:spacing w:after="0" w:line="240" w:lineRule="auto"/>
        <w:jc w:val="both"/>
        <w:rPr>
          <w:rFonts w:ascii="Calibri" w:hAnsi="Calibri" w:cs="Calibri"/>
          <w:noProof/>
          <w:sz w:val="22"/>
        </w:rPr>
      </w:pPr>
      <w:r>
        <w:rPr>
          <w:noProof/>
          <w:color w:val="000000"/>
        </w:rPr>
        <w:t>Zajedno s ulaganjem 4 u okviru ove komponente, cilj je tog ulaganja potaknuti potražnju za električnim automobilima</w:t>
      </w:r>
      <w:r>
        <w:rPr>
          <w:noProof/>
        </w:rPr>
        <w:t xml:space="preserve"> </w:t>
      </w:r>
      <w:r>
        <w:rPr>
          <w:noProof/>
          <w:color w:val="000000"/>
        </w:rPr>
        <w:t>i poduprijeti razvoj tehnologije vodika u prometu. Sastoji se od povećanja broja mjesta za punjenje za privatna poduzeća za 1500 jedinica.</w:t>
      </w:r>
    </w:p>
    <w:p w14:paraId="2BCE22AC"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Ulaganje mora biti dovršeno do 31. prosinca 2025. </w:t>
      </w:r>
    </w:p>
    <w:p w14:paraId="1E14EE6A" w14:textId="77777777" w:rsidR="00615E2D" w:rsidRDefault="00C83E46">
      <w:pPr>
        <w:spacing w:line="240" w:lineRule="auto"/>
        <w:rPr>
          <w:rFonts w:eastAsia="Times New Roman"/>
          <w:b/>
          <w:noProof/>
          <w:color w:val="000000"/>
        </w:rPr>
      </w:pPr>
      <w:r>
        <w:rPr>
          <w:rFonts w:ascii="Calibri" w:hAnsi="Calibri"/>
          <w:noProof/>
          <w:sz w:val="22"/>
        </w:rPr>
        <w:br w:type="page"/>
      </w:r>
      <w:r>
        <w:rPr>
          <w:rFonts w:eastAsia="Times New Roman"/>
          <w:b/>
          <w:noProof/>
          <w:color w:val="000000"/>
        </w:rPr>
        <w:t>Ulaganje 3: Građevinska infrastruktura – mjesta za punjenje stambenih zgrada</w:t>
      </w:r>
    </w:p>
    <w:p w14:paraId="240B0864" w14:textId="77777777" w:rsidR="00615E2D" w:rsidRDefault="00C83E46">
      <w:pPr>
        <w:pStyle w:val="P68B1DB1-Normal4"/>
        <w:pBdr>
          <w:top w:val="nil"/>
          <w:left w:val="nil"/>
          <w:bottom w:val="nil"/>
          <w:right w:val="nil"/>
          <w:between w:val="nil"/>
        </w:pBdr>
        <w:spacing w:line="240" w:lineRule="auto"/>
        <w:jc w:val="both"/>
        <w:rPr>
          <w:noProof/>
        </w:rPr>
      </w:pPr>
      <w:r>
        <w:rPr>
          <w:noProof/>
        </w:rPr>
        <w:t>Kako bi se doprinijelo razvoju električnih vozila, to ulaganje sastoji se od povećanja broja mjesta za punjenje u stambenim zgradama, i u privatnim garažama i na parkirnim mjestima rezerviranima za stanovnike zgrade, za 2880 jedinica.</w:t>
      </w:r>
    </w:p>
    <w:p w14:paraId="564D9A6D" w14:textId="77777777" w:rsidR="00615E2D" w:rsidRDefault="00C83E46">
      <w:pPr>
        <w:pStyle w:val="P68B1DB1-Normal3"/>
        <w:pBdr>
          <w:top w:val="nil"/>
          <w:left w:val="nil"/>
          <w:bottom w:val="nil"/>
          <w:right w:val="nil"/>
          <w:between w:val="nil"/>
        </w:pBdr>
        <w:spacing w:line="240" w:lineRule="auto"/>
        <w:jc w:val="both"/>
        <w:rPr>
          <w:noProof/>
          <w:color w:val="000000"/>
        </w:rPr>
      </w:pPr>
      <w:r>
        <w:rPr>
          <w:noProof/>
          <w:color w:val="000000"/>
        </w:rPr>
        <w:t xml:space="preserve">Ulaganje mora biti dovršeno do </w:t>
      </w:r>
      <w:r>
        <w:rPr>
          <w:noProof/>
        </w:rPr>
        <w:t>31. prosinca</w:t>
      </w:r>
      <w:r>
        <w:rPr>
          <w:noProof/>
          <w:color w:val="000000"/>
        </w:rPr>
        <w:t xml:space="preserve">2025. </w:t>
      </w:r>
    </w:p>
    <w:p w14:paraId="7A2A26FA"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Ulaganje 4: Potpora za kupnju vozila – vozila (električna vozila, H2, teretni ebicikli) za privatna poduzeća</w:t>
      </w:r>
    </w:p>
    <w:p w14:paraId="3E264DCA" w14:textId="660177A6" w:rsidR="00615E2D" w:rsidRDefault="00C83E46">
      <w:pPr>
        <w:pStyle w:val="P68B1DB1-Normal3"/>
        <w:pBdr>
          <w:top w:val="nil"/>
          <w:left w:val="nil"/>
          <w:bottom w:val="nil"/>
          <w:right w:val="nil"/>
          <w:between w:val="nil"/>
        </w:pBdr>
        <w:spacing w:line="240" w:lineRule="auto"/>
        <w:jc w:val="both"/>
        <w:rPr>
          <w:noProof/>
          <w:color w:val="000000"/>
          <w:highlight w:val="red"/>
        </w:rPr>
      </w:pPr>
      <w:r>
        <w:rPr>
          <w:noProof/>
          <w:color w:val="000000" w:themeColor="text1"/>
        </w:rPr>
        <w:t xml:space="preserve">S ciljem poticanja potražnje za vozilima s nultim emisijama, cilj je tog ulaganja povećati broj vozila na alternativna goriva (električna, H2) za poduzeća za 2670 jedinica </w:t>
      </w:r>
      <w:r>
        <w:rPr>
          <w:noProof/>
        </w:rPr>
        <w:t xml:space="preserve">(2170 baterijskih električnih automobila i automobila na vodik i kombija, 500 teretnih ebicikala). </w:t>
      </w:r>
    </w:p>
    <w:p w14:paraId="5E8319B8"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Ulaganje mora biti dovršeno do 31. prosinca 2025. </w:t>
      </w:r>
    </w:p>
    <w:p w14:paraId="667E91CA"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Ulaganje 5: Potpore za kupnju vozila (električne, H2) i infrastrukture za općine, regije, državnu upravu i druga javna tijela i druge organizacije.</w:t>
      </w:r>
    </w:p>
    <w:p w14:paraId="20ABEC71" w14:textId="77777777" w:rsidR="00615E2D" w:rsidRDefault="00C83E46">
      <w:pPr>
        <w:pStyle w:val="P68B1DB1-Normal3"/>
        <w:pBdr>
          <w:top w:val="nil"/>
          <w:left w:val="nil"/>
          <w:bottom w:val="nil"/>
          <w:right w:val="nil"/>
          <w:between w:val="nil"/>
        </w:pBdr>
        <w:spacing w:line="240" w:lineRule="auto"/>
        <w:jc w:val="both"/>
        <w:rPr>
          <w:noProof/>
          <w:color w:val="000000"/>
        </w:rPr>
      </w:pPr>
      <w:r>
        <w:rPr>
          <w:noProof/>
          <w:color w:val="000000"/>
        </w:rPr>
        <w:t xml:space="preserve">Cilj je togulaganja povećati broj vozila na alternativna goriva (električna, H2) za općine, regije, državnu upravu za 1485 jedinica i povećati broj mjesta za punjenje općina, regija i državne uprave za 200 jedinica. </w:t>
      </w:r>
    </w:p>
    <w:p w14:paraId="7E9A80C4" w14:textId="77777777" w:rsidR="00615E2D" w:rsidRDefault="00C83E46">
      <w:pPr>
        <w:pStyle w:val="P68B1DB1-Normal4"/>
        <w:pBdr>
          <w:top w:val="nil"/>
          <w:left w:val="nil"/>
          <w:bottom w:val="nil"/>
          <w:right w:val="nil"/>
          <w:between w:val="nil"/>
        </w:pBdr>
        <w:spacing w:line="240" w:lineRule="auto"/>
        <w:jc w:val="both"/>
        <w:rPr>
          <w:noProof/>
          <w:highlight w:val="yellow"/>
        </w:rPr>
      </w:pPr>
      <w:r>
        <w:rPr>
          <w:noProof/>
        </w:rPr>
        <w:t>Ulaganje mora biti dovršeno do 31. prosinca 2025.</w:t>
      </w:r>
    </w:p>
    <w:p w14:paraId="084AD79E"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Ulaganje 6: Potpora za kupnju vozila (baterijski trolejbusi i niskopodni tramvaji) za javni prijevoz u gradu Pragu</w:t>
      </w:r>
    </w:p>
    <w:p w14:paraId="3A3E77FB"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Cilj je tog ulaganja poduprijeti kupnju 20 trolejbusa na baterije i 20 tramvaja niskog poda za grad Prag. </w:t>
      </w:r>
    </w:p>
    <w:p w14:paraId="098D98C7" w14:textId="77777777" w:rsidR="00615E2D" w:rsidRDefault="00C83E46">
      <w:pPr>
        <w:pStyle w:val="P68B1DB1-Normal4"/>
        <w:pBdr>
          <w:top w:val="nil"/>
          <w:left w:val="nil"/>
          <w:bottom w:val="nil"/>
          <w:right w:val="nil"/>
          <w:between w:val="nil"/>
        </w:pBdr>
        <w:spacing w:line="240" w:lineRule="auto"/>
        <w:rPr>
          <w:noProof/>
          <w:u w:val="single"/>
        </w:rPr>
        <w:sectPr w:rsidR="00615E2D" w:rsidSect="0078369E">
          <w:headerReference w:type="even" r:id="rId186"/>
          <w:headerReference w:type="default" r:id="rId187"/>
          <w:footerReference w:type="even" r:id="rId188"/>
          <w:footerReference w:type="default" r:id="rId189"/>
          <w:headerReference w:type="first" r:id="rId190"/>
          <w:footerReference w:type="first" r:id="rId191"/>
          <w:pgSz w:w="11907" w:h="16839"/>
          <w:pgMar w:top="1134" w:right="1134" w:bottom="1134" w:left="1134" w:header="567" w:footer="567" w:gutter="0"/>
          <w:cols w:space="720"/>
          <w:docGrid w:linePitch="326"/>
        </w:sectPr>
      </w:pPr>
      <w:r>
        <w:rPr>
          <w:noProof/>
        </w:rPr>
        <w:t>Ulaganje mora biti dovršeno do 31. ožujka 2026.</w:t>
      </w:r>
    </w:p>
    <w:p w14:paraId="384C5C6F" w14:textId="1DDE9CBE" w:rsidR="00615E2D" w:rsidRDefault="00C83E46">
      <w:pPr>
        <w:pStyle w:val="P68B1DB1-Normal33"/>
        <w:pBdr>
          <w:top w:val="nil"/>
          <w:left w:val="nil"/>
          <w:bottom w:val="nil"/>
          <w:right w:val="nil"/>
          <w:between w:val="nil"/>
        </w:pBdr>
        <w:spacing w:line="240" w:lineRule="auto"/>
        <w:ind w:firstLine="142"/>
        <w:jc w:val="both"/>
        <w:rPr>
          <w:rFonts w:ascii="Calibri" w:hAnsi="Calibri"/>
          <w:noProof/>
          <w:sz w:val="22"/>
        </w:rPr>
      </w:pPr>
      <w:r>
        <w:rPr>
          <w:noProof/>
        </w:rPr>
        <w:t>K.2. Ključne etape, ciljne vrijednosti i vremenski raspored za praćenje i provedbu programa bespovratne financijske potpore</w:t>
      </w:r>
    </w:p>
    <w:tbl>
      <w:tblPr>
        <w:tblW w:w="15172" w:type="dxa"/>
        <w:tblInd w:w="-147" w:type="dxa"/>
        <w:tblLayout w:type="fixed"/>
        <w:tblLook w:val="0400" w:firstRow="0" w:lastRow="0" w:firstColumn="0" w:lastColumn="0" w:noHBand="0" w:noVBand="1"/>
      </w:tblPr>
      <w:tblGrid>
        <w:gridCol w:w="710"/>
        <w:gridCol w:w="2206"/>
        <w:gridCol w:w="1124"/>
        <w:gridCol w:w="1587"/>
        <w:gridCol w:w="1124"/>
        <w:gridCol w:w="1064"/>
        <w:gridCol w:w="1064"/>
        <w:gridCol w:w="672"/>
        <w:gridCol w:w="956"/>
        <w:gridCol w:w="717"/>
        <w:gridCol w:w="3948"/>
      </w:tblGrid>
      <w:tr w:rsidR="00615E2D" w14:paraId="79D7A47F" w14:textId="77777777">
        <w:trPr>
          <w:trHeight w:val="540"/>
          <w:tblHeader/>
        </w:trPr>
        <w:tc>
          <w:tcPr>
            <w:tcW w:w="715" w:type="dxa"/>
            <w:vMerge w:val="restart"/>
            <w:tcBorders>
              <w:top w:val="single" w:sz="4" w:space="0" w:color="auto"/>
              <w:left w:val="single" w:sz="4" w:space="0" w:color="auto"/>
              <w:bottom w:val="single" w:sz="8" w:space="0" w:color="000000" w:themeColor="text1"/>
              <w:right w:val="single" w:sz="8" w:space="0" w:color="000000" w:themeColor="text1"/>
            </w:tcBorders>
            <w:shd w:val="clear" w:color="auto" w:fill="BDD7EE"/>
            <w:vAlign w:val="center"/>
          </w:tcPr>
          <w:p w14:paraId="6482D162" w14:textId="77777777" w:rsidR="00615E2D" w:rsidRDefault="00C83E46">
            <w:pPr>
              <w:pStyle w:val="P68B1DB1-Normal9"/>
              <w:spacing w:line="240" w:lineRule="auto"/>
              <w:jc w:val="center"/>
              <w:rPr>
                <w:rFonts w:ascii="Calibri" w:hAnsi="Calibri"/>
                <w:noProof/>
              </w:rPr>
            </w:pPr>
            <w:r>
              <w:rPr>
                <w:noProof/>
              </w:rPr>
              <w:t xml:space="preserve">Sljedeće NUM. </w:t>
            </w:r>
          </w:p>
        </w:tc>
        <w:tc>
          <w:tcPr>
            <w:tcW w:w="2228" w:type="dxa"/>
            <w:vMerge w:val="restart"/>
            <w:tcBorders>
              <w:top w:val="single" w:sz="4" w:space="0" w:color="auto"/>
              <w:left w:val="single" w:sz="8" w:space="0" w:color="000000" w:themeColor="text1"/>
              <w:bottom w:val="single" w:sz="8" w:space="0" w:color="000000" w:themeColor="text1"/>
              <w:right w:val="single" w:sz="8" w:space="0" w:color="000000" w:themeColor="text1"/>
            </w:tcBorders>
            <w:shd w:val="clear" w:color="auto" w:fill="BDD7EE"/>
            <w:vAlign w:val="center"/>
          </w:tcPr>
          <w:p w14:paraId="09A78C40" w14:textId="77777777" w:rsidR="00615E2D" w:rsidRDefault="00C83E46">
            <w:pPr>
              <w:pStyle w:val="P68B1DB1-Normal9"/>
              <w:spacing w:line="240" w:lineRule="auto"/>
              <w:jc w:val="center"/>
              <w:rPr>
                <w:rFonts w:ascii="Calibri" w:hAnsi="Calibri"/>
                <w:noProof/>
              </w:rPr>
            </w:pPr>
            <w:r>
              <w:rPr>
                <w:noProof/>
              </w:rPr>
              <w:t>Povezana mjera (reforma ili ulaganje)</w:t>
            </w:r>
          </w:p>
        </w:tc>
        <w:tc>
          <w:tcPr>
            <w:tcW w:w="1134" w:type="dxa"/>
            <w:vMerge w:val="restart"/>
            <w:tcBorders>
              <w:top w:val="single" w:sz="4" w:space="0" w:color="auto"/>
              <w:left w:val="single" w:sz="8" w:space="0" w:color="000000" w:themeColor="text1"/>
              <w:bottom w:val="single" w:sz="4" w:space="0" w:color="auto"/>
              <w:right w:val="single" w:sz="8" w:space="0" w:color="000000" w:themeColor="text1"/>
            </w:tcBorders>
            <w:shd w:val="clear" w:color="auto" w:fill="BDD7EE"/>
            <w:vAlign w:val="center"/>
          </w:tcPr>
          <w:p w14:paraId="7BBC1916" w14:textId="77777777" w:rsidR="00615E2D" w:rsidRDefault="00C83E46">
            <w:pPr>
              <w:pStyle w:val="P68B1DB1-Normal9"/>
              <w:spacing w:line="240" w:lineRule="auto"/>
              <w:jc w:val="center"/>
              <w:rPr>
                <w:rFonts w:ascii="Calibri" w:hAnsi="Calibri"/>
                <w:noProof/>
              </w:rPr>
            </w:pPr>
            <w:r>
              <w:rPr>
                <w:noProof/>
              </w:rPr>
              <w:t>Ključna etapa/ciljna vrijednost</w:t>
            </w:r>
          </w:p>
        </w:tc>
        <w:tc>
          <w:tcPr>
            <w:tcW w:w="1602" w:type="dxa"/>
            <w:vMerge w:val="restart"/>
            <w:tcBorders>
              <w:top w:val="single" w:sz="4" w:space="0" w:color="auto"/>
              <w:left w:val="single" w:sz="8" w:space="0" w:color="000000" w:themeColor="text1"/>
              <w:bottom w:val="single" w:sz="8" w:space="0" w:color="000000" w:themeColor="text1"/>
              <w:right w:val="single" w:sz="8" w:space="0" w:color="000000" w:themeColor="text1"/>
            </w:tcBorders>
            <w:shd w:val="clear" w:color="auto" w:fill="BDD7EE"/>
            <w:vAlign w:val="center"/>
          </w:tcPr>
          <w:p w14:paraId="7A1B56C7" w14:textId="77777777" w:rsidR="00615E2D" w:rsidRDefault="00C83E46">
            <w:pPr>
              <w:pStyle w:val="P68B1DB1-Normal9"/>
              <w:spacing w:line="240" w:lineRule="auto"/>
              <w:jc w:val="center"/>
              <w:rPr>
                <w:rFonts w:ascii="Calibri" w:hAnsi="Calibri"/>
                <w:noProof/>
              </w:rPr>
            </w:pPr>
            <w:r>
              <w:rPr>
                <w:noProof/>
              </w:rPr>
              <w:t>Ime</w:t>
            </w:r>
          </w:p>
        </w:tc>
        <w:tc>
          <w:tcPr>
            <w:tcW w:w="1134" w:type="dxa"/>
            <w:vMerge w:val="restart"/>
            <w:tcBorders>
              <w:top w:val="single" w:sz="4" w:space="0" w:color="auto"/>
              <w:left w:val="single" w:sz="8" w:space="0" w:color="000000" w:themeColor="text1"/>
              <w:bottom w:val="single" w:sz="4" w:space="0" w:color="auto"/>
              <w:right w:val="single" w:sz="4" w:space="0" w:color="auto"/>
            </w:tcBorders>
            <w:shd w:val="clear" w:color="auto" w:fill="BDD7EE"/>
            <w:vAlign w:val="center"/>
          </w:tcPr>
          <w:p w14:paraId="05DCFED1" w14:textId="77777777" w:rsidR="00615E2D" w:rsidRDefault="00C83E46">
            <w:pPr>
              <w:pStyle w:val="P68B1DB1-Normal12"/>
              <w:spacing w:line="240" w:lineRule="auto"/>
              <w:jc w:val="center"/>
              <w:rPr>
                <w:rFonts w:ascii="Calibri" w:hAnsi="Calibri"/>
                <w:noProof/>
              </w:rPr>
            </w:pPr>
            <w:r>
              <w:rPr>
                <w:rFonts w:eastAsia="Times New Roman"/>
                <w:b/>
                <w:noProof/>
              </w:rPr>
              <w:t>Kvalitativni pokazatelji</w:t>
            </w:r>
            <w:r>
              <w:rPr>
                <w:rFonts w:ascii="Calibri" w:hAnsi="Calibri"/>
                <w:noProof/>
              </w:rPr>
              <w:br/>
            </w:r>
            <w:r>
              <w:rPr>
                <w:rFonts w:eastAsia="Times New Roman"/>
                <w:b/>
                <w:noProof/>
              </w:rPr>
              <w:t>(za ključne etape)</w:t>
            </w:r>
          </w:p>
        </w:tc>
        <w:tc>
          <w:tcPr>
            <w:tcW w:w="2823" w:type="dxa"/>
            <w:gridSpan w:val="3"/>
            <w:tcBorders>
              <w:top w:val="single" w:sz="8" w:space="0" w:color="000000" w:themeColor="text1"/>
              <w:left w:val="single" w:sz="4" w:space="0" w:color="auto"/>
              <w:bottom w:val="single" w:sz="8" w:space="0" w:color="000000" w:themeColor="text1"/>
              <w:right w:val="single" w:sz="8" w:space="0" w:color="000000" w:themeColor="text1"/>
            </w:tcBorders>
            <w:shd w:val="clear" w:color="auto" w:fill="BDD7EE"/>
            <w:vAlign w:val="center"/>
          </w:tcPr>
          <w:p w14:paraId="0A284868" w14:textId="77777777" w:rsidR="00615E2D" w:rsidRDefault="00C83E46">
            <w:pPr>
              <w:pStyle w:val="P68B1DB1-Normal12"/>
              <w:spacing w:line="240" w:lineRule="auto"/>
              <w:jc w:val="center"/>
              <w:rPr>
                <w:rFonts w:ascii="Calibri" w:hAnsi="Calibri"/>
                <w:noProof/>
              </w:rPr>
            </w:pPr>
            <w:r>
              <w:rPr>
                <w:rFonts w:eastAsia="Times New Roman"/>
                <w:b/>
                <w:noProof/>
              </w:rPr>
              <w:t>Kvantitativni pokazatelji</w:t>
            </w:r>
            <w:r>
              <w:rPr>
                <w:rFonts w:ascii="Calibri" w:hAnsi="Calibri"/>
                <w:noProof/>
              </w:rPr>
              <w:br/>
            </w:r>
            <w:r>
              <w:rPr>
                <w:rFonts w:eastAsia="Times New Roman"/>
                <w:b/>
                <w:noProof/>
              </w:rPr>
              <w:t>(za ciljeve)</w:t>
            </w:r>
          </w:p>
        </w:tc>
        <w:tc>
          <w:tcPr>
            <w:tcW w:w="1686" w:type="dxa"/>
            <w:gridSpan w:val="2"/>
            <w:tcBorders>
              <w:top w:val="single" w:sz="8" w:space="0" w:color="000000" w:themeColor="text1"/>
              <w:left w:val="nil"/>
              <w:bottom w:val="single" w:sz="8" w:space="0" w:color="000000" w:themeColor="text1"/>
              <w:right w:val="single" w:sz="4" w:space="0" w:color="auto"/>
            </w:tcBorders>
            <w:shd w:val="clear" w:color="auto" w:fill="BDD7EE"/>
            <w:vAlign w:val="center"/>
          </w:tcPr>
          <w:p w14:paraId="466E8543" w14:textId="77777777" w:rsidR="00615E2D" w:rsidRDefault="00C83E46">
            <w:pPr>
              <w:pStyle w:val="P68B1DB1-Normal9"/>
              <w:spacing w:line="240" w:lineRule="auto"/>
              <w:jc w:val="center"/>
              <w:rPr>
                <w:rFonts w:ascii="Calibri" w:hAnsi="Calibri"/>
                <w:noProof/>
              </w:rPr>
            </w:pPr>
            <w:r>
              <w:rPr>
                <w:noProof/>
              </w:rPr>
              <w:t xml:space="preserve">Okvirni vremenski okvir za dovršetak </w:t>
            </w:r>
          </w:p>
        </w:tc>
        <w:tc>
          <w:tcPr>
            <w:tcW w:w="398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18FB401F" w14:textId="77777777" w:rsidR="00615E2D" w:rsidRDefault="00C83E46">
            <w:pPr>
              <w:pStyle w:val="P68B1DB1-Normal9"/>
              <w:spacing w:line="240" w:lineRule="auto"/>
              <w:jc w:val="center"/>
              <w:rPr>
                <w:rFonts w:ascii="Calibri" w:hAnsi="Calibri"/>
                <w:noProof/>
              </w:rPr>
            </w:pPr>
            <w:r>
              <w:rPr>
                <w:noProof/>
              </w:rPr>
              <w:t>Opis svake ključne etape i ciljne vrijednosti</w:t>
            </w:r>
          </w:p>
        </w:tc>
      </w:tr>
      <w:tr w:rsidR="00615E2D" w14:paraId="6FF239D5" w14:textId="77777777">
        <w:trPr>
          <w:trHeight w:val="420"/>
          <w:tblHeader/>
        </w:trPr>
        <w:tc>
          <w:tcPr>
            <w:tcW w:w="715" w:type="dxa"/>
            <w:vMerge/>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60CEA807" w14:textId="77777777" w:rsidR="00615E2D" w:rsidRDefault="00615E2D">
            <w:pPr>
              <w:spacing w:line="240" w:lineRule="auto"/>
              <w:rPr>
                <w:rFonts w:ascii="Calibri" w:hAnsi="Calibri"/>
                <w:noProof/>
                <w:sz w:val="18"/>
              </w:rPr>
            </w:pPr>
          </w:p>
        </w:tc>
        <w:tc>
          <w:tcPr>
            <w:tcW w:w="2228"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10F32D" w14:textId="77777777" w:rsidR="00615E2D" w:rsidRDefault="00615E2D">
            <w:pPr>
              <w:spacing w:line="240" w:lineRule="auto"/>
              <w:rPr>
                <w:rFonts w:ascii="Calibri" w:hAnsi="Calibri"/>
                <w:noProof/>
                <w:sz w:val="18"/>
              </w:rPr>
            </w:pPr>
          </w:p>
        </w:tc>
        <w:tc>
          <w:tcPr>
            <w:tcW w:w="1134" w:type="dxa"/>
            <w:vMerge/>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C4DEEFF" w14:textId="77777777" w:rsidR="00615E2D" w:rsidRDefault="00615E2D">
            <w:pPr>
              <w:spacing w:line="240" w:lineRule="auto"/>
              <w:rPr>
                <w:rFonts w:ascii="Calibri" w:hAnsi="Calibri"/>
                <w:noProof/>
                <w:sz w:val="18"/>
              </w:rPr>
            </w:pPr>
          </w:p>
        </w:tc>
        <w:tc>
          <w:tcPr>
            <w:tcW w:w="1602"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D68AFA" w14:textId="77777777" w:rsidR="00615E2D" w:rsidRDefault="00615E2D">
            <w:pPr>
              <w:spacing w:line="240" w:lineRule="auto"/>
              <w:rPr>
                <w:rFonts w:ascii="Calibri" w:hAnsi="Calibri"/>
                <w:noProof/>
                <w:sz w:val="18"/>
              </w:rPr>
            </w:pPr>
          </w:p>
        </w:tc>
        <w:tc>
          <w:tcPr>
            <w:tcW w:w="1134" w:type="dxa"/>
            <w:vMerge/>
            <w:tcBorders>
              <w:left w:val="single" w:sz="8" w:space="0" w:color="000000" w:themeColor="text1"/>
            </w:tcBorders>
            <w:vAlign w:val="center"/>
          </w:tcPr>
          <w:p w14:paraId="359E404F" w14:textId="77777777" w:rsidR="00615E2D" w:rsidRDefault="00615E2D">
            <w:pPr>
              <w:spacing w:line="240" w:lineRule="auto"/>
              <w:rPr>
                <w:rFonts w:ascii="Calibri" w:hAnsi="Calibri"/>
                <w:noProof/>
                <w:sz w:val="18"/>
              </w:rPr>
            </w:pPr>
          </w:p>
        </w:tc>
        <w:tc>
          <w:tcPr>
            <w:tcW w:w="1073"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BDD7EE"/>
            <w:vAlign w:val="center"/>
          </w:tcPr>
          <w:p w14:paraId="1315E5FA" w14:textId="77777777" w:rsidR="00615E2D" w:rsidRDefault="00C83E46">
            <w:pPr>
              <w:pStyle w:val="P68B1DB1-Normal9"/>
              <w:spacing w:line="240" w:lineRule="auto"/>
              <w:jc w:val="center"/>
              <w:rPr>
                <w:rFonts w:ascii="Calibri" w:hAnsi="Calibri"/>
                <w:noProof/>
              </w:rPr>
            </w:pPr>
            <w:r>
              <w:rPr>
                <w:noProof/>
              </w:rPr>
              <w:t>Jedinica mjere</w:t>
            </w:r>
          </w:p>
        </w:tc>
        <w:tc>
          <w:tcPr>
            <w:tcW w:w="1073"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4A24620A" w14:textId="77777777" w:rsidR="00615E2D" w:rsidRDefault="00C83E46">
            <w:pPr>
              <w:pStyle w:val="P68B1DB1-Normal9"/>
              <w:spacing w:line="240" w:lineRule="auto"/>
              <w:jc w:val="center"/>
              <w:rPr>
                <w:rFonts w:ascii="Calibri" w:hAnsi="Calibri"/>
                <w:noProof/>
              </w:rPr>
            </w:pPr>
            <w:r>
              <w:rPr>
                <w:noProof/>
              </w:rPr>
              <w:t xml:space="preserve">Osnovna vrijednost </w:t>
            </w:r>
          </w:p>
        </w:tc>
        <w:tc>
          <w:tcPr>
            <w:tcW w:w="6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70D1F8A4" w14:textId="77777777" w:rsidR="00615E2D" w:rsidRDefault="00C83E46">
            <w:pPr>
              <w:pStyle w:val="P68B1DB1-Normal9"/>
              <w:spacing w:line="240" w:lineRule="auto"/>
              <w:jc w:val="center"/>
              <w:rPr>
                <w:rFonts w:ascii="Calibri" w:hAnsi="Calibri"/>
                <w:noProof/>
              </w:rPr>
            </w:pPr>
            <w:r>
              <w:rPr>
                <w:noProof/>
              </w:rPr>
              <w:t xml:space="preserve">Cilj </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423C91B5" w14:textId="77777777" w:rsidR="00615E2D" w:rsidRDefault="00C83E46">
            <w:pPr>
              <w:pStyle w:val="P68B1DB1-Normal9"/>
              <w:spacing w:line="240" w:lineRule="auto"/>
              <w:jc w:val="center"/>
              <w:rPr>
                <w:rFonts w:ascii="Calibri" w:hAnsi="Calibri"/>
                <w:noProof/>
              </w:rPr>
            </w:pPr>
            <w:r>
              <w:rPr>
                <w:noProof/>
              </w:rPr>
              <w:t>Tromjesečje</w:t>
            </w:r>
          </w:p>
        </w:tc>
        <w:tc>
          <w:tcPr>
            <w:tcW w:w="677" w:type="dxa"/>
            <w:tcBorders>
              <w:top w:val="nil"/>
              <w:left w:val="single" w:sz="8" w:space="0" w:color="000000" w:themeColor="text1"/>
              <w:bottom w:val="single" w:sz="8" w:space="0" w:color="000000" w:themeColor="text1"/>
              <w:right w:val="single" w:sz="4" w:space="0" w:color="auto"/>
            </w:tcBorders>
            <w:shd w:val="clear" w:color="auto" w:fill="BDD7EE"/>
            <w:vAlign w:val="center"/>
          </w:tcPr>
          <w:p w14:paraId="28AE9669" w14:textId="77777777" w:rsidR="00615E2D" w:rsidRDefault="00C83E46">
            <w:pPr>
              <w:pStyle w:val="P68B1DB1-Normal9"/>
              <w:spacing w:line="240" w:lineRule="auto"/>
              <w:jc w:val="center"/>
              <w:rPr>
                <w:rFonts w:ascii="Calibri" w:hAnsi="Calibri"/>
                <w:noProof/>
              </w:rPr>
            </w:pPr>
            <w:r>
              <w:rPr>
                <w:noProof/>
              </w:rPr>
              <w:t>Godina</w:t>
            </w:r>
          </w:p>
        </w:tc>
        <w:tc>
          <w:tcPr>
            <w:tcW w:w="3989" w:type="dxa"/>
            <w:vMerge/>
            <w:tcBorders>
              <w:bottom w:val="single" w:sz="4" w:space="0" w:color="auto"/>
              <w:right w:val="single" w:sz="4" w:space="0" w:color="auto"/>
            </w:tcBorders>
            <w:vAlign w:val="center"/>
          </w:tcPr>
          <w:p w14:paraId="4CCD02D3" w14:textId="77777777" w:rsidR="00615E2D" w:rsidRDefault="00615E2D">
            <w:pPr>
              <w:spacing w:line="240" w:lineRule="auto"/>
              <w:rPr>
                <w:rFonts w:ascii="Calibri" w:hAnsi="Calibri"/>
                <w:noProof/>
                <w:sz w:val="18"/>
              </w:rPr>
            </w:pPr>
          </w:p>
        </w:tc>
      </w:tr>
      <w:tr w:rsidR="00615E2D" w14:paraId="5C005225" w14:textId="77777777">
        <w:trPr>
          <w:trHeight w:val="315"/>
        </w:trPr>
        <w:tc>
          <w:tcPr>
            <w:tcW w:w="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A190C6" w14:textId="77777777" w:rsidR="00615E2D" w:rsidRDefault="00C83E46">
            <w:pPr>
              <w:pStyle w:val="P68B1DB1-Normal15"/>
              <w:spacing w:line="240" w:lineRule="auto"/>
              <w:jc w:val="center"/>
              <w:rPr>
                <w:rFonts w:ascii="Calibri" w:hAnsi="Calibri"/>
                <w:noProof/>
              </w:rPr>
            </w:pPr>
            <w:r>
              <w:rPr>
                <w:noProof/>
              </w:rPr>
              <w:t>115</w:t>
            </w:r>
          </w:p>
        </w:tc>
        <w:tc>
          <w:tcPr>
            <w:tcW w:w="2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33BC116" w14:textId="77777777" w:rsidR="00615E2D" w:rsidRDefault="00C83E46">
            <w:pPr>
              <w:pStyle w:val="P68B1DB1-Normal15"/>
              <w:spacing w:line="240" w:lineRule="auto"/>
              <w:rPr>
                <w:rFonts w:ascii="Calibri" w:hAnsi="Calibri"/>
                <w:noProof/>
              </w:rPr>
            </w:pPr>
            <w:r>
              <w:rPr>
                <w:noProof/>
              </w:rPr>
              <w:t xml:space="preserve">Ulaganje 1: Izgradnja infrastrukture za javni prijevoz u gradu Pragu </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066B5BF0" w14:textId="77777777" w:rsidR="00615E2D" w:rsidRDefault="00C83E46">
            <w:pPr>
              <w:pStyle w:val="P68B1DB1-Normal15"/>
              <w:spacing w:line="240" w:lineRule="auto"/>
              <w:rPr>
                <w:rFonts w:ascii="Calibri" w:hAnsi="Calibri"/>
                <w:noProof/>
              </w:rPr>
            </w:pPr>
            <w:r>
              <w:rPr>
                <w:noProof/>
              </w:rPr>
              <w:t>Ciljna</w:t>
            </w:r>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B2ABBA" w14:textId="77777777" w:rsidR="00615E2D" w:rsidRDefault="00C83E46">
            <w:pPr>
              <w:pStyle w:val="P68B1DB1-Normal15"/>
              <w:spacing w:line="240" w:lineRule="auto"/>
              <w:rPr>
                <w:rFonts w:ascii="Calibri" w:hAnsi="Calibri"/>
                <w:noProof/>
              </w:rPr>
            </w:pPr>
            <w:r>
              <w:rPr>
                <w:noProof/>
              </w:rPr>
              <w:t>Broj mjesta za punjenje grada Praga</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6472D87B" w14:textId="77777777" w:rsidR="00615E2D" w:rsidRDefault="00C83E46">
            <w:pPr>
              <w:pStyle w:val="P68B1DB1-Normal15"/>
              <w:spacing w:line="240" w:lineRule="auto"/>
              <w:rPr>
                <w:rFonts w:ascii="Calibri" w:hAnsi="Calibri"/>
                <w:noProof/>
              </w:rPr>
            </w:pPr>
            <w:r>
              <w:rPr>
                <w:noProof/>
              </w:rPr>
              <w:t xml:space="preserve">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4E7E5B0" w14:textId="77777777" w:rsidR="00615E2D" w:rsidRDefault="00C83E46">
            <w:pPr>
              <w:pStyle w:val="P68B1DB1-Normal15"/>
              <w:spacing w:line="240" w:lineRule="auto"/>
              <w:rPr>
                <w:rFonts w:ascii="Calibri" w:hAnsi="Calibri"/>
                <w:noProof/>
              </w:rPr>
            </w:pPr>
            <w:r>
              <w:rPr>
                <w:noProof/>
              </w:rPr>
              <w:t>Broj</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F636634" w14:textId="77777777" w:rsidR="00615E2D" w:rsidRDefault="00C83E46">
            <w:pPr>
              <w:pStyle w:val="P68B1DB1-Normal15"/>
              <w:spacing w:line="240" w:lineRule="auto"/>
              <w:jc w:val="center"/>
              <w:rPr>
                <w:rFonts w:ascii="Calibri" w:hAnsi="Calibri"/>
                <w:noProof/>
              </w:rPr>
            </w:pPr>
            <w:r>
              <w:rPr>
                <w:noProof/>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54CDDA" w14:textId="77777777" w:rsidR="00615E2D" w:rsidRDefault="00C83E46">
            <w:pPr>
              <w:pStyle w:val="P68B1DB1-Normal15"/>
              <w:spacing w:line="240" w:lineRule="auto"/>
              <w:jc w:val="center"/>
              <w:rPr>
                <w:rFonts w:ascii="Calibri" w:hAnsi="Calibri"/>
                <w:noProof/>
              </w:rPr>
            </w:pPr>
            <w:r>
              <w:rPr>
                <w:noProof/>
              </w:rPr>
              <w:t>52</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76A12DD" w14:textId="77777777" w:rsidR="00615E2D" w:rsidRDefault="00C83E46">
            <w:pPr>
              <w:pStyle w:val="P68B1DB1-Normal15"/>
              <w:spacing w:line="240" w:lineRule="auto"/>
              <w:jc w:val="center"/>
              <w:rPr>
                <w:rFonts w:ascii="Calibri" w:hAnsi="Calibri"/>
                <w:noProof/>
              </w:rPr>
            </w:pPr>
            <w:r>
              <w:rPr>
                <w:noProof/>
              </w:rPr>
              <w:t>ČETVRTO 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B628CFD" w14:textId="77777777" w:rsidR="00615E2D" w:rsidRDefault="00C83E46">
            <w:pPr>
              <w:pStyle w:val="P68B1DB1-Normal15"/>
              <w:spacing w:line="240" w:lineRule="auto"/>
              <w:jc w:val="center"/>
              <w:rPr>
                <w:noProof/>
              </w:rPr>
            </w:pPr>
            <w:r>
              <w:rPr>
                <w:noProof/>
              </w:rPr>
              <w:t>2025</w:t>
            </w:r>
          </w:p>
        </w:tc>
        <w:tc>
          <w:tcPr>
            <w:tcW w:w="398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4EC7A48B" w14:textId="77777777" w:rsidR="00615E2D" w:rsidRDefault="00C83E46">
            <w:pPr>
              <w:pStyle w:val="P68B1DB1-Normal15"/>
              <w:spacing w:line="240" w:lineRule="auto"/>
              <w:rPr>
                <w:rFonts w:ascii="Calibri" w:hAnsi="Calibri"/>
                <w:noProof/>
              </w:rPr>
            </w:pPr>
            <w:r>
              <w:rPr>
                <w:noProof/>
              </w:rPr>
              <w:t xml:space="preserve">Za grad Prag moraju biti operativna najmanje 52 nova mjesta za punjenje. </w:t>
            </w:r>
          </w:p>
        </w:tc>
      </w:tr>
      <w:tr w:rsidR="00615E2D" w14:paraId="7A9E6D28" w14:textId="77777777">
        <w:trPr>
          <w:trHeight w:val="315"/>
        </w:trPr>
        <w:tc>
          <w:tcPr>
            <w:tcW w:w="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5C33A1" w14:textId="77777777" w:rsidR="00615E2D" w:rsidRDefault="00C83E46">
            <w:pPr>
              <w:pStyle w:val="P68B1DB1-Normal15"/>
              <w:spacing w:line="240" w:lineRule="auto"/>
              <w:jc w:val="center"/>
              <w:rPr>
                <w:rFonts w:ascii="Calibri" w:hAnsi="Calibri"/>
                <w:noProof/>
              </w:rPr>
            </w:pPr>
            <w:r>
              <w:rPr>
                <w:noProof/>
              </w:rPr>
              <w:t>116</w:t>
            </w:r>
          </w:p>
        </w:tc>
        <w:tc>
          <w:tcPr>
            <w:tcW w:w="2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356754" w14:textId="77777777" w:rsidR="00615E2D" w:rsidRDefault="00C83E46">
            <w:pPr>
              <w:pStyle w:val="P68B1DB1-Normal15"/>
              <w:spacing w:line="240" w:lineRule="auto"/>
              <w:rPr>
                <w:rFonts w:ascii="Calibri" w:hAnsi="Calibri"/>
                <w:noProof/>
              </w:rPr>
            </w:pPr>
            <w:r>
              <w:rPr>
                <w:noProof/>
              </w:rPr>
              <w:t xml:space="preserve">Ulaganje 1: Izgradnja infrastrukture za javni prijevoz u gradu Pragu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C9D210" w14:textId="77777777" w:rsidR="00615E2D" w:rsidRDefault="00C83E46">
            <w:pPr>
              <w:pStyle w:val="P68B1DB1-Normal15"/>
              <w:spacing w:line="240" w:lineRule="auto"/>
              <w:rPr>
                <w:rFonts w:ascii="Calibri" w:hAnsi="Calibri"/>
                <w:noProof/>
              </w:rPr>
            </w:pPr>
            <w:r>
              <w:rPr>
                <w:noProof/>
              </w:rPr>
              <w:t>Ciljna</w:t>
            </w:r>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8C93C4" w14:textId="3CFB10D5" w:rsidR="00615E2D" w:rsidRDefault="00C83E46">
            <w:pPr>
              <w:pStyle w:val="P68B1DB1-Normal15"/>
              <w:spacing w:line="240" w:lineRule="auto"/>
              <w:rPr>
                <w:rFonts w:ascii="Calibri" w:hAnsi="Calibri"/>
                <w:noProof/>
              </w:rPr>
            </w:pPr>
            <w:r>
              <w:rPr>
                <w:noProof/>
              </w:rPr>
              <w:t xml:space="preserve">Broj kilometara ceste s dinamičnim naplatom za grad Prag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0DABE1" w14:textId="77777777" w:rsidR="00615E2D" w:rsidRDefault="00C83E46">
            <w:pPr>
              <w:pStyle w:val="P68B1DB1-Normal15"/>
              <w:spacing w:line="240" w:lineRule="auto"/>
              <w:rPr>
                <w:rFonts w:ascii="Calibri" w:hAnsi="Calibri"/>
                <w:noProof/>
              </w:rPr>
            </w:pPr>
            <w:r>
              <w:rPr>
                <w:noProof/>
              </w:rPr>
              <w:t xml:space="preserve">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E87C33C" w14:textId="77777777" w:rsidR="00615E2D" w:rsidRDefault="00C83E46">
            <w:pPr>
              <w:pStyle w:val="P68B1DB1-Normal15"/>
              <w:spacing w:line="240" w:lineRule="auto"/>
              <w:rPr>
                <w:rFonts w:ascii="Calibri" w:hAnsi="Calibri"/>
                <w:noProof/>
              </w:rPr>
            </w:pPr>
            <w:r>
              <w:rPr>
                <w:noProof/>
              </w:rPr>
              <w:t xml:space="preserve">Km od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59AF3C" w14:textId="77777777" w:rsidR="00615E2D" w:rsidRDefault="00C83E46">
            <w:pPr>
              <w:pStyle w:val="P68B1DB1-Normal15"/>
              <w:spacing w:line="240" w:lineRule="auto"/>
              <w:jc w:val="center"/>
              <w:rPr>
                <w:rFonts w:ascii="Calibri" w:hAnsi="Calibri"/>
                <w:noProof/>
              </w:rPr>
            </w:pPr>
            <w:r>
              <w:rPr>
                <w:noProof/>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0A473DB" w14:textId="77777777" w:rsidR="00615E2D" w:rsidRDefault="00C83E46">
            <w:pPr>
              <w:pStyle w:val="P68B1DB1-Normal15"/>
              <w:spacing w:line="240" w:lineRule="auto"/>
              <w:jc w:val="center"/>
              <w:rPr>
                <w:rFonts w:ascii="Calibri" w:hAnsi="Calibri"/>
                <w:noProof/>
              </w:rPr>
            </w:pPr>
            <w:r>
              <w:rPr>
                <w:noProof/>
              </w:rPr>
              <w:t>40</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FFD50FC" w14:textId="06C1985E" w:rsidR="00615E2D" w:rsidRDefault="00C83E46">
            <w:pPr>
              <w:pStyle w:val="P68B1DB1-Normal15"/>
              <w:spacing w:line="240" w:lineRule="auto"/>
              <w:jc w:val="center"/>
              <w:rPr>
                <w:rFonts w:ascii="Calibri" w:hAnsi="Calibri"/>
                <w:noProof/>
              </w:rPr>
            </w:pPr>
            <w:r>
              <w:rPr>
                <w:noProof/>
              </w:rPr>
              <w:t>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187E69" w14:textId="4BFF1195" w:rsidR="00615E2D" w:rsidRDefault="00C83E46">
            <w:pPr>
              <w:pStyle w:val="P68B1DB1-Normal15"/>
              <w:spacing w:line="240" w:lineRule="auto"/>
              <w:jc w:val="center"/>
              <w:rPr>
                <w:noProof/>
              </w:rPr>
            </w:pPr>
            <w:r>
              <w:rPr>
                <w:noProof/>
              </w:rPr>
              <w:t>2026</w:t>
            </w:r>
          </w:p>
        </w:tc>
        <w:tc>
          <w:tcPr>
            <w:tcW w:w="3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B631BA" w14:textId="77777777" w:rsidR="00615E2D" w:rsidRDefault="00C83E46">
            <w:pPr>
              <w:pStyle w:val="P68B1DB1-Normal15"/>
              <w:spacing w:line="240" w:lineRule="auto"/>
              <w:rPr>
                <w:noProof/>
                <w:highlight w:val="yellow"/>
              </w:rPr>
            </w:pPr>
            <w:r>
              <w:rPr>
                <w:noProof/>
              </w:rPr>
              <w:t xml:space="preserve">Najmanje 40 km ceste za dinamičko punjenje trolejbusa akumulatora za grad Prag mora biti spremna za rad. </w:t>
            </w:r>
          </w:p>
        </w:tc>
      </w:tr>
      <w:tr w:rsidR="00615E2D" w14:paraId="680C13A7" w14:textId="77777777">
        <w:trPr>
          <w:trHeight w:val="315"/>
        </w:trPr>
        <w:tc>
          <w:tcPr>
            <w:tcW w:w="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ACE8767" w14:textId="77777777" w:rsidR="00615E2D" w:rsidRDefault="00C83E46">
            <w:pPr>
              <w:pStyle w:val="P68B1DB1-Normal15"/>
              <w:spacing w:line="240" w:lineRule="auto"/>
              <w:jc w:val="center"/>
              <w:rPr>
                <w:rFonts w:ascii="Calibri" w:hAnsi="Calibri"/>
                <w:noProof/>
              </w:rPr>
            </w:pPr>
            <w:r>
              <w:rPr>
                <w:noProof/>
              </w:rPr>
              <w:t>117</w:t>
            </w:r>
          </w:p>
        </w:tc>
        <w:tc>
          <w:tcPr>
            <w:tcW w:w="2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2D353C" w14:textId="77777777" w:rsidR="00615E2D" w:rsidRDefault="00C83E46">
            <w:pPr>
              <w:pStyle w:val="P68B1DB1-Normal15"/>
              <w:spacing w:line="240" w:lineRule="auto"/>
              <w:rPr>
                <w:rFonts w:ascii="Calibri" w:hAnsi="Calibri"/>
                <w:noProof/>
              </w:rPr>
            </w:pPr>
            <w:r>
              <w:rPr>
                <w:noProof/>
              </w:rPr>
              <w:t xml:space="preserve">Ulaganje 2: Izgradnja infrastrukture – mjesta za punjenje za privatna poduzeća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602F30" w14:textId="77777777" w:rsidR="00615E2D" w:rsidRDefault="00C83E46">
            <w:pPr>
              <w:pStyle w:val="P68B1DB1-Normal15"/>
              <w:spacing w:line="240" w:lineRule="auto"/>
              <w:rPr>
                <w:rFonts w:ascii="Calibri" w:hAnsi="Calibri"/>
                <w:noProof/>
              </w:rPr>
            </w:pPr>
            <w:r>
              <w:rPr>
                <w:noProof/>
              </w:rPr>
              <w:t>Ciljna</w:t>
            </w:r>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1FF2FF6" w14:textId="77777777" w:rsidR="00615E2D" w:rsidRDefault="00C83E46">
            <w:pPr>
              <w:pStyle w:val="P68B1DB1-Normal15"/>
              <w:spacing w:line="240" w:lineRule="auto"/>
              <w:rPr>
                <w:noProof/>
              </w:rPr>
            </w:pPr>
            <w:r>
              <w:rPr>
                <w:noProof/>
              </w:rPr>
              <w:t>Broj mjesta za punjenje postavljenih za privatna poduzeća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5DFBD06" w14:textId="77777777" w:rsidR="00615E2D" w:rsidRDefault="00C83E46">
            <w:pPr>
              <w:pStyle w:val="P68B1DB1-Normal15"/>
              <w:spacing w:line="240" w:lineRule="auto"/>
              <w:rPr>
                <w:rFonts w:ascii="Calibri" w:hAnsi="Calibri"/>
                <w:noProof/>
              </w:rPr>
            </w:pPr>
            <w:r>
              <w:rPr>
                <w:noProof/>
              </w:rPr>
              <w:t xml:space="preserve">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3633BAF" w14:textId="77777777" w:rsidR="00615E2D" w:rsidRDefault="00C83E46">
            <w:pPr>
              <w:pStyle w:val="P68B1DB1-Normal15"/>
              <w:spacing w:line="240" w:lineRule="auto"/>
              <w:rPr>
                <w:rFonts w:ascii="Calibri" w:hAnsi="Calibri"/>
                <w:noProof/>
              </w:rPr>
            </w:pPr>
            <w:r>
              <w:rPr>
                <w:noProof/>
              </w:rPr>
              <w:t xml:space="preserve">Dnevni broj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F5A4BB" w14:textId="77777777" w:rsidR="00615E2D" w:rsidRDefault="00C83E46">
            <w:pPr>
              <w:pStyle w:val="P68B1DB1-Normal15"/>
              <w:spacing w:line="240" w:lineRule="auto"/>
              <w:jc w:val="center"/>
              <w:rPr>
                <w:rFonts w:ascii="Calibri" w:hAnsi="Calibri"/>
                <w:noProof/>
              </w:rPr>
            </w:pPr>
            <w:r>
              <w:rPr>
                <w:noProof/>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ABD7306" w14:textId="77777777" w:rsidR="00615E2D" w:rsidRDefault="00C83E46">
            <w:pPr>
              <w:pStyle w:val="P68B1DB1-Normal15"/>
              <w:spacing w:line="240" w:lineRule="auto"/>
              <w:jc w:val="center"/>
              <w:rPr>
                <w:rFonts w:ascii="Calibri" w:hAnsi="Calibri"/>
                <w:noProof/>
              </w:rPr>
            </w:pPr>
            <w:r>
              <w:rPr>
                <w:noProof/>
              </w:rPr>
              <w:t>1500</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F285E5" w14:textId="77777777" w:rsidR="00615E2D" w:rsidRDefault="00C83E46">
            <w:pPr>
              <w:pStyle w:val="P68B1DB1-Normal15"/>
              <w:spacing w:line="240" w:lineRule="auto"/>
              <w:jc w:val="center"/>
              <w:rPr>
                <w:rFonts w:ascii="Calibri" w:hAnsi="Calibri"/>
                <w:noProof/>
              </w:rPr>
            </w:pPr>
            <w:r>
              <w:rPr>
                <w:noProof/>
              </w:rPr>
              <w:t>ČETVRTO 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3077E6E" w14:textId="77777777" w:rsidR="00615E2D" w:rsidRDefault="00C83E46">
            <w:pPr>
              <w:pStyle w:val="P68B1DB1-Normal15"/>
              <w:spacing w:line="240" w:lineRule="auto"/>
              <w:jc w:val="center"/>
              <w:rPr>
                <w:noProof/>
              </w:rPr>
            </w:pPr>
            <w:r>
              <w:rPr>
                <w:noProof/>
              </w:rPr>
              <w:t>2025</w:t>
            </w:r>
          </w:p>
        </w:tc>
        <w:tc>
          <w:tcPr>
            <w:tcW w:w="3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18A0C71" w14:textId="13526D41" w:rsidR="00615E2D" w:rsidRDefault="00C83E46">
            <w:pPr>
              <w:pStyle w:val="P68B1DB1-Normal15"/>
              <w:spacing w:line="240" w:lineRule="auto"/>
              <w:rPr>
                <w:rFonts w:ascii="Calibri" w:hAnsi="Calibri"/>
                <w:noProof/>
              </w:rPr>
            </w:pPr>
            <w:r>
              <w:rPr>
                <w:noProof/>
              </w:rPr>
              <w:t xml:space="preserve">U funkciji je najmanje 1500 novih mjesta za punjenje. </w:t>
            </w:r>
          </w:p>
        </w:tc>
      </w:tr>
      <w:tr w:rsidR="00615E2D" w14:paraId="2CEF153F" w14:textId="77777777">
        <w:trPr>
          <w:trHeight w:val="315"/>
        </w:trPr>
        <w:tc>
          <w:tcPr>
            <w:tcW w:w="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25AEE3F" w14:textId="77777777" w:rsidR="00615E2D" w:rsidRDefault="00C83E46">
            <w:pPr>
              <w:pStyle w:val="P68B1DB1-Normal15"/>
              <w:spacing w:line="240" w:lineRule="auto"/>
              <w:jc w:val="center"/>
              <w:rPr>
                <w:rFonts w:ascii="Calibri" w:hAnsi="Calibri"/>
                <w:noProof/>
              </w:rPr>
            </w:pPr>
            <w:r>
              <w:rPr>
                <w:noProof/>
              </w:rPr>
              <w:t>118</w:t>
            </w:r>
          </w:p>
        </w:tc>
        <w:tc>
          <w:tcPr>
            <w:tcW w:w="2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572B509" w14:textId="77777777" w:rsidR="00615E2D" w:rsidRDefault="00C83E46">
            <w:pPr>
              <w:pStyle w:val="P68B1DB1-Normal15"/>
              <w:spacing w:line="240" w:lineRule="auto"/>
              <w:rPr>
                <w:rFonts w:ascii="Calibri" w:hAnsi="Calibri"/>
                <w:noProof/>
              </w:rPr>
            </w:pPr>
            <w:r>
              <w:rPr>
                <w:noProof/>
              </w:rPr>
              <w:t xml:space="preserve">Ulaganje 3: Građevinska infrastruktura – mjesta za punjenje stambenih zgrada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C98056A" w14:textId="77777777" w:rsidR="00615E2D" w:rsidRDefault="00C83E46">
            <w:pPr>
              <w:pStyle w:val="P68B1DB1-Normal15"/>
              <w:spacing w:line="240" w:lineRule="auto"/>
              <w:rPr>
                <w:rFonts w:ascii="Calibri" w:hAnsi="Calibri"/>
                <w:noProof/>
              </w:rPr>
            </w:pPr>
            <w:r>
              <w:rPr>
                <w:noProof/>
              </w:rPr>
              <w:t xml:space="preserve"> Ciljna</w:t>
            </w:r>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F14A9F8" w14:textId="77777777" w:rsidR="00615E2D" w:rsidRDefault="00C83E46">
            <w:pPr>
              <w:pStyle w:val="P68B1DB1-Normal15"/>
              <w:spacing w:line="240" w:lineRule="auto"/>
              <w:rPr>
                <w:rFonts w:ascii="Calibri" w:hAnsi="Calibri"/>
                <w:noProof/>
              </w:rPr>
            </w:pPr>
            <w:r>
              <w:rPr>
                <w:noProof/>
              </w:rPr>
              <w:t xml:space="preserve">Broj mjesta za punjenje postavljenih za stambene zgrade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6C96FAE" w14:textId="77777777" w:rsidR="00615E2D" w:rsidRDefault="00C83E46">
            <w:pPr>
              <w:pStyle w:val="P68B1DB1-Normal15"/>
              <w:spacing w:line="240" w:lineRule="auto"/>
              <w:rPr>
                <w:rFonts w:ascii="Calibri" w:hAnsi="Calibri"/>
                <w:noProof/>
              </w:rPr>
            </w:pPr>
            <w:r>
              <w:rPr>
                <w:noProof/>
              </w:rPr>
              <w:t xml:space="preserve">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CE1EEE" w14:textId="77777777" w:rsidR="00615E2D" w:rsidRDefault="00C83E46">
            <w:pPr>
              <w:pStyle w:val="P68B1DB1-Normal15"/>
              <w:spacing w:line="240" w:lineRule="auto"/>
              <w:rPr>
                <w:rFonts w:ascii="Calibri" w:hAnsi="Calibri"/>
                <w:noProof/>
              </w:rPr>
            </w:pPr>
            <w:r>
              <w:rPr>
                <w:noProof/>
              </w:rPr>
              <w:t xml:space="preserve">Dnevni broj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6857D8F" w14:textId="77777777" w:rsidR="00615E2D" w:rsidRDefault="00C83E46">
            <w:pPr>
              <w:pStyle w:val="P68B1DB1-Normal15"/>
              <w:spacing w:line="240" w:lineRule="auto"/>
              <w:jc w:val="center"/>
              <w:rPr>
                <w:rFonts w:ascii="Calibri" w:hAnsi="Calibri"/>
                <w:noProof/>
              </w:rPr>
            </w:pPr>
            <w:r>
              <w:rPr>
                <w:noProof/>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2E9C69" w14:textId="77777777" w:rsidR="00615E2D" w:rsidRDefault="00C83E46">
            <w:pPr>
              <w:pStyle w:val="P68B1DB1-Normal15"/>
              <w:spacing w:line="240" w:lineRule="auto"/>
              <w:jc w:val="center"/>
              <w:rPr>
                <w:rFonts w:ascii="Calibri" w:hAnsi="Calibri"/>
                <w:noProof/>
              </w:rPr>
            </w:pPr>
            <w:r>
              <w:rPr>
                <w:noProof/>
              </w:rPr>
              <w:t>2 880</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332A3C" w14:textId="77777777" w:rsidR="00615E2D" w:rsidRDefault="00C83E46">
            <w:pPr>
              <w:pStyle w:val="P68B1DB1-Normal15"/>
              <w:spacing w:line="240" w:lineRule="auto"/>
              <w:jc w:val="center"/>
              <w:rPr>
                <w:rFonts w:ascii="Calibri" w:hAnsi="Calibri"/>
                <w:noProof/>
              </w:rPr>
            </w:pPr>
            <w:r>
              <w:rPr>
                <w:noProof/>
              </w:rPr>
              <w:t>ČETVRTO 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AE7FB38" w14:textId="77777777" w:rsidR="00615E2D" w:rsidRDefault="00C83E46">
            <w:pPr>
              <w:pStyle w:val="P68B1DB1-Normal15"/>
              <w:spacing w:line="240" w:lineRule="auto"/>
              <w:jc w:val="center"/>
              <w:rPr>
                <w:noProof/>
              </w:rPr>
            </w:pPr>
            <w:r>
              <w:rPr>
                <w:noProof/>
              </w:rPr>
              <w:t>2025</w:t>
            </w:r>
          </w:p>
        </w:tc>
        <w:tc>
          <w:tcPr>
            <w:tcW w:w="3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09D4866" w14:textId="77777777" w:rsidR="00615E2D" w:rsidRDefault="00C83E46">
            <w:pPr>
              <w:pStyle w:val="P68B1DB1-Normal15"/>
              <w:spacing w:line="240" w:lineRule="auto"/>
              <w:rPr>
                <w:noProof/>
              </w:rPr>
            </w:pPr>
            <w:r>
              <w:rPr>
                <w:noProof/>
              </w:rPr>
              <w:t xml:space="preserve"> U funkciji je najmanje 2880 novih mjesta za punjenje. </w:t>
            </w:r>
          </w:p>
        </w:tc>
      </w:tr>
      <w:tr w:rsidR="00615E2D" w14:paraId="684FA013" w14:textId="77777777">
        <w:trPr>
          <w:trHeight w:val="315"/>
        </w:trPr>
        <w:tc>
          <w:tcPr>
            <w:tcW w:w="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B0EE176" w14:textId="77777777" w:rsidR="00615E2D" w:rsidRDefault="00C83E46">
            <w:pPr>
              <w:pStyle w:val="P68B1DB1-Normal15"/>
              <w:spacing w:line="240" w:lineRule="auto"/>
              <w:jc w:val="center"/>
              <w:rPr>
                <w:rFonts w:ascii="Calibri" w:hAnsi="Calibri"/>
                <w:noProof/>
              </w:rPr>
            </w:pPr>
            <w:r>
              <w:rPr>
                <w:noProof/>
              </w:rPr>
              <w:t>119</w:t>
            </w:r>
          </w:p>
        </w:tc>
        <w:tc>
          <w:tcPr>
            <w:tcW w:w="2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EC4D76" w14:textId="77777777" w:rsidR="00615E2D" w:rsidRDefault="00C83E46">
            <w:pPr>
              <w:pStyle w:val="P68B1DB1-Normal15"/>
              <w:spacing w:line="240" w:lineRule="auto"/>
              <w:rPr>
                <w:rFonts w:ascii="Calibri" w:hAnsi="Calibri"/>
                <w:noProof/>
              </w:rPr>
            </w:pPr>
            <w:r>
              <w:rPr>
                <w:noProof/>
              </w:rPr>
              <w:t xml:space="preserve">Ulaganje 4: Potpore za kupnju vozila – vozila (električna vozila, H2, bicikli) za privatna poduzeća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8648527" w14:textId="77777777" w:rsidR="00615E2D" w:rsidRDefault="00C83E46">
            <w:pPr>
              <w:pStyle w:val="P68B1DB1-Normal15"/>
              <w:spacing w:line="240" w:lineRule="auto"/>
              <w:rPr>
                <w:rFonts w:ascii="Calibri" w:hAnsi="Calibri"/>
                <w:noProof/>
              </w:rPr>
            </w:pPr>
            <w:r>
              <w:rPr>
                <w:noProof/>
              </w:rPr>
              <w:t xml:space="preserve"> Ciljna</w:t>
            </w:r>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3550879" w14:textId="77777777" w:rsidR="00615E2D" w:rsidRDefault="00C83E46">
            <w:pPr>
              <w:pStyle w:val="P68B1DB1-Normal15"/>
              <w:spacing w:line="240" w:lineRule="auto"/>
              <w:rPr>
                <w:noProof/>
              </w:rPr>
            </w:pPr>
            <w:r>
              <w:rPr>
                <w:noProof/>
              </w:rPr>
              <w:t xml:space="preserve"> Broj vozila (električna vozila, H2, bicikli) za privatna poduzeća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0330BF6" w14:textId="77777777" w:rsidR="00615E2D" w:rsidRDefault="00C83E46">
            <w:pPr>
              <w:pStyle w:val="P68B1DB1-Normal15"/>
              <w:spacing w:line="240" w:lineRule="auto"/>
              <w:rPr>
                <w:rFonts w:ascii="Calibri" w:hAnsi="Calibri"/>
                <w:noProof/>
              </w:rPr>
            </w:pPr>
            <w:r>
              <w:rPr>
                <w:noProof/>
              </w:rPr>
              <w:t xml:space="preserve">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15E9589" w14:textId="77777777" w:rsidR="00615E2D" w:rsidRDefault="00C83E46">
            <w:pPr>
              <w:pStyle w:val="P68B1DB1-Normal15"/>
              <w:spacing w:line="240" w:lineRule="auto"/>
              <w:rPr>
                <w:rFonts w:ascii="Calibri" w:hAnsi="Calibri"/>
                <w:noProof/>
              </w:rPr>
            </w:pPr>
            <w:r>
              <w:rPr>
                <w:noProof/>
              </w:rPr>
              <w:t xml:space="preserve">Dnevni broj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9B9951" w14:textId="77777777" w:rsidR="00615E2D" w:rsidRDefault="00C83E46">
            <w:pPr>
              <w:pStyle w:val="P68B1DB1-Normal15"/>
              <w:spacing w:line="240" w:lineRule="auto"/>
              <w:jc w:val="center"/>
              <w:rPr>
                <w:rFonts w:ascii="Calibri" w:hAnsi="Calibri"/>
                <w:noProof/>
              </w:rPr>
            </w:pPr>
            <w:r>
              <w:rPr>
                <w:noProof/>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0556528" w14:textId="5C360E35" w:rsidR="00615E2D" w:rsidRDefault="00C83E46">
            <w:pPr>
              <w:pStyle w:val="P68B1DB1-Normal15"/>
              <w:spacing w:line="240" w:lineRule="auto"/>
              <w:jc w:val="center"/>
              <w:rPr>
                <w:rFonts w:ascii="Calibri" w:hAnsi="Calibri"/>
                <w:noProof/>
              </w:rPr>
            </w:pPr>
            <w:r>
              <w:rPr>
                <w:noProof/>
              </w:rPr>
              <w:t>2670</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7169A3B" w14:textId="77777777" w:rsidR="00615E2D" w:rsidRDefault="00C83E46">
            <w:pPr>
              <w:pStyle w:val="P68B1DB1-Normal15"/>
              <w:spacing w:line="240" w:lineRule="auto"/>
              <w:jc w:val="center"/>
              <w:rPr>
                <w:rFonts w:ascii="Calibri" w:hAnsi="Calibri"/>
                <w:noProof/>
              </w:rPr>
            </w:pPr>
            <w:r>
              <w:rPr>
                <w:noProof/>
              </w:rPr>
              <w:t>ČETVRTO 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279616" w14:textId="77777777" w:rsidR="00615E2D" w:rsidRDefault="00C83E46">
            <w:pPr>
              <w:pStyle w:val="P68B1DB1-Normal15"/>
              <w:spacing w:line="240" w:lineRule="auto"/>
              <w:jc w:val="center"/>
              <w:rPr>
                <w:noProof/>
              </w:rPr>
            </w:pPr>
            <w:r>
              <w:rPr>
                <w:noProof/>
              </w:rPr>
              <w:t>2025</w:t>
            </w:r>
          </w:p>
        </w:tc>
        <w:tc>
          <w:tcPr>
            <w:tcW w:w="3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B59CDE" w14:textId="1217842E" w:rsidR="00615E2D" w:rsidRDefault="00C83E46">
            <w:pPr>
              <w:pStyle w:val="P68B1DB1-Normal15"/>
              <w:spacing w:line="240" w:lineRule="auto"/>
              <w:rPr>
                <w:noProof/>
              </w:rPr>
            </w:pPr>
            <w:r>
              <w:rPr>
                <w:noProof/>
              </w:rPr>
              <w:t xml:space="preserve">Za poduzeća kupuje se najmanje 2670 novih vozila s nultim emisijama (2170 automobila i kombija s nultim emisijama, 500 teretnih e-bicikala). </w:t>
            </w:r>
          </w:p>
        </w:tc>
      </w:tr>
      <w:tr w:rsidR="00615E2D" w14:paraId="5299230A" w14:textId="77777777">
        <w:trPr>
          <w:trHeight w:val="315"/>
        </w:trPr>
        <w:tc>
          <w:tcPr>
            <w:tcW w:w="715"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51BCF848" w14:textId="77777777" w:rsidR="00615E2D" w:rsidRDefault="00C83E46">
            <w:pPr>
              <w:pStyle w:val="P68B1DB1-Normal15"/>
              <w:spacing w:line="240" w:lineRule="auto"/>
              <w:jc w:val="center"/>
              <w:rPr>
                <w:rFonts w:ascii="Calibri" w:hAnsi="Calibri"/>
                <w:noProof/>
              </w:rPr>
            </w:pPr>
            <w:r>
              <w:rPr>
                <w:noProof/>
              </w:rPr>
              <w:t>120</w:t>
            </w:r>
          </w:p>
        </w:tc>
        <w:tc>
          <w:tcPr>
            <w:tcW w:w="2228"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598DB3E7" w14:textId="77777777" w:rsidR="00615E2D" w:rsidRDefault="00C83E46">
            <w:pPr>
              <w:pStyle w:val="P68B1DB1-Normal15"/>
              <w:spacing w:line="240" w:lineRule="auto"/>
              <w:rPr>
                <w:rFonts w:ascii="Calibri" w:hAnsi="Calibri"/>
                <w:noProof/>
              </w:rPr>
            </w:pPr>
            <w:r>
              <w:rPr>
                <w:noProof/>
              </w:rPr>
              <w:t xml:space="preserve">Ulaganje 5: Potpore za kupnju vozila (električne, H2) i infrastrukture za općine, regije, državnu upravu </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2C3B8547" w14:textId="77777777" w:rsidR="00615E2D" w:rsidRDefault="00C83E46">
            <w:pPr>
              <w:pStyle w:val="P68B1DB1-Normal15"/>
              <w:spacing w:line="240" w:lineRule="auto"/>
              <w:rPr>
                <w:rFonts w:ascii="Calibri" w:hAnsi="Calibri"/>
                <w:noProof/>
              </w:rPr>
            </w:pPr>
            <w:r>
              <w:rPr>
                <w:noProof/>
              </w:rPr>
              <w:t>Ciljna</w:t>
            </w:r>
          </w:p>
        </w:tc>
        <w:tc>
          <w:tcPr>
            <w:tcW w:w="1602"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0274BEE7" w14:textId="77777777" w:rsidR="00615E2D" w:rsidRDefault="00C83E46">
            <w:pPr>
              <w:pStyle w:val="P68B1DB1-Normal15"/>
              <w:spacing w:line="240" w:lineRule="auto"/>
              <w:rPr>
                <w:rFonts w:ascii="Calibri" w:hAnsi="Calibri"/>
                <w:noProof/>
              </w:rPr>
            </w:pPr>
            <w:r>
              <w:rPr>
                <w:noProof/>
              </w:rPr>
              <w:t xml:space="preserve">Broj vozila (električna, H2) za općine, regije, državnu upravu </w:t>
            </w:r>
          </w:p>
        </w:tc>
        <w:tc>
          <w:tcPr>
            <w:tcW w:w="113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C6EFCE"/>
            <w:vAlign w:val="center"/>
          </w:tcPr>
          <w:p w14:paraId="53CC49AE" w14:textId="77777777" w:rsidR="00615E2D" w:rsidRDefault="00C83E46">
            <w:pPr>
              <w:pStyle w:val="P68B1DB1-Normal15"/>
              <w:spacing w:line="240" w:lineRule="auto"/>
              <w:rPr>
                <w:rFonts w:ascii="Calibri" w:hAnsi="Calibri"/>
                <w:noProof/>
              </w:rPr>
            </w:pPr>
            <w:r>
              <w:rPr>
                <w:noProof/>
              </w:rPr>
              <w:t xml:space="preserve"> </w:t>
            </w:r>
          </w:p>
        </w:tc>
        <w:tc>
          <w:tcPr>
            <w:tcW w:w="1073"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5F338708" w14:textId="77777777" w:rsidR="00615E2D" w:rsidRDefault="00C83E46">
            <w:pPr>
              <w:pStyle w:val="P68B1DB1-Normal15"/>
              <w:spacing w:line="240" w:lineRule="auto"/>
              <w:rPr>
                <w:rFonts w:ascii="Calibri" w:hAnsi="Calibri"/>
                <w:noProof/>
              </w:rPr>
            </w:pPr>
            <w:r>
              <w:rPr>
                <w:noProof/>
              </w:rPr>
              <w:t xml:space="preserve">Dnevni broj  </w:t>
            </w:r>
          </w:p>
        </w:tc>
        <w:tc>
          <w:tcPr>
            <w:tcW w:w="1073"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56D0212F" w14:textId="77777777" w:rsidR="00615E2D" w:rsidRDefault="00C83E46">
            <w:pPr>
              <w:pStyle w:val="P68B1DB1-Normal15"/>
              <w:spacing w:line="240" w:lineRule="auto"/>
              <w:jc w:val="center"/>
              <w:rPr>
                <w:rFonts w:ascii="Calibri" w:hAnsi="Calibri"/>
                <w:noProof/>
              </w:rPr>
            </w:pPr>
            <w:r>
              <w:rPr>
                <w:noProof/>
              </w:rPr>
              <w:t>0</w:t>
            </w:r>
          </w:p>
        </w:tc>
        <w:tc>
          <w:tcPr>
            <w:tcW w:w="677"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0995FBC4" w14:textId="77777777" w:rsidR="00615E2D" w:rsidRDefault="00C83E46">
            <w:pPr>
              <w:pStyle w:val="P68B1DB1-Normal15"/>
              <w:spacing w:line="240" w:lineRule="auto"/>
              <w:jc w:val="center"/>
              <w:rPr>
                <w:rFonts w:ascii="Calibri" w:hAnsi="Calibri"/>
                <w:noProof/>
              </w:rPr>
            </w:pPr>
            <w:r>
              <w:rPr>
                <w:noProof/>
              </w:rPr>
              <w:t>1 485</w:t>
            </w:r>
          </w:p>
        </w:tc>
        <w:tc>
          <w:tcPr>
            <w:tcW w:w="964"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59E85310" w14:textId="77777777" w:rsidR="00615E2D" w:rsidRDefault="00C83E46">
            <w:pPr>
              <w:pStyle w:val="P68B1DB1-Normal15"/>
              <w:spacing w:line="240" w:lineRule="auto"/>
              <w:jc w:val="center"/>
              <w:rPr>
                <w:rFonts w:ascii="Calibri" w:hAnsi="Calibri"/>
                <w:noProof/>
              </w:rPr>
            </w:pPr>
            <w:r>
              <w:rPr>
                <w:noProof/>
              </w:rPr>
              <w:t>ČETVRTO TROMJESEČJE</w:t>
            </w:r>
          </w:p>
        </w:tc>
        <w:tc>
          <w:tcPr>
            <w:tcW w:w="677"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40C763E1" w14:textId="77777777" w:rsidR="00615E2D" w:rsidRDefault="00C83E46">
            <w:pPr>
              <w:pStyle w:val="P68B1DB1-Normal15"/>
              <w:spacing w:line="240" w:lineRule="auto"/>
              <w:jc w:val="center"/>
              <w:rPr>
                <w:noProof/>
              </w:rPr>
            </w:pPr>
            <w:r>
              <w:rPr>
                <w:noProof/>
              </w:rPr>
              <w:t>2025</w:t>
            </w:r>
          </w:p>
        </w:tc>
        <w:tc>
          <w:tcPr>
            <w:tcW w:w="3989"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tcPr>
          <w:p w14:paraId="3C4F8B20" w14:textId="77777777" w:rsidR="00615E2D" w:rsidRDefault="00C83E46">
            <w:pPr>
              <w:pStyle w:val="P68B1DB1-Normal15"/>
              <w:spacing w:line="240" w:lineRule="auto"/>
              <w:rPr>
                <w:rFonts w:ascii="Calibri" w:hAnsi="Calibri"/>
                <w:noProof/>
              </w:rPr>
            </w:pPr>
            <w:r>
              <w:rPr>
                <w:noProof/>
              </w:rPr>
              <w:t xml:space="preserve">Kupuje se najmanje 1485 novih vozila s nultim emisijama (električna, H2) za općine, regije i državnu upravu. </w:t>
            </w:r>
          </w:p>
        </w:tc>
      </w:tr>
      <w:tr w:rsidR="00615E2D" w14:paraId="7924C84B" w14:textId="77777777">
        <w:trPr>
          <w:trHeight w:val="315"/>
        </w:trPr>
        <w:tc>
          <w:tcPr>
            <w:tcW w:w="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7E21D5C" w14:textId="77777777" w:rsidR="00615E2D" w:rsidRDefault="00C83E46">
            <w:pPr>
              <w:pStyle w:val="P68B1DB1-Normal15"/>
              <w:spacing w:line="240" w:lineRule="auto"/>
              <w:jc w:val="center"/>
              <w:rPr>
                <w:rFonts w:ascii="Calibri" w:hAnsi="Calibri"/>
                <w:noProof/>
              </w:rPr>
            </w:pPr>
            <w:r>
              <w:rPr>
                <w:noProof/>
              </w:rPr>
              <w:t>121</w:t>
            </w:r>
          </w:p>
        </w:tc>
        <w:tc>
          <w:tcPr>
            <w:tcW w:w="2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8D2D63" w14:textId="77777777" w:rsidR="00615E2D" w:rsidRDefault="00C83E46">
            <w:pPr>
              <w:pStyle w:val="P68B1DB1-Normal15"/>
              <w:spacing w:line="240" w:lineRule="auto"/>
              <w:rPr>
                <w:rFonts w:ascii="Calibri" w:hAnsi="Calibri"/>
                <w:noProof/>
              </w:rPr>
            </w:pPr>
            <w:r>
              <w:rPr>
                <w:noProof/>
              </w:rPr>
              <w:t xml:space="preserve">Ulaganje 5: Potpore za kupnju vozila (električne, H2) i infrastrukture za općine, regije, državnu upravu i druga javna tijela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B12F612" w14:textId="77777777" w:rsidR="00615E2D" w:rsidRDefault="00C83E46">
            <w:pPr>
              <w:pStyle w:val="P68B1DB1-Normal15"/>
              <w:spacing w:line="240" w:lineRule="auto"/>
              <w:rPr>
                <w:rFonts w:ascii="Calibri" w:hAnsi="Calibri"/>
                <w:noProof/>
              </w:rPr>
            </w:pPr>
            <w:r>
              <w:rPr>
                <w:noProof/>
              </w:rPr>
              <w:t>Ciljna</w:t>
            </w:r>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176F8D7" w14:textId="77777777" w:rsidR="00615E2D" w:rsidRDefault="00C83E46">
            <w:pPr>
              <w:pStyle w:val="P68B1DB1-Normal15"/>
              <w:spacing w:line="240" w:lineRule="auto"/>
              <w:rPr>
                <w:rFonts w:ascii="Calibri" w:hAnsi="Calibri"/>
                <w:noProof/>
              </w:rPr>
            </w:pPr>
            <w:r>
              <w:rPr>
                <w:noProof/>
              </w:rPr>
              <w:t>Broj punionica za općine, regije, državnu upravu i druga javna tijela</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6C3523F3" w14:textId="77777777" w:rsidR="00615E2D" w:rsidRDefault="00C83E46">
            <w:pPr>
              <w:pStyle w:val="P68B1DB1-Normal15"/>
              <w:spacing w:line="240" w:lineRule="auto"/>
              <w:rPr>
                <w:rFonts w:ascii="Calibri" w:hAnsi="Calibri"/>
                <w:noProof/>
              </w:rPr>
            </w:pPr>
            <w:r>
              <w:rPr>
                <w:noProof/>
              </w:rPr>
              <w:t xml:space="preserve">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DB104EE" w14:textId="77777777" w:rsidR="00615E2D" w:rsidRDefault="00C83E46">
            <w:pPr>
              <w:pStyle w:val="P68B1DB1-Normal15"/>
              <w:spacing w:line="240" w:lineRule="auto"/>
              <w:rPr>
                <w:rFonts w:ascii="Calibri" w:hAnsi="Calibri"/>
                <w:noProof/>
              </w:rPr>
            </w:pPr>
            <w:r>
              <w:rPr>
                <w:noProof/>
              </w:rPr>
              <w:t xml:space="preserve">Dnevni broj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B170EC8" w14:textId="77777777" w:rsidR="00615E2D" w:rsidRDefault="00C83E46">
            <w:pPr>
              <w:pStyle w:val="P68B1DB1-Normal15"/>
              <w:spacing w:line="240" w:lineRule="auto"/>
              <w:jc w:val="center"/>
              <w:rPr>
                <w:rFonts w:ascii="Calibri" w:hAnsi="Calibri"/>
                <w:noProof/>
              </w:rPr>
            </w:pPr>
            <w:r>
              <w:rPr>
                <w:noProof/>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9ECCD8" w14:textId="77777777" w:rsidR="00615E2D" w:rsidRDefault="00C83E46">
            <w:pPr>
              <w:pStyle w:val="P68B1DB1-Normal15"/>
              <w:spacing w:line="240" w:lineRule="auto"/>
              <w:jc w:val="center"/>
              <w:rPr>
                <w:rFonts w:ascii="Calibri" w:hAnsi="Calibri"/>
                <w:noProof/>
              </w:rPr>
            </w:pPr>
            <w:r>
              <w:rPr>
                <w:noProof/>
              </w:rPr>
              <w:t>200</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D257189" w14:textId="77777777" w:rsidR="00615E2D" w:rsidRDefault="00C83E46">
            <w:pPr>
              <w:pStyle w:val="P68B1DB1-Normal15"/>
              <w:spacing w:line="240" w:lineRule="auto"/>
              <w:jc w:val="center"/>
              <w:rPr>
                <w:rFonts w:ascii="Calibri" w:hAnsi="Calibri"/>
                <w:noProof/>
              </w:rPr>
            </w:pPr>
            <w:r>
              <w:rPr>
                <w:noProof/>
              </w:rPr>
              <w:t>ČETVRTO 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08139EE" w14:textId="77777777" w:rsidR="00615E2D" w:rsidRDefault="00C83E46">
            <w:pPr>
              <w:pStyle w:val="P68B1DB1-Normal15"/>
              <w:spacing w:line="240" w:lineRule="auto"/>
              <w:jc w:val="center"/>
              <w:rPr>
                <w:noProof/>
              </w:rPr>
            </w:pPr>
            <w:r>
              <w:rPr>
                <w:noProof/>
              </w:rPr>
              <w:t>2025</w:t>
            </w:r>
          </w:p>
        </w:tc>
        <w:tc>
          <w:tcPr>
            <w:tcW w:w="3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986343" w14:textId="77777777" w:rsidR="00615E2D" w:rsidRDefault="00C83E46">
            <w:pPr>
              <w:pStyle w:val="P68B1DB1-Normal15"/>
              <w:spacing w:line="240" w:lineRule="auto"/>
              <w:rPr>
                <w:rFonts w:ascii="Calibri" w:hAnsi="Calibri"/>
                <w:noProof/>
              </w:rPr>
            </w:pPr>
            <w:r>
              <w:rPr>
                <w:noProof/>
              </w:rPr>
              <w:t xml:space="preserve">U funkciji je najmanje 200 novih stanica za punjenje općina, regija, državne uprave i drugih javnih tijela i organizacija. </w:t>
            </w:r>
          </w:p>
        </w:tc>
      </w:tr>
      <w:tr w:rsidR="00615E2D" w14:paraId="1D9B8DE0" w14:textId="77777777">
        <w:trPr>
          <w:trHeight w:val="315"/>
        </w:trPr>
        <w:tc>
          <w:tcPr>
            <w:tcW w:w="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24E5FA" w14:textId="77777777" w:rsidR="00615E2D" w:rsidRDefault="00C83E46">
            <w:pPr>
              <w:pStyle w:val="P68B1DB1-Normal15"/>
              <w:spacing w:line="240" w:lineRule="auto"/>
              <w:jc w:val="center"/>
              <w:rPr>
                <w:rFonts w:ascii="Calibri" w:hAnsi="Calibri"/>
                <w:noProof/>
              </w:rPr>
            </w:pPr>
            <w:r>
              <w:rPr>
                <w:noProof/>
              </w:rPr>
              <w:t>122</w:t>
            </w:r>
          </w:p>
        </w:tc>
        <w:tc>
          <w:tcPr>
            <w:tcW w:w="22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975DB3" w14:textId="77777777" w:rsidR="00615E2D" w:rsidRDefault="00C83E46">
            <w:pPr>
              <w:pStyle w:val="P68B1DB1-Normal15"/>
              <w:spacing w:line="240" w:lineRule="auto"/>
              <w:rPr>
                <w:rFonts w:ascii="Calibri" w:hAnsi="Calibri"/>
                <w:noProof/>
              </w:rPr>
            </w:pPr>
            <w:r>
              <w:rPr>
                <w:noProof/>
              </w:rPr>
              <w:t xml:space="preserve">Ulaganje 6: Potpora za kupnju vozila (baterijski trolejbusi i niskopodni tramvaji) za javni prijevoz u gradu Pragu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F24025" w14:textId="77777777" w:rsidR="00615E2D" w:rsidRDefault="00C83E46">
            <w:pPr>
              <w:pStyle w:val="P68B1DB1-Normal15"/>
              <w:spacing w:line="240" w:lineRule="auto"/>
              <w:rPr>
                <w:rFonts w:ascii="Calibri" w:hAnsi="Calibri"/>
                <w:noProof/>
              </w:rPr>
            </w:pPr>
            <w:r>
              <w:rPr>
                <w:noProof/>
              </w:rPr>
              <w:t>Ciljna</w:t>
            </w:r>
          </w:p>
        </w:tc>
        <w:tc>
          <w:tcPr>
            <w:tcW w:w="1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E93940B" w14:textId="77777777" w:rsidR="00615E2D" w:rsidRDefault="00C83E46">
            <w:pPr>
              <w:pStyle w:val="P68B1DB1-Normal15"/>
              <w:spacing w:line="240" w:lineRule="auto"/>
              <w:rPr>
                <w:rFonts w:ascii="Calibri" w:hAnsi="Calibri"/>
                <w:noProof/>
              </w:rPr>
            </w:pPr>
            <w:r>
              <w:rPr>
                <w:noProof/>
              </w:rPr>
              <w:t xml:space="preserve">Broj vozila (baterijski trolejbusi i niskopodni tramvaji) za javni prijevoz u gradu Pragu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EA36A92" w14:textId="77777777" w:rsidR="00615E2D" w:rsidRDefault="00C83E46">
            <w:pPr>
              <w:pStyle w:val="P68B1DB1-Normal15"/>
              <w:spacing w:line="240" w:lineRule="auto"/>
              <w:rPr>
                <w:rFonts w:ascii="Calibri" w:hAnsi="Calibri"/>
                <w:noProof/>
              </w:rPr>
            </w:pPr>
            <w:r>
              <w:rPr>
                <w:noProof/>
              </w:rPr>
              <w:t xml:space="preserve">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3C578D" w14:textId="77777777" w:rsidR="00615E2D" w:rsidRDefault="00C83E46">
            <w:pPr>
              <w:pStyle w:val="P68B1DB1-Normal15"/>
              <w:spacing w:line="240" w:lineRule="auto"/>
              <w:rPr>
                <w:rFonts w:ascii="Calibri" w:hAnsi="Calibri"/>
                <w:noProof/>
              </w:rPr>
            </w:pPr>
            <w:r>
              <w:rPr>
                <w:noProof/>
              </w:rPr>
              <w:t xml:space="preserve">Dnevni broj  </w:t>
            </w:r>
          </w:p>
        </w:tc>
        <w:tc>
          <w:tcPr>
            <w:tcW w:w="10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BF7A772" w14:textId="77777777" w:rsidR="00615E2D" w:rsidRDefault="00C83E46">
            <w:pPr>
              <w:pStyle w:val="P68B1DB1-Normal15"/>
              <w:spacing w:line="240" w:lineRule="auto"/>
              <w:jc w:val="center"/>
              <w:rPr>
                <w:rFonts w:ascii="Calibri" w:hAnsi="Calibri"/>
                <w:noProof/>
              </w:rPr>
            </w:pPr>
            <w:r>
              <w:rPr>
                <w:noProof/>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6DF977A" w14:textId="77777777" w:rsidR="00615E2D" w:rsidRDefault="00C83E46">
            <w:pPr>
              <w:pStyle w:val="P68B1DB1-Normal15"/>
              <w:spacing w:line="240" w:lineRule="auto"/>
              <w:jc w:val="center"/>
              <w:rPr>
                <w:rFonts w:ascii="Calibri" w:hAnsi="Calibri"/>
                <w:noProof/>
              </w:rPr>
            </w:pPr>
            <w:r>
              <w:rPr>
                <w:noProof/>
              </w:rPr>
              <w:t>40</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C32611" w14:textId="77777777" w:rsidR="00615E2D" w:rsidRDefault="00C83E46">
            <w:pPr>
              <w:pStyle w:val="P68B1DB1-Normal15"/>
              <w:spacing w:line="240" w:lineRule="auto"/>
              <w:jc w:val="center"/>
              <w:rPr>
                <w:rFonts w:ascii="Calibri" w:hAnsi="Calibri"/>
                <w:noProof/>
              </w:rPr>
            </w:pPr>
            <w:r>
              <w:rPr>
                <w:noProof/>
              </w:rPr>
              <w:t>TROMJESEČJE</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985908" w14:textId="77777777" w:rsidR="00615E2D" w:rsidRDefault="00C83E46">
            <w:pPr>
              <w:pStyle w:val="P68B1DB1-Normal15"/>
              <w:spacing w:line="240" w:lineRule="auto"/>
              <w:jc w:val="center"/>
              <w:rPr>
                <w:noProof/>
              </w:rPr>
            </w:pPr>
            <w:r>
              <w:rPr>
                <w:noProof/>
              </w:rPr>
              <w:t>2026</w:t>
            </w:r>
          </w:p>
        </w:tc>
        <w:tc>
          <w:tcPr>
            <w:tcW w:w="3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9C4F51" w14:textId="77777777" w:rsidR="00615E2D" w:rsidRDefault="00C83E46">
            <w:pPr>
              <w:pStyle w:val="P68B1DB1-Normal15"/>
              <w:spacing w:line="240" w:lineRule="auto"/>
              <w:rPr>
                <w:rFonts w:ascii="Calibri" w:hAnsi="Calibri"/>
                <w:noProof/>
              </w:rPr>
            </w:pPr>
            <w:r>
              <w:rPr>
                <w:noProof/>
              </w:rPr>
              <w:t>U funkciji je najmanje 40 novih vozila s nultim emisijama (20 trolejbusa baterija i 20 tramvaja s niskim podom) za javni prijevoz u gradu Pragu.</w:t>
            </w:r>
          </w:p>
        </w:tc>
      </w:tr>
    </w:tbl>
    <w:p w14:paraId="739E8DBC" w14:textId="77777777" w:rsidR="00615E2D" w:rsidRDefault="00615E2D">
      <w:pPr>
        <w:pBdr>
          <w:top w:val="nil"/>
          <w:left w:val="nil"/>
          <w:bottom w:val="nil"/>
          <w:right w:val="nil"/>
          <w:between w:val="nil"/>
        </w:pBdr>
        <w:spacing w:line="240" w:lineRule="auto"/>
        <w:jc w:val="both"/>
        <w:rPr>
          <w:rFonts w:eastAsia="Times New Roman"/>
          <w:noProof/>
          <w:color w:val="000000"/>
          <w:sz w:val="22"/>
        </w:rPr>
      </w:pPr>
    </w:p>
    <w:p w14:paraId="24B04A74" w14:textId="77777777" w:rsidR="00615E2D" w:rsidRDefault="00615E2D">
      <w:pPr>
        <w:pBdr>
          <w:top w:val="nil"/>
          <w:left w:val="nil"/>
          <w:bottom w:val="nil"/>
          <w:right w:val="nil"/>
          <w:between w:val="nil"/>
        </w:pBdr>
        <w:spacing w:line="240" w:lineRule="auto"/>
        <w:jc w:val="both"/>
        <w:rPr>
          <w:rFonts w:eastAsia="Times New Roman"/>
          <w:noProof/>
          <w:color w:val="000000"/>
          <w:sz w:val="16"/>
        </w:rPr>
        <w:sectPr w:rsidR="00615E2D" w:rsidSect="0078369E">
          <w:headerReference w:type="even" r:id="rId192"/>
          <w:headerReference w:type="default" r:id="rId193"/>
          <w:footerReference w:type="even" r:id="rId194"/>
          <w:footerReference w:type="default" r:id="rId195"/>
          <w:headerReference w:type="first" r:id="rId196"/>
          <w:footerReference w:type="first" r:id="rId197"/>
          <w:pgSz w:w="16839" w:h="11907" w:orient="landscape"/>
          <w:pgMar w:top="1134" w:right="1134" w:bottom="1134" w:left="1134" w:header="567" w:footer="567" w:gutter="0"/>
          <w:cols w:space="720"/>
          <w:docGrid w:linePitch="326"/>
        </w:sectPr>
      </w:pPr>
    </w:p>
    <w:p w14:paraId="1A250003" w14:textId="498B6B1B" w:rsidR="00615E2D" w:rsidRDefault="00C83E46">
      <w:pPr>
        <w:pStyle w:val="P68B1DB1-Normal2"/>
        <w:keepNext/>
        <w:tabs>
          <w:tab w:val="left" w:pos="850"/>
        </w:tabs>
        <w:spacing w:line="240" w:lineRule="auto"/>
        <w:jc w:val="both"/>
        <w:outlineLvl w:val="0"/>
        <w:rPr>
          <w:noProof/>
        </w:rPr>
      </w:pPr>
      <w:r>
        <w:rPr>
          <w:noProof/>
        </w:rPr>
        <w:t xml:space="preserve">L. SASTAVNI DIO 2.5.: Obnova zgrada i zaštita zraka </w:t>
      </w:r>
    </w:p>
    <w:p w14:paraId="187E2B97" w14:textId="77777777" w:rsidR="00615E2D" w:rsidRDefault="00C83E46">
      <w:pPr>
        <w:spacing w:line="240" w:lineRule="auto"/>
        <w:jc w:val="both"/>
        <w:rPr>
          <w:noProof/>
        </w:rPr>
      </w:pPr>
      <w:r>
        <w:rPr>
          <w:noProof/>
        </w:rPr>
        <w:t>Ta komponenta češkog plana za oporavak i otpornost pridonosi svladavanju izazova smanjenja potrošnje energije i vode u stambenim zgradama, poboljšanja kvalitete života u tim zgradama, smanjenja emisija stakleničkih plinova i drugih onečišćujućih tvari zamjenom kotlova na kruta goriva, prilagodbe stambenih zgrada učincima klimatskih promjena, izgradnje novih zgrada te podizanja svijesti o uštedi energije, upotrebi obnovljivih izvora energije i prilagodbi klimatskim promjenama u stambenom sektoru. Komponenta se provodi u okviru programa potpore za nove zelene uštede do 2030.</w:t>
      </w:r>
    </w:p>
    <w:p w14:paraId="2AF69866" w14:textId="6BE0C761" w:rsidR="00615E2D" w:rsidRDefault="00C83E46">
      <w:pPr>
        <w:spacing w:line="240" w:lineRule="auto"/>
        <w:jc w:val="both"/>
        <w:rPr>
          <w:rFonts w:eastAsia="Times New Roman"/>
          <w:noProof/>
          <w:color w:val="000000"/>
        </w:rPr>
      </w:pPr>
      <w:r>
        <w:rPr>
          <w:rFonts w:eastAsia="Times New Roman"/>
          <w:noProof/>
        </w:rPr>
        <w:t>Reformama i ulaganjima iz ove komponente podupire se odgovor na 3. preporuku za</w:t>
      </w:r>
      <w:r>
        <w:rPr>
          <w:noProof/>
        </w:rPr>
        <w:t>pojedinu zemlju, u</w:t>
      </w:r>
      <w:r>
        <w:rPr>
          <w:rFonts w:eastAsia="Times New Roman"/>
          <w:noProof/>
        </w:rPr>
        <w:t>skladu s kojom Češka investicijsku politiku usmjerava na niskougljičnu i energetsku tranziciju, uključujući energetsku učinkovitost, uzimajući u obzir regionalne razlike, te 3. preporuka za</w:t>
      </w:r>
      <w:r>
        <w:rPr>
          <w:noProof/>
        </w:rPr>
        <w:t>pojedinu zemlju, u skladu s kojom Češka ulaganja usmjerava na zelenu tranziciju, posebno na čistu i učinkovitu proizvodnju i uporabu energije, među ostalim u rudarskim regijama.</w:t>
      </w:r>
    </w:p>
    <w:p w14:paraId="27531018" w14:textId="77777777" w:rsidR="00615E2D" w:rsidRDefault="00C83E46">
      <w:pPr>
        <w:spacing w:line="276" w:lineRule="auto"/>
        <w:jc w:val="both"/>
        <w:rPr>
          <w:noProof/>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 Ulaganja su posebno u skladu s kriterijima održivosti i uštede stakleničkih plinova kako je utvrđeno u članku 29. Direktive 2018/2001 o promicanju uporabe energije iz obnovljivih izvora („Direktiva o energiji iz obnovljivih izvora”, „RED II”). Ti se zahtjevi primjenjuju na sva postrojenja bez obzira na pragove uključene u Direktivu RED II. Ulaganja moraju biti u skladu sa zahtjevom iz Uredbe o Mehanizmu za oporavak i otpornost u pogledu uštede emisija stakleničkih plinova od najmanje 80 % zbog upotrebe biomase u odnosu na metodologiju uštede emisija stakleničkih plinova i usporedno fosilno gorivo iz Priloga VI. Direktivi RED II. U stambenim okruženjima ulaganja u kotlove na biomasu ne bi smjela ugroziti postizanje Direktive 2008/50/EU. Ulaganja moraju biti u skladu sa zahtjevima za ekološki dizajn (tj. zahtjevima iz Direktive 2009/125/EZ Europskog parlamenta i Vijeća) i biti razvrstana u jedan od dvaju najviših znatno zastupljenih razreda energetske učinkovitosti u smislu članka 7. stavka 2. Uredbe (EU) 2017/1369 Europskog parlamenta i Vijeća. Ti zahtjevi moraju biti ispunjeni za sva goriva i sve metode punjenja. Ulaganja se usmjeravaju i u skladu su s procjenom putanja održive uporabe bioenergije i opskrbe biomasom u Češkoj i njezinih učinaka na korištenje zemljišta, prenamjenu zemljišta i šumske ponore i bioraznolikost te učinka na kvalitetu zraka za razdoblje 2020. – 2030., što je dio reforme 2. u okviru komponente 2.3.</w:t>
      </w:r>
    </w:p>
    <w:p w14:paraId="3893B0AC" w14:textId="389D378B" w:rsidR="00615E2D" w:rsidRDefault="00C83E46">
      <w:pPr>
        <w:spacing w:line="276" w:lineRule="auto"/>
        <w:jc w:val="both"/>
        <w:rPr>
          <w:noProof/>
        </w:rPr>
      </w:pPr>
      <w:r>
        <w:rPr>
          <w:noProof/>
        </w:rPr>
        <w:t>Energetska obnova zgrada, korištenje obnovljivih izvora energije u stambenom sektoru i razmjena kotlova na kruta goriva povećavaju učinkovitost grijanja u kućanstvima i ključna su mjera za postizanje nacionalnih ciljeva smanjenja iz Direktive EU 2016/2284 i za postizanje standarda kvalitete zraka u okviru programa za poboljšanje kvalitete zraka. Smanjenje emisija također pozitivno utječe na kvalitetu vode, posebno na smanjenje emisija benzo(a)pirena.</w:t>
      </w:r>
    </w:p>
    <w:p w14:paraId="4F8E7FCC" w14:textId="77777777" w:rsidR="00615E2D" w:rsidRDefault="00615E2D">
      <w:pPr>
        <w:spacing w:line="240" w:lineRule="auto"/>
        <w:jc w:val="both"/>
        <w:rPr>
          <w:rFonts w:eastAsia="Times New Roman"/>
          <w:noProof/>
          <w:sz w:val="22"/>
        </w:rPr>
      </w:pPr>
    </w:p>
    <w:p w14:paraId="28C9A7FA" w14:textId="18999FF3" w:rsidR="00615E2D" w:rsidRDefault="00C83E46">
      <w:pPr>
        <w:pStyle w:val="P68B1DB1-Normal5"/>
        <w:pageBreakBefore/>
        <w:spacing w:line="240" w:lineRule="auto"/>
        <w:jc w:val="both"/>
        <w:rPr>
          <w:i/>
          <w:noProof/>
        </w:rPr>
      </w:pPr>
      <w:r>
        <w:rPr>
          <w:noProof/>
        </w:rPr>
        <w:t>L.1. Opis reformi i ulaganja za programe bespovratne financijske potpore</w:t>
      </w:r>
    </w:p>
    <w:p w14:paraId="5B3DE6C1" w14:textId="045BFEB2" w:rsidR="00615E2D" w:rsidRDefault="00C83E46">
      <w:pPr>
        <w:pStyle w:val="P68B1DB1-Normal7"/>
        <w:pBdr>
          <w:top w:val="nil"/>
          <w:left w:val="nil"/>
          <w:bottom w:val="nil"/>
          <w:right w:val="nil"/>
          <w:between w:val="nil"/>
        </w:pBdr>
        <w:spacing w:line="240" w:lineRule="auto"/>
        <w:jc w:val="both"/>
        <w:rPr>
          <w:noProof/>
        </w:rPr>
      </w:pPr>
      <w:r>
        <w:rPr>
          <w:noProof/>
        </w:rPr>
        <w:t xml:space="preserve">Reforma 1.: Val obnove u sektoru kućanstava </w:t>
      </w:r>
    </w:p>
    <w:p w14:paraId="70CA5825" w14:textId="77777777" w:rsidR="00615E2D" w:rsidRDefault="00C83E46">
      <w:pPr>
        <w:pBdr>
          <w:top w:val="nil"/>
          <w:left w:val="nil"/>
          <w:bottom w:val="nil"/>
          <w:right w:val="nil"/>
          <w:between w:val="nil"/>
        </w:pBdr>
        <w:spacing w:line="240" w:lineRule="auto"/>
        <w:jc w:val="both"/>
        <w:rPr>
          <w:noProof/>
        </w:rPr>
      </w:pPr>
      <w:r>
        <w:rPr>
          <w:noProof/>
        </w:rPr>
        <w:t xml:space="preserve">Cilj je te mjere poduprijeti provedbu poboljšanja energetske učinkovitosti stambenih zgrada, uključujući optimizaciju takve potpore i uvođenje kvalitativno nove razine pripreme projekata. Mjerom se također podiže svijest o mogućnostima smanjenja energetskih potreba i postupne promjene ponašanja potrošača energije. </w:t>
      </w:r>
    </w:p>
    <w:p w14:paraId="1DA48213" w14:textId="77777777" w:rsidR="00615E2D" w:rsidRDefault="00C83E46">
      <w:pPr>
        <w:pBdr>
          <w:top w:val="nil"/>
          <w:left w:val="nil"/>
          <w:bottom w:val="nil"/>
          <w:right w:val="nil"/>
          <w:between w:val="nil"/>
        </w:pBdr>
        <w:spacing w:line="240" w:lineRule="auto"/>
        <w:jc w:val="both"/>
        <w:rPr>
          <w:noProof/>
        </w:rPr>
      </w:pPr>
      <w:r>
        <w:rPr>
          <w:noProof/>
        </w:rPr>
        <w:t xml:space="preserve">Reforma se provodi sljedećim mjerama: </w:t>
      </w:r>
    </w:p>
    <w:p w14:paraId="4B1EC57B" w14:textId="77777777" w:rsidR="00615E2D" w:rsidRDefault="00C83E46">
      <w:pPr>
        <w:numPr>
          <w:ilvl w:val="0"/>
          <w:numId w:val="155"/>
        </w:numPr>
        <w:spacing w:line="259" w:lineRule="auto"/>
        <w:ind w:left="360"/>
        <w:contextualSpacing/>
        <w:jc w:val="both"/>
        <w:rPr>
          <w:noProof/>
        </w:rPr>
      </w:pPr>
      <w:r>
        <w:rPr>
          <w:noProof/>
        </w:rPr>
        <w:t xml:space="preserve">Program Nove zelene uštede do 2030. nadogradit će se optimizacijom uvjeta potpore, povećanjem zahtjeva za obnovu srednje veličine (ušteda 30 % potrošnje primarne energije), povećanjem naglaska na složenim energetskim obnovama, jačanjem potpore za izgradnju novih kuća s višim standardima energetske učinkovitosti i podupiranjem učinkovitog upravljanja vodama. </w:t>
      </w:r>
    </w:p>
    <w:p w14:paraId="768ACA76" w14:textId="77777777" w:rsidR="00615E2D" w:rsidRDefault="00C83E46">
      <w:pPr>
        <w:numPr>
          <w:ilvl w:val="0"/>
          <w:numId w:val="155"/>
        </w:numPr>
        <w:spacing w:line="259" w:lineRule="auto"/>
        <w:ind w:left="360"/>
        <w:contextualSpacing/>
        <w:jc w:val="both"/>
        <w:rPr>
          <w:noProof/>
        </w:rPr>
      </w:pPr>
      <w:r>
        <w:rPr>
          <w:noProof/>
        </w:rPr>
        <w:t>Za kućanstva se uvodi priprema u dvije faze prije projekta: osnovnu procjenu mogućnosti obnove, alternativa, intenziteta ulaganja, uštede troškova energije, moguću razinu subvencija iz nove zelene štednje (prva faza) i pregled mogućih mjera za obnovu kuća i korištenje obnovljivih izvora energije u njima, uključujući procjenu gospodarske učinkovitosti i izvedivosti tih mjera (druga faza).</w:t>
      </w:r>
      <w:r>
        <w:rPr>
          <w:rFonts w:ascii="Calibri" w:hAnsi="Calibri"/>
          <w:noProof/>
          <w:sz w:val="22"/>
        </w:rPr>
        <w:t xml:space="preserve"> </w:t>
      </w:r>
      <w:r>
        <w:rPr>
          <w:noProof/>
        </w:rPr>
        <w:t>Potporom prije projekta u dvije faze znatno se poboljšava potpora ulaganjima, posebno za kućanstva s nižim dohotkom.</w:t>
      </w:r>
    </w:p>
    <w:p w14:paraId="4585F559" w14:textId="77777777" w:rsidR="00615E2D" w:rsidRDefault="00C83E46">
      <w:pPr>
        <w:numPr>
          <w:ilvl w:val="0"/>
          <w:numId w:val="155"/>
        </w:numPr>
        <w:spacing w:line="259" w:lineRule="auto"/>
        <w:ind w:left="360"/>
        <w:contextualSpacing/>
        <w:jc w:val="both"/>
        <w:rPr>
          <w:noProof/>
        </w:rPr>
      </w:pPr>
      <w:r>
        <w:rPr>
          <w:noProof/>
        </w:rPr>
        <w:t xml:space="preserve">Energetski savjetodavni centri Nacionalne mreže lokalnih akcijskih skupina integrirani su u mrežu lokalnih energetskih agencija. </w:t>
      </w:r>
    </w:p>
    <w:p w14:paraId="3F222123" w14:textId="77777777" w:rsidR="00615E2D" w:rsidRDefault="00C83E46">
      <w:pPr>
        <w:numPr>
          <w:ilvl w:val="0"/>
          <w:numId w:val="155"/>
        </w:numPr>
        <w:spacing w:line="259" w:lineRule="auto"/>
        <w:ind w:left="360"/>
        <w:contextualSpacing/>
        <w:jc w:val="both"/>
        <w:rPr>
          <w:rFonts w:ascii="Calibri" w:hAnsi="Calibri"/>
          <w:noProof/>
          <w:sz w:val="22"/>
        </w:rPr>
      </w:pPr>
      <w:r>
        <w:rPr>
          <w:noProof/>
        </w:rPr>
        <w:t>Potpora za osposobljavanje i prekvalifikaciju radnika koji uvode zelenu gradnju, zelene tehnologije ili materijale u okviru državnog programa za potporu ušteda energije (EFEKT) jača se i proširuje kako bi se potaknula kvalitetna priprema i provedba projekata uštede energije.</w:t>
      </w:r>
    </w:p>
    <w:p w14:paraId="1B5E1256" w14:textId="77777777" w:rsidR="00615E2D" w:rsidRDefault="00C83E46">
      <w:pPr>
        <w:numPr>
          <w:ilvl w:val="0"/>
          <w:numId w:val="155"/>
        </w:numPr>
        <w:spacing w:after="240" w:line="259" w:lineRule="auto"/>
        <w:ind w:left="357" w:hanging="357"/>
        <w:contextualSpacing/>
        <w:jc w:val="both"/>
        <w:rPr>
          <w:rFonts w:ascii="Calibri" w:hAnsi="Calibri"/>
          <w:noProof/>
          <w:sz w:val="22"/>
        </w:rPr>
      </w:pPr>
      <w:r>
        <w:rPr>
          <w:noProof/>
        </w:rPr>
        <w:t>Postojeći sustav obrazovanja o okolišu i podizanja svijesti u ekocentrima usmjeren na djecu i mlade proširuje se na cijelu širu javnost i ima znatan novi naglasak na uštedi energije, upotrebi obnovljivih izvora energije, klimatskim promjenama i prilagodbi klimatskim promjenama.</w:t>
      </w:r>
    </w:p>
    <w:p w14:paraId="02F21FD3" w14:textId="77777777" w:rsidR="00615E2D" w:rsidRDefault="00C83E46">
      <w:pPr>
        <w:pStyle w:val="P68B1DB1-Normal3"/>
        <w:spacing w:line="240" w:lineRule="auto"/>
        <w:jc w:val="both"/>
        <w:rPr>
          <w:noProof/>
        </w:rPr>
      </w:pPr>
      <w:r>
        <w:rPr>
          <w:noProof/>
        </w:rPr>
        <w:t xml:space="preserve">Reforma se </w:t>
      </w:r>
      <w:r>
        <w:rPr>
          <w:noProof/>
          <w:color w:val="000000"/>
        </w:rPr>
        <w:t>provodi</w:t>
      </w:r>
      <w:r>
        <w:rPr>
          <w:noProof/>
        </w:rPr>
        <w:t xml:space="preserve"> do 31. prosinca 2025.</w:t>
      </w:r>
    </w:p>
    <w:p w14:paraId="1DBB8612" w14:textId="77777777" w:rsidR="00615E2D" w:rsidRDefault="00C83E46">
      <w:pPr>
        <w:pStyle w:val="P68B1DB1-Normal26"/>
        <w:autoSpaceDE w:val="0"/>
        <w:autoSpaceDN w:val="0"/>
        <w:adjustRightInd w:val="0"/>
        <w:spacing w:line="240" w:lineRule="auto"/>
        <w:jc w:val="both"/>
        <w:rPr>
          <w:noProof/>
        </w:rPr>
      </w:pPr>
      <w:r>
        <w:rPr>
          <w:noProof/>
        </w:rPr>
        <w:t>Reforma br. 2: Potpora energetskim zajednicama</w:t>
      </w:r>
    </w:p>
    <w:p w14:paraId="3E131EA8" w14:textId="77777777" w:rsidR="00615E2D" w:rsidRDefault="00C83E46">
      <w:pPr>
        <w:pStyle w:val="P68B1DB1-Normal3"/>
        <w:autoSpaceDE w:val="0"/>
        <w:autoSpaceDN w:val="0"/>
        <w:adjustRightInd w:val="0"/>
        <w:spacing w:line="240" w:lineRule="auto"/>
        <w:jc w:val="both"/>
        <w:rPr>
          <w:noProof/>
        </w:rPr>
      </w:pPr>
      <w:r>
        <w:rPr>
          <w:noProof/>
        </w:rPr>
        <w:t xml:space="preserve">Cilj je ove mjere uspostaviti „energetske zajednice” koje aktivno uključuju stambeni i poduzetnički sektor u uporabu energije iz obnovljivih izvora, kao i podizanje svijesti i osposobljavanje usmjereno na razvoj energije koja se temelji na zajednici. </w:t>
      </w:r>
    </w:p>
    <w:p w14:paraId="7E8BF3C3" w14:textId="77777777" w:rsidR="00615E2D" w:rsidRDefault="00C83E46">
      <w:pPr>
        <w:pStyle w:val="P68B1DB1-Normal3"/>
        <w:autoSpaceDE w:val="0"/>
        <w:autoSpaceDN w:val="0"/>
        <w:adjustRightInd w:val="0"/>
        <w:spacing w:line="240" w:lineRule="auto"/>
        <w:jc w:val="both"/>
        <w:rPr>
          <w:noProof/>
        </w:rPr>
      </w:pPr>
      <w:r>
        <w:rPr>
          <w:noProof/>
        </w:rPr>
        <w:t>Reforma se provodi sljedećim mjerama:</w:t>
      </w:r>
    </w:p>
    <w:p w14:paraId="5A136CC9" w14:textId="77777777" w:rsidR="00615E2D" w:rsidRDefault="00C83E46">
      <w:pPr>
        <w:pStyle w:val="P68B1DB1-Normal3"/>
        <w:numPr>
          <w:ilvl w:val="0"/>
          <w:numId w:val="156"/>
        </w:numPr>
        <w:autoSpaceDE w:val="0"/>
        <w:autoSpaceDN w:val="0"/>
        <w:adjustRightInd w:val="0"/>
        <w:spacing w:line="240" w:lineRule="auto"/>
        <w:ind w:left="340"/>
        <w:jc w:val="both"/>
        <w:rPr>
          <w:noProof/>
        </w:rPr>
      </w:pPr>
      <w:r>
        <w:rPr>
          <w:noProof/>
        </w:rPr>
        <w:t xml:space="preserve">Programom „Nove zelene uštede do 2030.” podupire se uvođenje novih obnovljivih izvora energije na način kojim se uklanjaju prepreke njihovoj budućoj integraciji u širu energetsku zajednicu. Programom „Nove zelene uštede do 2030.” podupiru se i manji zajednički prostori za skladištenje energije na više platformi ili stvaranje energetskih zajednica u pojedinačnim višeobiteljskim zgradama i druge mjere ulaganja povezane s energetskim zajednicama. </w:t>
      </w:r>
    </w:p>
    <w:p w14:paraId="3641390E" w14:textId="77777777" w:rsidR="00615E2D" w:rsidRDefault="00C83E46">
      <w:pPr>
        <w:pStyle w:val="P68B1DB1-Normal3"/>
        <w:numPr>
          <w:ilvl w:val="0"/>
          <w:numId w:val="174"/>
        </w:numPr>
        <w:autoSpaceDE w:val="0"/>
        <w:autoSpaceDN w:val="0"/>
        <w:adjustRightInd w:val="0"/>
        <w:spacing w:line="259" w:lineRule="auto"/>
        <w:ind w:left="340"/>
        <w:contextualSpacing/>
        <w:jc w:val="both"/>
        <w:rPr>
          <w:rFonts w:ascii="Calibri" w:hAnsi="Calibri"/>
          <w:noProof/>
          <w:sz w:val="22"/>
        </w:rPr>
      </w:pPr>
      <w:r>
        <w:rPr>
          <w:noProof/>
        </w:rPr>
        <w:t>Osnivanje energetskih zajednica te podizanje svijesti i obrazovanje usmjereno na razvoj energetskih zajednica podupiru se neinvesticijskim mjerama.</w:t>
      </w:r>
    </w:p>
    <w:p w14:paraId="7F36A659" w14:textId="77777777" w:rsidR="00615E2D" w:rsidRDefault="00C83E46">
      <w:pPr>
        <w:pStyle w:val="P68B1DB1-Normal3"/>
        <w:autoSpaceDE w:val="0"/>
        <w:autoSpaceDN w:val="0"/>
        <w:adjustRightInd w:val="0"/>
        <w:spacing w:line="240" w:lineRule="auto"/>
        <w:jc w:val="both"/>
        <w:rPr>
          <w:noProof/>
        </w:rPr>
      </w:pPr>
      <w:r>
        <w:rPr>
          <w:noProof/>
        </w:rPr>
        <w:t xml:space="preserve">Reforma se </w:t>
      </w:r>
      <w:r>
        <w:rPr>
          <w:noProof/>
          <w:color w:val="000000"/>
        </w:rPr>
        <w:t>provodi</w:t>
      </w:r>
      <w:r>
        <w:rPr>
          <w:noProof/>
        </w:rPr>
        <w:t xml:space="preserve"> do 31. prosinca 2025.</w:t>
      </w:r>
    </w:p>
    <w:p w14:paraId="6E98A37C" w14:textId="0DF8F684" w:rsidR="00615E2D" w:rsidRDefault="00C83E46">
      <w:pPr>
        <w:pStyle w:val="P68B1DB1-Normal26"/>
        <w:keepNext/>
        <w:autoSpaceDE w:val="0"/>
        <w:autoSpaceDN w:val="0"/>
        <w:adjustRightInd w:val="0"/>
        <w:spacing w:line="240" w:lineRule="auto"/>
        <w:jc w:val="both"/>
        <w:rPr>
          <w:noProof/>
        </w:rPr>
      </w:pPr>
      <w:r>
        <w:rPr>
          <w:noProof/>
        </w:rPr>
        <w:t>Ulaganje 1: Obnova i revitalizacija zgrada radi uštede energije</w:t>
      </w:r>
    </w:p>
    <w:p w14:paraId="70C4AF53" w14:textId="77777777" w:rsidR="00615E2D" w:rsidRDefault="00C83E46">
      <w:pPr>
        <w:pStyle w:val="P68B1DB1-Normal3"/>
        <w:autoSpaceDE w:val="0"/>
        <w:autoSpaceDN w:val="0"/>
        <w:adjustRightInd w:val="0"/>
        <w:spacing w:line="240" w:lineRule="auto"/>
        <w:jc w:val="both"/>
        <w:rPr>
          <w:noProof/>
        </w:rPr>
      </w:pPr>
      <w:r>
        <w:rPr>
          <w:noProof/>
        </w:rPr>
        <w:t>Cilj je ove mjere</w:t>
      </w:r>
      <w:r>
        <w:rPr>
          <w:b/>
          <w:noProof/>
        </w:rPr>
        <w:t xml:space="preserve"> </w:t>
      </w:r>
      <w:r>
        <w:rPr>
          <w:noProof/>
        </w:rPr>
        <w:t>ušteda</w:t>
      </w:r>
      <w:r>
        <w:rPr>
          <w:b/>
          <w:noProof/>
        </w:rPr>
        <w:t xml:space="preserve"> </w:t>
      </w:r>
      <w:r>
        <w:rPr>
          <w:noProof/>
        </w:rPr>
        <w:t>energije u stambenim zgradama, izgradnja novih stambenih zgrada koje premašuju obvezne energetske standarde, zamjena nesukladnih izvora izgaranja u kućanstvima koja upotrebljavaju kruta goriva plinskim kondenzacijskim kotlovima energetskog razreda A, korištenje obnovljivih izvora energije u okviru sveobuhvatne energetske obnove zgrada i prilagodba klimatskim promjenama, uključujući gospodarenje vodama. Promiču se pametna energetska rješenja na razini pojedinačnih kućanstava, kuća ili malih skupina kuća kao što su pametna brojila, zajednički objekti za skladištenje energije i agregiranje potražnje.</w:t>
      </w:r>
    </w:p>
    <w:p w14:paraId="4486F6EB" w14:textId="77777777" w:rsidR="00615E2D" w:rsidRDefault="00C83E46">
      <w:pPr>
        <w:pStyle w:val="P68B1DB1-Normal3"/>
        <w:autoSpaceDE w:val="0"/>
        <w:autoSpaceDN w:val="0"/>
        <w:adjustRightInd w:val="0"/>
        <w:spacing w:line="240" w:lineRule="auto"/>
        <w:jc w:val="both"/>
        <w:rPr>
          <w:noProof/>
        </w:rPr>
      </w:pPr>
      <w:r>
        <w:rPr>
          <w:noProof/>
        </w:rPr>
        <w:t>Trošak ugradnje plinskih kondenzacijskih kotlova predstavlja najviše 20 % ukupnog troška programa obnove i ugrađuje se kako bi se zamijenili kotlovi na kruta goriva. Program energetske učinkovitosti potiče korisnike na ugradnju novih kotlova na plin i donošenje drugih mjera energetske učinkovitosti.</w:t>
      </w:r>
    </w:p>
    <w:p w14:paraId="08BB6147" w14:textId="77777777" w:rsidR="00615E2D" w:rsidRDefault="00C83E46">
      <w:pPr>
        <w:pStyle w:val="P68B1DB1-Normal3"/>
        <w:autoSpaceDE w:val="0"/>
        <w:autoSpaceDN w:val="0"/>
        <w:adjustRightInd w:val="0"/>
        <w:spacing w:line="240" w:lineRule="auto"/>
        <w:jc w:val="both"/>
        <w:rPr>
          <w:noProof/>
        </w:rPr>
      </w:pPr>
      <w:r>
        <w:rPr>
          <w:noProof/>
        </w:rPr>
        <w:t xml:space="preserve">Program obnove u prosjeku dovodi do smanjenja potražnje za primarnom energijom obnovljenih zgrada za 30 %. </w:t>
      </w:r>
    </w:p>
    <w:p w14:paraId="178F9459" w14:textId="3E15F351" w:rsidR="00615E2D" w:rsidRDefault="00C83E46">
      <w:pPr>
        <w:pStyle w:val="P68B1DB1-Normal3"/>
        <w:autoSpaceDE w:val="0"/>
        <w:autoSpaceDN w:val="0"/>
        <w:adjustRightInd w:val="0"/>
        <w:spacing w:line="240" w:lineRule="auto"/>
        <w:jc w:val="both"/>
        <w:rPr>
          <w:noProof/>
        </w:rPr>
      </w:pPr>
      <w:r>
        <w:rPr>
          <w:noProof/>
        </w:rPr>
        <w:t>Najviše 10 % ukupnih dodijeljenih sredstava za ovu mjeru namijenjeno je za potporu izgradnji novih zgrada. Nove zgrade koje primaju potporu moraju imati potražnju za primarnom energijom koja je najmanje 20 % niža od zahtjeva za zgrade gotovo nulte energije.</w:t>
      </w:r>
    </w:p>
    <w:p w14:paraId="7A3ACC9B" w14:textId="5D10C785" w:rsidR="00615E2D" w:rsidRDefault="00C83E46">
      <w:pPr>
        <w:pStyle w:val="P68B1DB1-Normal3"/>
        <w:spacing w:line="240" w:lineRule="auto"/>
        <w:jc w:val="both"/>
        <w:rPr>
          <w:noProof/>
        </w:rPr>
      </w:pPr>
      <w:r>
        <w:rPr>
          <w:noProof/>
        </w:rPr>
        <w:t>Najmanje 70 % neopasnog građevinskog otpada i otpada od rušenja priprema se za ponovnu uporabu, recikliranje ili drugu oporabu materijala. Pokazatelji razine EU-a upotrebljavaju se za procjenu svojstava zgrada u pogledu održivosti i izvješćivanje o njima tijekom cijelog životnog ciklusa zgrada.</w:t>
      </w:r>
    </w:p>
    <w:p w14:paraId="3B97F9B4" w14:textId="6349873F" w:rsidR="00615E2D" w:rsidRDefault="00C83E46">
      <w:pPr>
        <w:pStyle w:val="pf0"/>
        <w:jc w:val="both"/>
        <w:rPr>
          <w:noProof/>
        </w:rPr>
      </w:pPr>
      <w:r>
        <w:rPr>
          <w:noProof/>
        </w:rPr>
        <w:t>Podupiru se i ranjivi potrošači energije.</w:t>
      </w:r>
    </w:p>
    <w:p w14:paraId="6BFC594C" w14:textId="77777777" w:rsidR="00615E2D" w:rsidRDefault="00C83E46">
      <w:pPr>
        <w:pStyle w:val="P68B1DB1-Normal3"/>
        <w:autoSpaceDE w:val="0"/>
        <w:autoSpaceDN w:val="0"/>
        <w:adjustRightInd w:val="0"/>
        <w:spacing w:line="240" w:lineRule="auto"/>
        <w:jc w:val="both"/>
        <w:rPr>
          <w:noProof/>
        </w:rPr>
      </w:pPr>
      <w:r>
        <w:rPr>
          <w:noProof/>
        </w:rPr>
        <w:t xml:space="preserve">Ulaganje se </w:t>
      </w:r>
      <w:r>
        <w:rPr>
          <w:noProof/>
          <w:color w:val="000000"/>
        </w:rPr>
        <w:t>provodi</w:t>
      </w:r>
      <w:r>
        <w:rPr>
          <w:noProof/>
        </w:rPr>
        <w:t xml:space="preserve"> kroz sljedeće projekte:</w:t>
      </w:r>
    </w:p>
    <w:p w14:paraId="4AFAB524" w14:textId="422192EF" w:rsidR="00615E2D" w:rsidRDefault="00C83E46">
      <w:pPr>
        <w:numPr>
          <w:ilvl w:val="0"/>
          <w:numId w:val="156"/>
        </w:numPr>
        <w:autoSpaceDE w:val="0"/>
        <w:autoSpaceDN w:val="0"/>
        <w:adjustRightInd w:val="0"/>
        <w:spacing w:line="240" w:lineRule="auto"/>
        <w:ind w:left="360"/>
        <w:jc w:val="both"/>
        <w:rPr>
          <w:noProof/>
        </w:rPr>
      </w:pPr>
      <w:r>
        <w:rPr>
          <w:noProof/>
        </w:rPr>
        <w:t>Projekti za smanjenje potrošnje energije za 1 200 TJ godišnje ugovoreni od 1. veljače 2020.</w:t>
      </w:r>
    </w:p>
    <w:p w14:paraId="0F03FBB9" w14:textId="3164B0F3" w:rsidR="00615E2D" w:rsidRDefault="00C83E46">
      <w:pPr>
        <w:numPr>
          <w:ilvl w:val="0"/>
          <w:numId w:val="156"/>
        </w:numPr>
        <w:autoSpaceDE w:val="0"/>
        <w:autoSpaceDN w:val="0"/>
        <w:adjustRightInd w:val="0"/>
        <w:spacing w:line="240" w:lineRule="auto"/>
        <w:ind w:left="360"/>
        <w:jc w:val="both"/>
        <w:rPr>
          <w:rFonts w:ascii="Calibri" w:hAnsi="Calibri"/>
          <w:noProof/>
          <w:sz w:val="22"/>
        </w:rPr>
      </w:pPr>
      <w:r>
        <w:rPr>
          <w:noProof/>
        </w:rPr>
        <w:t>Smanjenje potrošnje energije za 1 900 TJ godišnje i smanjenje emisija CO2 za 100 kt/godišnje do 31. prosinca 2025.</w:t>
      </w:r>
    </w:p>
    <w:p w14:paraId="26DCB349" w14:textId="70C9B84C" w:rsidR="00615E2D" w:rsidRDefault="00C83E46">
      <w:pPr>
        <w:pStyle w:val="P68B1DB1-Normal26"/>
        <w:autoSpaceDE w:val="0"/>
        <w:autoSpaceDN w:val="0"/>
        <w:adjustRightInd w:val="0"/>
        <w:spacing w:line="240" w:lineRule="auto"/>
        <w:jc w:val="both"/>
        <w:rPr>
          <w:noProof/>
        </w:rPr>
      </w:pPr>
      <w:r>
        <w:rPr>
          <w:noProof/>
        </w:rPr>
        <w:t>Ulaganje 2: Zamjena stacionarnih izvora onečišćenja u kućanstvima obnovljivim izvorima energije</w:t>
      </w:r>
    </w:p>
    <w:p w14:paraId="7D00D3A5" w14:textId="7EE52C3F" w:rsidR="00615E2D" w:rsidRDefault="00C83E46">
      <w:pPr>
        <w:pStyle w:val="P68B1DB1-Normal3"/>
        <w:autoSpaceDE w:val="0"/>
        <w:autoSpaceDN w:val="0"/>
        <w:adjustRightInd w:val="0"/>
        <w:spacing w:line="240" w:lineRule="auto"/>
        <w:jc w:val="both"/>
        <w:rPr>
          <w:noProof/>
        </w:rPr>
      </w:pPr>
      <w:r>
        <w:rPr>
          <w:noProof/>
        </w:rPr>
        <w:t>Cilj je ove mjere zamijeniti neusklađene izvore izgaranja u kućanstvima koja upotrebljavaju kruta goriva izvorima grijanja s niskim emisijama (toplinske crpke, kotlovi na biomasu) i ugraditi obnovljive izvore energije prikladne za stambeni sektor, posebno fotonaponske i fototermalne sustave.</w:t>
      </w:r>
    </w:p>
    <w:p w14:paraId="7B3047D5" w14:textId="77777777" w:rsidR="00615E2D" w:rsidRDefault="00C83E46">
      <w:pPr>
        <w:pStyle w:val="P68B1DB1-Normal3"/>
        <w:autoSpaceDE w:val="0"/>
        <w:autoSpaceDN w:val="0"/>
        <w:adjustRightInd w:val="0"/>
        <w:spacing w:line="240" w:lineRule="auto"/>
        <w:jc w:val="both"/>
        <w:rPr>
          <w:noProof/>
        </w:rPr>
      </w:pPr>
      <w:r>
        <w:rPr>
          <w:noProof/>
        </w:rPr>
        <w:t xml:space="preserve">Ulaganje se </w:t>
      </w:r>
      <w:r>
        <w:rPr>
          <w:noProof/>
          <w:color w:val="000000"/>
        </w:rPr>
        <w:t>provodi</w:t>
      </w:r>
      <w:r>
        <w:rPr>
          <w:noProof/>
        </w:rPr>
        <w:t xml:space="preserve"> kroz sljedeće projekte:</w:t>
      </w:r>
    </w:p>
    <w:p w14:paraId="0640ADE5" w14:textId="0A7A0157" w:rsidR="00615E2D" w:rsidRDefault="00C83E46">
      <w:pPr>
        <w:numPr>
          <w:ilvl w:val="0"/>
          <w:numId w:val="156"/>
        </w:numPr>
        <w:autoSpaceDE w:val="0"/>
        <w:autoSpaceDN w:val="0"/>
        <w:adjustRightInd w:val="0"/>
        <w:spacing w:line="240" w:lineRule="auto"/>
        <w:ind w:left="360"/>
        <w:jc w:val="both"/>
        <w:rPr>
          <w:noProof/>
        </w:rPr>
      </w:pPr>
      <w:r>
        <w:rPr>
          <w:noProof/>
        </w:rPr>
        <w:t>Projekti za smanjenje potrošnje energije za 720 TJ godišnje i smanjenje emisija CO2 za 100 kt/godišnje</w:t>
      </w:r>
    </w:p>
    <w:p w14:paraId="7A5BD2E0" w14:textId="51418653" w:rsidR="00615E2D" w:rsidRDefault="00C83E46">
      <w:pPr>
        <w:numPr>
          <w:ilvl w:val="0"/>
          <w:numId w:val="156"/>
        </w:numPr>
        <w:autoSpaceDE w:val="0"/>
        <w:autoSpaceDN w:val="0"/>
        <w:adjustRightInd w:val="0"/>
        <w:spacing w:line="240" w:lineRule="auto"/>
        <w:ind w:left="360"/>
        <w:jc w:val="both"/>
        <w:rPr>
          <w:noProof/>
        </w:rPr>
      </w:pPr>
      <w:r>
        <w:rPr>
          <w:noProof/>
        </w:rPr>
        <w:t>Smanjenje potrošnje energije za 1 500 TJ godišnje i smanjenje emisija CO2 za 170 kt CO2/godišnje do 30. rujna 2023.</w:t>
      </w:r>
    </w:p>
    <w:p w14:paraId="2FB5CD6B" w14:textId="5D925AAC" w:rsidR="00615E2D" w:rsidRDefault="00C83E46">
      <w:pPr>
        <w:pStyle w:val="P68B1DB1-Normal3"/>
        <w:numPr>
          <w:ilvl w:val="0"/>
          <w:numId w:val="156"/>
        </w:numPr>
        <w:autoSpaceDE w:val="0"/>
        <w:autoSpaceDN w:val="0"/>
        <w:adjustRightInd w:val="0"/>
        <w:spacing w:line="240" w:lineRule="auto"/>
        <w:ind w:left="360"/>
        <w:jc w:val="both"/>
        <w:rPr>
          <w:noProof/>
        </w:rPr>
      </w:pPr>
      <w:r>
        <w:rPr>
          <w:noProof/>
        </w:rPr>
        <w:t>Smanjenje potrošnje energije za 4 500 TJ godišnje i smanjenje emisija CO2 za 500 kt CO2/godišnje do 31. prosinca 2025.</w:t>
      </w:r>
    </w:p>
    <w:p w14:paraId="6C964707" w14:textId="0AE1555D" w:rsidR="00615E2D" w:rsidRDefault="00C83E46">
      <w:pPr>
        <w:numPr>
          <w:ilvl w:val="0"/>
          <w:numId w:val="156"/>
        </w:numPr>
        <w:autoSpaceDE w:val="0"/>
        <w:autoSpaceDN w:val="0"/>
        <w:adjustRightInd w:val="0"/>
        <w:spacing w:line="240" w:lineRule="auto"/>
        <w:ind w:left="360"/>
        <w:jc w:val="both"/>
        <w:rPr>
          <w:noProof/>
        </w:rPr>
      </w:pPr>
      <w:r>
        <w:rPr>
          <w:noProof/>
        </w:rPr>
        <w:t>Smanjenje potrošnje energije za 415 TJ godišnje i smanjenje emisija CO2 za 66 kt/godišnje postignuto potporom socijalno ugroženim skupinama stanovništva do 31. prosinca 2025.</w:t>
      </w:r>
    </w:p>
    <w:p w14:paraId="5C2FCA7B" w14:textId="73B63524" w:rsidR="00615E2D" w:rsidRDefault="00C83E46">
      <w:pPr>
        <w:pStyle w:val="P68B1DB1-Normal26"/>
        <w:autoSpaceDE w:val="0"/>
        <w:autoSpaceDN w:val="0"/>
        <w:adjustRightInd w:val="0"/>
        <w:spacing w:line="240" w:lineRule="auto"/>
        <w:jc w:val="both"/>
        <w:rPr>
          <w:noProof/>
        </w:rPr>
      </w:pPr>
      <w:r>
        <w:rPr>
          <w:noProof/>
        </w:rPr>
        <w:t xml:space="preserve">Ulaganje 3: Potpora za pripremu i podizanje svijesti prije projekta, obrazovanje, osposobljavanje i informiranje u području uštede energije i smanjenja emisija stakleničkih plinova i drugih onečišćujućih tvari u zraku  </w:t>
      </w:r>
    </w:p>
    <w:p w14:paraId="3077C31A" w14:textId="77777777" w:rsidR="00615E2D" w:rsidRDefault="00C83E46">
      <w:pPr>
        <w:pStyle w:val="P68B1DB1-Normal3"/>
        <w:autoSpaceDE w:val="0"/>
        <w:autoSpaceDN w:val="0"/>
        <w:adjustRightInd w:val="0"/>
        <w:spacing w:line="240" w:lineRule="auto"/>
        <w:jc w:val="both"/>
        <w:rPr>
          <w:noProof/>
        </w:rPr>
      </w:pPr>
      <w:r>
        <w:rPr>
          <w:noProof/>
        </w:rPr>
        <w:t xml:space="preserve">Cilj je ove mjere poduprijeti pripremu prije projekta za uštedu energije, razmjenu topline za energetski učinkovitiju energiju, a posebno automatizaciju upravljanja potrošnjom energije u stambenom sektoru, uključujući obrazovanje i osposobljavanje u tim područjima. Dovršit će se 40 projekata pripreme energetskih projekata zajednice, 3600 studija za pripremu projekata obiteljskih kuća, 1200 studija za pripremu projekata za stambene zgrade i 50 projekata centara za savjetovanje i informiranje o energiji. </w:t>
      </w:r>
    </w:p>
    <w:p w14:paraId="7D847DEE" w14:textId="77777777" w:rsidR="00615E2D" w:rsidRDefault="00C83E46">
      <w:pPr>
        <w:pStyle w:val="P68B1DB1-Normal3"/>
        <w:autoSpaceDE w:val="0"/>
        <w:autoSpaceDN w:val="0"/>
        <w:adjustRightInd w:val="0"/>
        <w:spacing w:line="240" w:lineRule="auto"/>
        <w:jc w:val="both"/>
        <w:rPr>
          <w:noProof/>
        </w:rPr>
      </w:pPr>
      <w:r>
        <w:rPr>
          <w:noProof/>
        </w:rPr>
        <w:t>Ulaganje se provodi do 31. prosinca 2025.</w:t>
      </w:r>
    </w:p>
    <w:p w14:paraId="5EE00A39" w14:textId="77777777" w:rsidR="00615E2D" w:rsidRDefault="00615E2D">
      <w:pPr>
        <w:spacing w:line="240" w:lineRule="auto"/>
        <w:ind w:left="850"/>
        <w:jc w:val="both"/>
        <w:rPr>
          <w:b/>
          <w:noProof/>
          <w:highlight w:val="red"/>
          <w:u w:val="single"/>
        </w:rPr>
        <w:sectPr w:rsidR="00615E2D" w:rsidSect="0078369E">
          <w:headerReference w:type="even" r:id="rId198"/>
          <w:headerReference w:type="default" r:id="rId199"/>
          <w:footerReference w:type="even" r:id="rId200"/>
          <w:footerReference w:type="default" r:id="rId201"/>
          <w:headerReference w:type="first" r:id="rId202"/>
          <w:footerReference w:type="first" r:id="rId203"/>
          <w:pgSz w:w="11907" w:h="16839"/>
          <w:pgMar w:top="1134" w:right="1134" w:bottom="1134" w:left="1134" w:header="567" w:footer="567" w:gutter="0"/>
          <w:cols w:space="720"/>
          <w:docGrid w:linePitch="360"/>
        </w:sectPr>
      </w:pPr>
    </w:p>
    <w:p w14:paraId="797940FF" w14:textId="631CE992" w:rsidR="00615E2D" w:rsidRDefault="00C83E46">
      <w:pPr>
        <w:pStyle w:val="P68B1DB1-Normal5"/>
        <w:tabs>
          <w:tab w:val="left" w:pos="993"/>
        </w:tabs>
        <w:spacing w:line="240" w:lineRule="auto"/>
        <w:rPr>
          <w:noProof/>
        </w:rPr>
      </w:pPr>
      <w:r>
        <w:rPr>
          <w:noProof/>
        </w:rPr>
        <w:t xml:space="preserve">L.2. Ključne etape, ciljne vrijednosti i vremenski raspored za praćenje i provedbu programa bespovratne financijske potpore </w:t>
      </w:r>
    </w:p>
    <w:tbl>
      <w:tblPr>
        <w:tblW w:w="0" w:type="auto"/>
        <w:jc w:val="center"/>
        <w:tblLayout w:type="fixed"/>
        <w:tblLook w:val="04A0" w:firstRow="1" w:lastRow="0" w:firstColumn="1" w:lastColumn="0" w:noHBand="0" w:noVBand="1"/>
      </w:tblPr>
      <w:tblGrid>
        <w:gridCol w:w="675"/>
        <w:gridCol w:w="1319"/>
        <w:gridCol w:w="1134"/>
        <w:gridCol w:w="1276"/>
        <w:gridCol w:w="1134"/>
        <w:gridCol w:w="1077"/>
        <w:gridCol w:w="1134"/>
        <w:gridCol w:w="709"/>
        <w:gridCol w:w="1077"/>
        <w:gridCol w:w="665"/>
        <w:gridCol w:w="5387"/>
      </w:tblGrid>
      <w:tr w:rsidR="00615E2D" w14:paraId="7B8228DF" w14:textId="77777777">
        <w:trPr>
          <w:trHeight w:val="75"/>
          <w:tblHeade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BBF5E43" w14:textId="77777777" w:rsidR="00615E2D" w:rsidRDefault="00C83E46">
            <w:pPr>
              <w:pStyle w:val="P68B1DB1-Normal9"/>
              <w:spacing w:line="240" w:lineRule="auto"/>
              <w:jc w:val="center"/>
              <w:rPr>
                <w:noProof/>
              </w:rPr>
            </w:pPr>
            <w:r>
              <w:rPr>
                <w:noProof/>
              </w:rPr>
              <w:t>Sljedeće NUM.</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7901246" w14:textId="77777777" w:rsidR="00615E2D" w:rsidRDefault="00C83E46">
            <w:pPr>
              <w:pStyle w:val="P68B1DB1-Normal9"/>
              <w:spacing w:line="240" w:lineRule="auto"/>
              <w:jc w:val="center"/>
              <w:rPr>
                <w:noProof/>
              </w:rPr>
            </w:pPr>
            <w:r>
              <w:rPr>
                <w:noProof/>
              </w:rPr>
              <w:t xml:space="preserve">Povezana mjera (reforma ili ulaganje)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D19CA6B" w14:textId="77777777" w:rsidR="00615E2D" w:rsidRDefault="00C83E46">
            <w:pPr>
              <w:pStyle w:val="P68B1DB1-Normal9"/>
              <w:spacing w:line="240" w:lineRule="auto"/>
              <w:jc w:val="center"/>
              <w:rPr>
                <w:noProof/>
              </w:rPr>
            </w:pPr>
            <w:r>
              <w:rPr>
                <w:noProof/>
              </w:rPr>
              <w:t xml:space="preserve">Ključna etapa/ciljna vrijednost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51772D2F" w14:textId="77777777" w:rsidR="00615E2D" w:rsidRDefault="00C83E46">
            <w:pPr>
              <w:pStyle w:val="P68B1DB1-Normal9"/>
              <w:spacing w:line="240" w:lineRule="auto"/>
              <w:jc w:val="center"/>
              <w:rPr>
                <w:noProof/>
              </w:rPr>
            </w:pPr>
            <w:r>
              <w:rPr>
                <w:noProof/>
              </w:rPr>
              <w:t xml:space="preserve">Ime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40D3465"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2693" w:type="dxa"/>
            <w:gridSpan w:val="3"/>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699FFC1A"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1374" w:type="dxa"/>
            <w:gridSpan w:val="2"/>
            <w:tcBorders>
              <w:top w:val="single" w:sz="8" w:space="0" w:color="auto"/>
              <w:left w:val="nil"/>
              <w:bottom w:val="single" w:sz="8" w:space="0" w:color="auto"/>
              <w:right w:val="single" w:sz="4" w:space="0" w:color="auto"/>
            </w:tcBorders>
            <w:shd w:val="clear" w:color="auto" w:fill="BDD7EE"/>
            <w:vAlign w:val="center"/>
          </w:tcPr>
          <w:p w14:paraId="3997637D" w14:textId="77777777" w:rsidR="00615E2D" w:rsidRDefault="00C83E46">
            <w:pPr>
              <w:pStyle w:val="P68B1DB1-Normal9"/>
              <w:spacing w:line="240" w:lineRule="auto"/>
              <w:jc w:val="center"/>
              <w:rPr>
                <w:noProof/>
              </w:rPr>
            </w:pPr>
            <w:r>
              <w:rPr>
                <w:noProof/>
              </w:rPr>
              <w:t xml:space="preserve">Okvirni vremenski okvir za dovršetak </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FD0776A"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35E2B411" w14:textId="77777777">
        <w:trPr>
          <w:trHeight w:val="600"/>
          <w:tblHeader/>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4B66ED85" w14:textId="77777777" w:rsidR="00615E2D" w:rsidRDefault="00615E2D">
            <w:pPr>
              <w:spacing w:line="240" w:lineRule="auto"/>
              <w:jc w:val="center"/>
              <w:rPr>
                <w:noProof/>
                <w:sz w:val="18"/>
              </w:rPr>
            </w:pPr>
          </w:p>
        </w:tc>
        <w:tc>
          <w:tcPr>
            <w:tcW w:w="1319" w:type="dxa"/>
            <w:vMerge/>
            <w:tcBorders>
              <w:top w:val="single" w:sz="4" w:space="0" w:color="auto"/>
              <w:left w:val="single" w:sz="4" w:space="0" w:color="auto"/>
              <w:bottom w:val="single" w:sz="4" w:space="0" w:color="auto"/>
              <w:right w:val="single" w:sz="4" w:space="0" w:color="auto"/>
            </w:tcBorders>
            <w:vAlign w:val="center"/>
          </w:tcPr>
          <w:p w14:paraId="46B2E08E" w14:textId="77777777" w:rsidR="00615E2D" w:rsidRDefault="00615E2D">
            <w:pPr>
              <w:spacing w:line="240" w:lineRule="auto"/>
              <w:jc w:val="center"/>
              <w:rPr>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75D8E3D" w14:textId="77777777" w:rsidR="00615E2D" w:rsidRDefault="00615E2D">
            <w:pPr>
              <w:spacing w:line="240" w:lineRule="auto"/>
              <w:jc w:val="center"/>
              <w:rPr>
                <w:noProof/>
                <w:sz w:val="18"/>
              </w:rPr>
            </w:pPr>
          </w:p>
        </w:tc>
        <w:tc>
          <w:tcPr>
            <w:tcW w:w="1276" w:type="dxa"/>
            <w:vMerge/>
            <w:tcBorders>
              <w:left w:val="single" w:sz="4" w:space="0" w:color="auto"/>
              <w:right w:val="single" w:sz="4" w:space="0" w:color="auto"/>
            </w:tcBorders>
            <w:vAlign w:val="center"/>
          </w:tcPr>
          <w:p w14:paraId="3B268E28" w14:textId="77777777" w:rsidR="00615E2D" w:rsidRDefault="00615E2D">
            <w:pPr>
              <w:spacing w:line="240" w:lineRule="auto"/>
              <w:jc w:val="center"/>
              <w:rPr>
                <w:noProof/>
                <w:sz w:val="18"/>
              </w:rPr>
            </w:pPr>
          </w:p>
        </w:tc>
        <w:tc>
          <w:tcPr>
            <w:tcW w:w="1134" w:type="dxa"/>
            <w:vMerge/>
            <w:tcBorders>
              <w:top w:val="single" w:sz="4" w:space="0" w:color="auto"/>
              <w:left w:val="single" w:sz="4" w:space="0" w:color="auto"/>
              <w:bottom w:val="single" w:sz="4" w:space="0" w:color="auto"/>
            </w:tcBorders>
            <w:vAlign w:val="center"/>
          </w:tcPr>
          <w:p w14:paraId="51285FC2" w14:textId="77777777" w:rsidR="00615E2D" w:rsidRDefault="00615E2D">
            <w:pPr>
              <w:spacing w:line="240" w:lineRule="auto"/>
              <w:jc w:val="center"/>
              <w:rPr>
                <w:noProof/>
                <w:sz w:val="18"/>
              </w:rPr>
            </w:pPr>
          </w:p>
        </w:tc>
        <w:tc>
          <w:tcPr>
            <w:tcW w:w="1077" w:type="dxa"/>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14EE7D68" w14:textId="77777777" w:rsidR="00615E2D" w:rsidRDefault="00C83E46">
            <w:pPr>
              <w:pStyle w:val="P68B1DB1-Normal9"/>
              <w:spacing w:line="240" w:lineRule="auto"/>
              <w:jc w:val="center"/>
              <w:rPr>
                <w:noProof/>
              </w:rPr>
            </w:pPr>
            <w:r>
              <w:rPr>
                <w:noProof/>
              </w:rPr>
              <w:t>Jedinica mjere</w:t>
            </w:r>
          </w:p>
        </w:tc>
        <w:tc>
          <w:tcPr>
            <w:tcW w:w="1134" w:type="dxa"/>
            <w:tcBorders>
              <w:top w:val="nil"/>
              <w:left w:val="single" w:sz="8" w:space="0" w:color="auto"/>
              <w:bottom w:val="single" w:sz="8" w:space="0" w:color="auto"/>
              <w:right w:val="single" w:sz="8" w:space="0" w:color="auto"/>
            </w:tcBorders>
            <w:shd w:val="clear" w:color="auto" w:fill="BDD7EE"/>
            <w:vAlign w:val="center"/>
          </w:tcPr>
          <w:p w14:paraId="1C4DAFC9" w14:textId="77777777" w:rsidR="00615E2D" w:rsidRDefault="00C83E46">
            <w:pPr>
              <w:pStyle w:val="P68B1DB1-Normal9"/>
              <w:spacing w:line="240" w:lineRule="auto"/>
              <w:jc w:val="center"/>
              <w:rPr>
                <w:noProof/>
              </w:rPr>
            </w:pPr>
            <w:r>
              <w:rPr>
                <w:noProof/>
              </w:rPr>
              <w:t>Osnovna vrijednost</w:t>
            </w:r>
          </w:p>
        </w:tc>
        <w:tc>
          <w:tcPr>
            <w:tcW w:w="709" w:type="dxa"/>
            <w:tcBorders>
              <w:top w:val="nil"/>
              <w:left w:val="single" w:sz="8" w:space="0" w:color="auto"/>
              <w:bottom w:val="single" w:sz="8" w:space="0" w:color="auto"/>
              <w:right w:val="single" w:sz="8" w:space="0" w:color="000000" w:themeColor="text1"/>
            </w:tcBorders>
            <w:shd w:val="clear" w:color="auto" w:fill="BDD7EE"/>
            <w:vAlign w:val="center"/>
          </w:tcPr>
          <w:p w14:paraId="6B5D83EA" w14:textId="77777777" w:rsidR="00615E2D" w:rsidRDefault="00C83E46">
            <w:pPr>
              <w:pStyle w:val="P68B1DB1-Normal9"/>
              <w:spacing w:line="240" w:lineRule="auto"/>
              <w:jc w:val="center"/>
              <w:rPr>
                <w:noProof/>
              </w:rPr>
            </w:pPr>
            <w:r>
              <w:rPr>
                <w:noProof/>
              </w:rPr>
              <w:t>Cilj</w:t>
            </w:r>
          </w:p>
        </w:tc>
        <w:tc>
          <w:tcPr>
            <w:tcW w:w="1077" w:type="dxa"/>
            <w:tcBorders>
              <w:top w:val="single" w:sz="8" w:space="0" w:color="auto"/>
              <w:left w:val="single" w:sz="8" w:space="0" w:color="auto"/>
              <w:bottom w:val="single" w:sz="8" w:space="0" w:color="auto"/>
              <w:right w:val="single" w:sz="4" w:space="0" w:color="auto"/>
            </w:tcBorders>
            <w:shd w:val="clear" w:color="auto" w:fill="BDD7EE"/>
            <w:vAlign w:val="center"/>
          </w:tcPr>
          <w:p w14:paraId="7D9A964C" w14:textId="77777777" w:rsidR="00615E2D" w:rsidRDefault="00C83E46">
            <w:pPr>
              <w:pStyle w:val="P68B1DB1-Normal9"/>
              <w:spacing w:line="240" w:lineRule="auto"/>
              <w:jc w:val="center"/>
              <w:rPr>
                <w:noProof/>
              </w:rPr>
            </w:pPr>
            <w:r>
              <w:rPr>
                <w:noProof/>
              </w:rPr>
              <w:t>Tromjesečje</w:t>
            </w:r>
          </w:p>
        </w:tc>
        <w:tc>
          <w:tcPr>
            <w:tcW w:w="665" w:type="dxa"/>
            <w:tcBorders>
              <w:top w:val="nil"/>
              <w:left w:val="single" w:sz="4" w:space="0" w:color="auto"/>
              <w:bottom w:val="single" w:sz="8" w:space="0" w:color="auto"/>
              <w:right w:val="single" w:sz="4" w:space="0" w:color="auto"/>
            </w:tcBorders>
            <w:shd w:val="clear" w:color="auto" w:fill="BDD7EE"/>
            <w:vAlign w:val="center"/>
          </w:tcPr>
          <w:p w14:paraId="2E84F033" w14:textId="77777777" w:rsidR="00615E2D" w:rsidRDefault="00C83E46">
            <w:pPr>
              <w:pStyle w:val="P68B1DB1-Normal9"/>
              <w:spacing w:line="240" w:lineRule="auto"/>
              <w:jc w:val="center"/>
              <w:rPr>
                <w:noProof/>
              </w:rPr>
            </w:pPr>
            <w:r>
              <w:rPr>
                <w:noProof/>
              </w:rPr>
              <w:t>Godina</w:t>
            </w:r>
          </w:p>
        </w:tc>
        <w:tc>
          <w:tcPr>
            <w:tcW w:w="5387" w:type="dxa"/>
            <w:vMerge/>
            <w:tcBorders>
              <w:bottom w:val="single" w:sz="4" w:space="0" w:color="auto"/>
              <w:right w:val="single" w:sz="4" w:space="0" w:color="auto"/>
            </w:tcBorders>
            <w:vAlign w:val="center"/>
          </w:tcPr>
          <w:p w14:paraId="3CFFA17B" w14:textId="77777777" w:rsidR="00615E2D" w:rsidRDefault="00615E2D">
            <w:pPr>
              <w:spacing w:line="240" w:lineRule="auto"/>
              <w:jc w:val="center"/>
              <w:rPr>
                <w:noProof/>
                <w:sz w:val="18"/>
              </w:rPr>
            </w:pPr>
          </w:p>
        </w:tc>
      </w:tr>
      <w:tr w:rsidR="00615E2D" w14:paraId="09CB2536" w14:textId="77777777">
        <w:trPr>
          <w:trHeight w:val="9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14:paraId="5522B57C" w14:textId="77777777" w:rsidR="00615E2D" w:rsidRDefault="00C83E46">
            <w:pPr>
              <w:pStyle w:val="P68B1DB1-Normal28"/>
              <w:spacing w:line="240" w:lineRule="auto"/>
              <w:jc w:val="center"/>
              <w:rPr>
                <w:noProof/>
              </w:rPr>
            </w:pPr>
            <w:r>
              <w:rPr>
                <w:noProof/>
              </w:rPr>
              <w:t>123</w:t>
            </w:r>
          </w:p>
        </w:tc>
        <w:tc>
          <w:tcPr>
            <w:tcW w:w="1319" w:type="dxa"/>
            <w:tcBorders>
              <w:top w:val="single" w:sz="4" w:space="0" w:color="auto"/>
              <w:left w:val="single" w:sz="8" w:space="0" w:color="auto"/>
              <w:bottom w:val="single" w:sz="8" w:space="0" w:color="auto"/>
              <w:right w:val="single" w:sz="8" w:space="0" w:color="auto"/>
            </w:tcBorders>
            <w:shd w:val="clear" w:color="auto" w:fill="C6EFCE"/>
            <w:vAlign w:val="center"/>
          </w:tcPr>
          <w:p w14:paraId="2F993090" w14:textId="24876947" w:rsidR="00615E2D" w:rsidRDefault="00C83E46">
            <w:pPr>
              <w:pStyle w:val="P68B1DB1-Normal28"/>
              <w:spacing w:line="240" w:lineRule="auto"/>
              <w:rPr>
                <w:noProof/>
              </w:rPr>
            </w:pPr>
            <w:r>
              <w:rPr>
                <w:noProof/>
              </w:rPr>
              <w:t>Reforma 1.: Val obnove u sektoru kućanstava</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14:paraId="22E8C7FA" w14:textId="77777777" w:rsidR="00615E2D" w:rsidRDefault="00C83E46">
            <w:pPr>
              <w:pStyle w:val="P68B1DB1-Normal28"/>
              <w:spacing w:line="240" w:lineRule="auto"/>
              <w:rPr>
                <w:noProof/>
              </w:rPr>
            </w:pPr>
            <w:r>
              <w:rPr>
                <w:noProof/>
              </w:rPr>
              <w:t>Prekretnica</w:t>
            </w:r>
          </w:p>
        </w:tc>
        <w:tc>
          <w:tcPr>
            <w:tcW w:w="1276" w:type="dxa"/>
            <w:tcBorders>
              <w:top w:val="single" w:sz="4" w:space="0" w:color="auto"/>
              <w:left w:val="single" w:sz="8" w:space="0" w:color="auto"/>
              <w:bottom w:val="single" w:sz="8" w:space="0" w:color="auto"/>
              <w:right w:val="single" w:sz="8" w:space="0" w:color="auto"/>
            </w:tcBorders>
            <w:shd w:val="clear" w:color="auto" w:fill="C6EFCE"/>
            <w:vAlign w:val="center"/>
          </w:tcPr>
          <w:p w14:paraId="574C761F" w14:textId="77777777" w:rsidR="00615E2D" w:rsidRDefault="00C83E46">
            <w:pPr>
              <w:pStyle w:val="P68B1DB1-Normal28"/>
              <w:spacing w:line="240" w:lineRule="auto"/>
              <w:rPr>
                <w:noProof/>
              </w:rPr>
            </w:pPr>
            <w:r>
              <w:rPr>
                <w:noProof/>
              </w:rPr>
              <w:t>Usluge savjetovanja i osposobljavanja za val obnove u sektoru kućanstava i raspored provedbe mjera uključenih u planove za kvalitetu zraka</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14:paraId="2B5C54DC" w14:textId="77777777" w:rsidR="00615E2D" w:rsidRDefault="00C83E46">
            <w:pPr>
              <w:pStyle w:val="P68B1DB1-Normal28"/>
              <w:spacing w:line="240" w:lineRule="auto"/>
              <w:rPr>
                <w:noProof/>
              </w:rPr>
            </w:pPr>
            <w:r>
              <w:rPr>
                <w:noProof/>
              </w:rPr>
              <w:t>Početak rada usluga savjetovanja i osposobljavanja i dostavljanje Komisiji rasporeda provedbe mjera uključenih u planove za kvalitetu zraka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0304E59" w14:textId="77777777" w:rsidR="00615E2D" w:rsidRDefault="00615E2D">
            <w:pPr>
              <w:spacing w:line="240" w:lineRule="auto"/>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83A5851" w14:textId="77777777" w:rsidR="00615E2D" w:rsidRDefault="00615E2D">
            <w:pPr>
              <w:spacing w:line="240" w:lineRule="auto"/>
              <w:jc w:val="center"/>
              <w:rPr>
                <w:noProof/>
                <w:color w:val="006100"/>
                <w:sz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615AE6CD" w14:textId="77777777" w:rsidR="00615E2D" w:rsidRDefault="00615E2D">
            <w:pPr>
              <w:spacing w:line="240" w:lineRule="auto"/>
              <w:jc w:val="center"/>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7553C55" w14:textId="77777777" w:rsidR="00615E2D" w:rsidRDefault="00C83E46">
            <w:pPr>
              <w:pStyle w:val="P68B1DB1-Normal28"/>
              <w:spacing w:line="240" w:lineRule="auto"/>
              <w:jc w:val="center"/>
              <w:rPr>
                <w:noProof/>
              </w:rPr>
            </w:pPr>
            <w:r>
              <w:rPr>
                <w:noProof/>
              </w:rPr>
              <w:t>ČETVRTO TROMJESEČJE</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14:paraId="1BF87E5E" w14:textId="77777777" w:rsidR="00615E2D" w:rsidRDefault="00C83E46">
            <w:pPr>
              <w:pStyle w:val="P68B1DB1-Normal28"/>
              <w:spacing w:line="240" w:lineRule="auto"/>
              <w:jc w:val="center"/>
              <w:rPr>
                <w:noProof/>
              </w:rPr>
            </w:pPr>
            <w:r>
              <w:rPr>
                <w:noProof/>
              </w:rPr>
              <w:t>2025</w:t>
            </w:r>
          </w:p>
        </w:tc>
        <w:tc>
          <w:tcPr>
            <w:tcW w:w="5387" w:type="dxa"/>
            <w:tcBorders>
              <w:top w:val="single" w:sz="4" w:space="0" w:color="auto"/>
              <w:left w:val="single" w:sz="8" w:space="0" w:color="auto"/>
              <w:bottom w:val="single" w:sz="8" w:space="0" w:color="auto"/>
              <w:right w:val="single" w:sz="8" w:space="0" w:color="auto"/>
            </w:tcBorders>
            <w:shd w:val="clear" w:color="auto" w:fill="C6EFCE"/>
            <w:vAlign w:val="center"/>
          </w:tcPr>
          <w:p w14:paraId="2714AECC" w14:textId="77777777" w:rsidR="00615E2D" w:rsidRDefault="00C83E46">
            <w:pPr>
              <w:pStyle w:val="P68B1DB1-Normal28"/>
              <w:spacing w:line="240" w:lineRule="auto"/>
              <w:rPr>
                <w:noProof/>
              </w:rPr>
            </w:pPr>
            <w:r>
              <w:rPr>
                <w:noProof/>
              </w:rPr>
              <w:t>Za kućanstva se uvodi priprema u dvije faze prije projekta.</w:t>
            </w:r>
          </w:p>
          <w:p w14:paraId="5F8288FF" w14:textId="77777777" w:rsidR="00615E2D" w:rsidRDefault="00C83E46">
            <w:pPr>
              <w:pStyle w:val="P68B1DB1-Normal28"/>
              <w:spacing w:line="240" w:lineRule="auto"/>
              <w:rPr>
                <w:noProof/>
              </w:rPr>
            </w:pPr>
            <w:r>
              <w:rPr>
                <w:noProof/>
              </w:rPr>
              <w:t>Energetski savjetodavni centri Nacionalne mreže lokalnih akcijskih skupina integriraju se u mrežu lokalnih energetskih agencija, sustav za savjetovanje o energiji koji se sastoji od centara za savjetovanje i informiranje o energiji i pojedinačnih lokalnih akcijskih skupina.</w:t>
            </w:r>
          </w:p>
          <w:p w14:paraId="2DCE8404" w14:textId="77777777" w:rsidR="00615E2D" w:rsidRDefault="00C83E46">
            <w:pPr>
              <w:pStyle w:val="P68B1DB1-Normal28"/>
              <w:spacing w:line="240" w:lineRule="auto"/>
              <w:rPr>
                <w:noProof/>
              </w:rPr>
            </w:pPr>
            <w:r>
              <w:rPr>
                <w:noProof/>
              </w:rPr>
              <w:t>Fokus državnog programa za potporu uštedama energije (EFEKT) proširuje se kako bi se obuhvatila potreba za osposobljavanjem i prekvalifikacijom radnika koji uvode zelenu gradnju, zelene tehnologije ili materijale te kako bi se poboljšala kvalitetna priprema i provedba projekata uštede energije.</w:t>
            </w:r>
          </w:p>
          <w:p w14:paraId="66AB5E13" w14:textId="77777777" w:rsidR="00615E2D" w:rsidRDefault="00C83E46">
            <w:pPr>
              <w:pStyle w:val="P68B1DB1-Normal28"/>
              <w:spacing w:line="240" w:lineRule="auto"/>
              <w:rPr>
                <w:noProof/>
              </w:rPr>
            </w:pPr>
            <w:r>
              <w:rPr>
                <w:noProof/>
              </w:rPr>
              <w:t>Postojeći sustav obrazovanja o okolišu i podizanja svijesti usmjeren na djecu i mlade proširuje se na cijelu širu javnost i bit će usmjeren na uštedu energije, upotrebu obnovljivih izvora energije, klimatske promjene i prilagodbu klimatskim promjenama.</w:t>
            </w:r>
          </w:p>
          <w:p w14:paraId="5744E9D3" w14:textId="77777777" w:rsidR="00615E2D" w:rsidRDefault="00C83E46">
            <w:pPr>
              <w:pStyle w:val="P68B1DB1-Normal28"/>
              <w:spacing w:line="240" w:lineRule="auto"/>
              <w:rPr>
                <w:noProof/>
              </w:rPr>
            </w:pPr>
            <w:r>
              <w:rPr>
                <w:noProof/>
              </w:rPr>
              <w:t xml:space="preserve">Razrađuje se raspored za provedbu mjera uključenih u odobrene planove za kvalitetu zraka usmjerene na aglomeracije s najvišim razinama prekoračenja, a njihova provedba počinje do 30. lipnja 2022. </w:t>
            </w:r>
          </w:p>
        </w:tc>
      </w:tr>
      <w:tr w:rsidR="00615E2D" w14:paraId="11D360B3" w14:textId="77777777">
        <w:trPr>
          <w:trHeight w:val="38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15F4F20" w14:textId="77777777" w:rsidR="00615E2D" w:rsidRDefault="00C83E46">
            <w:pPr>
              <w:pStyle w:val="P68B1DB1-Normal28"/>
              <w:spacing w:line="240" w:lineRule="auto"/>
              <w:jc w:val="center"/>
              <w:rPr>
                <w:noProof/>
              </w:rPr>
            </w:pPr>
            <w:r>
              <w:rPr>
                <w:noProof/>
              </w:rPr>
              <w:t>124</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14:paraId="506B558B" w14:textId="77777777" w:rsidR="00615E2D" w:rsidRDefault="00C83E46">
            <w:pPr>
              <w:pStyle w:val="P68B1DB1-Normal28"/>
              <w:spacing w:line="240" w:lineRule="auto"/>
              <w:rPr>
                <w:noProof/>
              </w:rPr>
            </w:pPr>
            <w:r>
              <w:rPr>
                <w:noProof/>
              </w:rPr>
              <w:t>Reforma br. 2: Potpora za pripremu prije projekta i potpora energetskim projektima zajednice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0BD83F2" w14:textId="77777777" w:rsidR="00615E2D" w:rsidRDefault="00C83E46">
            <w:pPr>
              <w:pStyle w:val="P68B1DB1-Normal28"/>
              <w:spacing w:line="240" w:lineRule="auto"/>
              <w:rPr>
                <w:noProof/>
              </w:rPr>
            </w:pPr>
            <w:r>
              <w:rPr>
                <w:noProof/>
              </w:rPr>
              <w:t>Ciljna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417BBB92" w14:textId="77777777" w:rsidR="00615E2D" w:rsidRDefault="00C83E46">
            <w:pPr>
              <w:pStyle w:val="P68B1DB1-Normal28"/>
              <w:spacing w:line="240" w:lineRule="auto"/>
              <w:rPr>
                <w:noProof/>
              </w:rPr>
            </w:pPr>
            <w:r>
              <w:rPr>
                <w:noProof/>
              </w:rPr>
              <w:t>Savjetodavne usluge o energetskim zajednicama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2D7B604"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86E9975" w14:textId="77777777" w:rsidR="00615E2D" w:rsidRDefault="00C83E46">
            <w:pPr>
              <w:pStyle w:val="P68B1DB1-Normal28"/>
              <w:spacing w:line="240" w:lineRule="auto"/>
              <w:rPr>
                <w:noProof/>
              </w:rPr>
            </w:pPr>
            <w:r>
              <w:rPr>
                <w:noProof/>
              </w:rPr>
              <w:t>Broj energetskih zajednica kojima je dodijeljena potpora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6020DD2" w14:textId="77777777"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47D915D8" w14:textId="77777777" w:rsidR="00615E2D" w:rsidRDefault="00C83E46">
            <w:pPr>
              <w:pStyle w:val="P68B1DB1-Normal35"/>
              <w:spacing w:line="240" w:lineRule="auto"/>
              <w:jc w:val="center"/>
              <w:rPr>
                <w:noProof/>
              </w:rPr>
            </w:pPr>
            <w:r>
              <w:rPr>
                <w:noProof/>
              </w:rPr>
              <w:t>40</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E27D050" w14:textId="77777777" w:rsidR="00615E2D" w:rsidRDefault="00C83E46">
            <w:pPr>
              <w:pStyle w:val="P68B1DB1-Normal28"/>
              <w:spacing w:line="240" w:lineRule="auto"/>
              <w:jc w:val="center"/>
              <w:rPr>
                <w:noProof/>
              </w:rPr>
            </w:pPr>
            <w:r>
              <w:rPr>
                <w:noProof/>
              </w:rPr>
              <w:t>ČETVRTO TROMJESEČJE</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14:paraId="086F8CE5" w14:textId="77777777" w:rsidR="00615E2D" w:rsidRDefault="00C83E46">
            <w:pPr>
              <w:pStyle w:val="P68B1DB1-Normal28"/>
              <w:spacing w:line="240" w:lineRule="auto"/>
              <w:jc w:val="center"/>
              <w:rPr>
                <w:noProof/>
              </w:rPr>
            </w:pPr>
            <w:r>
              <w:rPr>
                <w:noProof/>
              </w:rPr>
              <w:t>2025</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14:paraId="3A7CDC2C" w14:textId="77777777" w:rsidR="00615E2D" w:rsidRDefault="00C83E46">
            <w:pPr>
              <w:pStyle w:val="P68B1DB1-Normal28"/>
              <w:spacing w:line="240" w:lineRule="auto"/>
              <w:rPr>
                <w:noProof/>
              </w:rPr>
            </w:pPr>
            <w:r>
              <w:rPr>
                <w:noProof/>
              </w:rPr>
              <w:t>Regionalni ured Državnog fonda za okoliš u svakoj regiji Češke uvodi savjetodavne usluge o ugradnji novih obnovljivih izvora energije kako bi se uklonile prepreke njihovoj budućoj integraciji u širu energetsku zajednicu, manjim zajedničkim lokacijama za skladištenje energije na više platformi, stvaranju energetskih zajednica u pojedinačnim višeobiteljskim zgradama i drugim mjerama ulaganja povezanima s energetskim zajednicama u svakoj regiji Češke.</w:t>
            </w:r>
          </w:p>
          <w:p w14:paraId="6317598D" w14:textId="77777777" w:rsidR="00615E2D" w:rsidRDefault="00C83E46">
            <w:pPr>
              <w:pStyle w:val="P68B1DB1-Normal28"/>
              <w:spacing w:line="240" w:lineRule="auto"/>
              <w:rPr>
                <w:noProof/>
              </w:rPr>
            </w:pPr>
            <w:r>
              <w:rPr>
                <w:noProof/>
              </w:rPr>
              <w:t>Osnivanje 40 energetskih zajednica te podizanje svijesti i obrazovanje usmjereno na razvoj energetskih zajednica podupiru savjetodavne službe Državnog fonda za okoliš.</w:t>
            </w:r>
          </w:p>
        </w:tc>
      </w:tr>
      <w:tr w:rsidR="00615E2D" w14:paraId="7296630C"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75316AC5" w14:textId="77777777" w:rsidR="00615E2D" w:rsidRDefault="00C83E46">
            <w:pPr>
              <w:pStyle w:val="P68B1DB1-Normal28"/>
              <w:spacing w:line="240" w:lineRule="auto"/>
              <w:jc w:val="center"/>
              <w:rPr>
                <w:noProof/>
              </w:rPr>
            </w:pPr>
            <w:r>
              <w:rPr>
                <w:noProof/>
              </w:rPr>
              <w:t>125</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14:paraId="03DA0D2B" w14:textId="77777777" w:rsidR="00615E2D" w:rsidRDefault="00C83E46">
            <w:pPr>
              <w:pStyle w:val="P68B1DB1-Normal28"/>
              <w:spacing w:line="240" w:lineRule="auto"/>
              <w:rPr>
                <w:noProof/>
              </w:rPr>
            </w:pPr>
            <w:r>
              <w:rPr>
                <w:noProof/>
              </w:rPr>
              <w:t>Ulaganje 1: Obnova i revitalizacija zgrada radi uštede energije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5F37D900" w14:textId="51E3A67E" w:rsidR="00615E2D" w:rsidRDefault="00C83E46">
            <w:pPr>
              <w:pStyle w:val="P68B1DB1-Normal35"/>
              <w:spacing w:line="240" w:lineRule="auto"/>
              <w:rPr>
                <w:noProof/>
              </w:rPr>
            </w:pPr>
            <w:r>
              <w:rPr>
                <w:noProof/>
              </w:rPr>
              <w:t>Ciljna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7C8CBF8B" w14:textId="40F80ADB" w:rsidR="00615E2D" w:rsidRDefault="00C83E46">
            <w:pPr>
              <w:pStyle w:val="P68B1DB1-Normal28"/>
              <w:spacing w:line="240" w:lineRule="auto"/>
              <w:rPr>
                <w:noProof/>
              </w:rPr>
            </w:pPr>
            <w:r>
              <w:rPr>
                <w:noProof/>
              </w:rPr>
              <w:t>Ugovoreni projekti za smanjenje potrošnje energije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E9D42F0"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21DCC60" w14:textId="77777777" w:rsidR="00615E2D" w:rsidRDefault="00C83E46">
            <w:pPr>
              <w:pStyle w:val="P68B1DB1-Normal28"/>
              <w:spacing w:line="240" w:lineRule="auto"/>
              <w:rPr>
                <w:noProof/>
              </w:rPr>
            </w:pPr>
            <w:r>
              <w:rPr>
                <w:noProof/>
              </w:rPr>
              <w:t>Ušteda energije u džupovima terena godišnje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C365AE3" w14:textId="77777777" w:rsidR="00615E2D" w:rsidRDefault="00615E2D">
            <w:pPr>
              <w:spacing w:line="240" w:lineRule="auto"/>
              <w:jc w:val="center"/>
              <w:rPr>
                <w:noProof/>
                <w:color w:val="006100"/>
                <w:sz w:val="18"/>
              </w:rPr>
            </w:pPr>
          </w:p>
          <w:p w14:paraId="0C499268" w14:textId="77777777" w:rsidR="00615E2D" w:rsidRDefault="00C83E46">
            <w:pPr>
              <w:pStyle w:val="P68B1DB1-Normal28"/>
              <w:spacing w:line="240" w:lineRule="auto"/>
              <w:jc w:val="center"/>
              <w:rPr>
                <w:noProof/>
              </w:rPr>
            </w:pPr>
            <w:r>
              <w:rPr>
                <w:noProof/>
              </w:rPr>
              <w:t>0</w:t>
            </w:r>
          </w:p>
          <w:p w14:paraId="7D824E62" w14:textId="77777777" w:rsidR="00615E2D" w:rsidRDefault="00615E2D">
            <w:pPr>
              <w:spacing w:line="240" w:lineRule="auto"/>
              <w:jc w:val="center"/>
              <w:rPr>
                <w:noProof/>
                <w:color w:val="006100"/>
                <w:sz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0B06050F" w14:textId="77777777" w:rsidR="00615E2D" w:rsidRDefault="00C83E46">
            <w:pPr>
              <w:pStyle w:val="P68B1DB1-Normal28"/>
              <w:spacing w:line="240" w:lineRule="auto"/>
              <w:jc w:val="center"/>
              <w:rPr>
                <w:noProof/>
              </w:rPr>
            </w:pPr>
            <w:r>
              <w:rPr>
                <w:noProof/>
              </w:rPr>
              <w:t>1 200</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0FCC2E1" w14:textId="77777777" w:rsidR="00615E2D" w:rsidRDefault="00C83E46">
            <w:pPr>
              <w:pStyle w:val="P68B1DB1-Normal28"/>
              <w:spacing w:line="240" w:lineRule="auto"/>
              <w:jc w:val="center"/>
              <w:rPr>
                <w:noProof/>
              </w:rPr>
            </w:pPr>
            <w:r>
              <w:rPr>
                <w:noProof/>
              </w:rPr>
              <w:t>TROMJESEČJE</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14:paraId="7BCCEE94" w14:textId="77777777" w:rsidR="00615E2D" w:rsidRDefault="00C83E46">
            <w:pPr>
              <w:pStyle w:val="P68B1DB1-Normal28"/>
              <w:spacing w:line="240" w:lineRule="auto"/>
              <w:jc w:val="center"/>
              <w:rPr>
                <w:noProof/>
              </w:rPr>
            </w:pPr>
            <w:r>
              <w:rPr>
                <w:noProof/>
              </w:rPr>
              <w:t>2024</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14:paraId="7FE9907C" w14:textId="06C55B6A" w:rsidR="00615E2D" w:rsidRDefault="00C83E46">
            <w:pPr>
              <w:pStyle w:val="P68B1DB1-Normal28"/>
              <w:spacing w:line="240" w:lineRule="auto"/>
              <w:rPr>
                <w:noProof/>
              </w:rPr>
            </w:pPr>
            <w:r>
              <w:rPr>
                <w:noProof/>
              </w:rPr>
              <w:t xml:space="preserve">Projekti smanjenja potrošnje energije za 1 200 TJ godišnje ugovara Državni fond za okoliš od veljače 2020. </w:t>
            </w:r>
          </w:p>
          <w:p w14:paraId="3E58E001" w14:textId="77777777" w:rsidR="00615E2D" w:rsidRDefault="00C83E46">
            <w:pPr>
              <w:pStyle w:val="P68B1DB1-Normal12"/>
              <w:spacing w:line="240" w:lineRule="auto"/>
              <w:rPr>
                <w:noProof/>
                <w:color w:val="006100"/>
              </w:rPr>
            </w:pPr>
            <w:r>
              <w:rPr>
                <w:noProof/>
                <w:color w:val="006100"/>
              </w:rPr>
              <w:t>Za provedbu se odabiru samo projekti kojima se u prosjeku postiže smanjenje potrošnje primarne energije od najmanje 30 %.</w:t>
            </w:r>
            <w:r>
              <w:rPr>
                <w:noProof/>
              </w:rPr>
              <w:t xml:space="preserve"> </w:t>
            </w:r>
            <w:r>
              <w:rPr>
                <w:noProof/>
                <w:color w:val="006100"/>
              </w:rPr>
              <w:t>Ulaganja u zamjenu kotlova s plinskom kondenzacijom ograničena su na najviše 20 % ukupne dodjele za mjeru 2.5.1.</w:t>
            </w:r>
            <w:r>
              <w:rPr>
                <w:rFonts w:ascii="Calibri" w:hAnsi="Calibri"/>
                <w:noProof/>
              </w:rPr>
              <w:t xml:space="preserve"> </w:t>
            </w:r>
          </w:p>
        </w:tc>
      </w:tr>
      <w:tr w:rsidR="00615E2D" w14:paraId="06644A6D"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0E62B7A7" w14:textId="77777777" w:rsidR="00615E2D" w:rsidRDefault="00C83E46">
            <w:pPr>
              <w:pStyle w:val="P68B1DB1-Normal28"/>
              <w:spacing w:line="240" w:lineRule="auto"/>
              <w:jc w:val="center"/>
              <w:rPr>
                <w:noProof/>
              </w:rPr>
            </w:pPr>
            <w:r>
              <w:rPr>
                <w:noProof/>
              </w:rPr>
              <w:t>126</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14:paraId="7C2C318B" w14:textId="77777777" w:rsidR="00615E2D" w:rsidRDefault="00C83E46">
            <w:pPr>
              <w:pStyle w:val="P68B1DB1-Normal28"/>
              <w:spacing w:line="240" w:lineRule="auto"/>
              <w:rPr>
                <w:noProof/>
              </w:rPr>
            </w:pPr>
            <w:r>
              <w:rPr>
                <w:noProof/>
              </w:rPr>
              <w:t>Ulaganje 1: Obnova i revitalizacija zgrada radi uštede energije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675A452" w14:textId="77777777" w:rsidR="00615E2D" w:rsidRDefault="00C83E46">
            <w:pPr>
              <w:pStyle w:val="P68B1DB1-Normal28"/>
              <w:spacing w:line="240" w:lineRule="auto"/>
              <w:rPr>
                <w:noProof/>
              </w:rPr>
            </w:pPr>
            <w:r>
              <w:rPr>
                <w:noProof/>
              </w:rPr>
              <w:t>Ciljna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2A2DBD53" w14:textId="77777777" w:rsidR="00615E2D" w:rsidRDefault="00C83E46">
            <w:pPr>
              <w:pStyle w:val="P68B1DB1-Normal12"/>
              <w:spacing w:line="240" w:lineRule="auto"/>
              <w:rPr>
                <w:noProof/>
                <w:color w:val="006100"/>
              </w:rPr>
            </w:pPr>
            <w:r>
              <w:rPr>
                <w:noProof/>
                <w:color w:val="006100"/>
              </w:rPr>
              <w:t>Smanjenje potrošnje energije</w:t>
            </w:r>
            <w:r>
              <w:rPr>
                <w:noProof/>
              </w:rPr>
              <w:t xml:space="preserve"> </w:t>
            </w:r>
            <w:r>
              <w:rPr>
                <w:noProof/>
                <w:color w:val="006100"/>
              </w:rPr>
              <w:t>i emisija CO2</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7C4E355"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75206FA" w14:textId="77777777" w:rsidR="00615E2D" w:rsidRDefault="00C83E46">
            <w:pPr>
              <w:pStyle w:val="P68B1DB1-Normal28"/>
              <w:spacing w:line="240" w:lineRule="auto"/>
              <w:rPr>
                <w:noProof/>
              </w:rPr>
            </w:pPr>
            <w:r>
              <w:rPr>
                <w:noProof/>
              </w:rPr>
              <w:t>Ušteda energije u džupovima terena godišnje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0E26928" w14:textId="77777777" w:rsidR="00615E2D" w:rsidRDefault="00C83E46">
            <w:pPr>
              <w:pStyle w:val="P68B1DB1-Normal28"/>
              <w:spacing w:line="240" w:lineRule="auto"/>
              <w:jc w:val="center"/>
              <w:rPr>
                <w:noProof/>
              </w:rPr>
            </w:pPr>
            <w:r>
              <w:rPr>
                <w:noProof/>
              </w:rPr>
              <w:t>1 200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48E8F02F" w14:textId="1B6BF984" w:rsidR="00615E2D" w:rsidRDefault="00C83E46">
            <w:pPr>
              <w:pStyle w:val="P68B1DB1-Normal28"/>
              <w:spacing w:line="240" w:lineRule="auto"/>
              <w:jc w:val="center"/>
              <w:rPr>
                <w:noProof/>
              </w:rPr>
            </w:pPr>
            <w:r>
              <w:rPr>
                <w:noProof/>
              </w:rPr>
              <w:t>  1 900</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B530DF2" w14:textId="77777777" w:rsidR="00615E2D" w:rsidRDefault="00C83E46">
            <w:pPr>
              <w:pStyle w:val="P68B1DB1-Normal28"/>
              <w:spacing w:line="240" w:lineRule="auto"/>
              <w:jc w:val="center"/>
              <w:rPr>
                <w:noProof/>
              </w:rPr>
            </w:pPr>
            <w:r>
              <w:rPr>
                <w:noProof/>
              </w:rPr>
              <w:t>ČETVRTO TROMJESEČJE</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14:paraId="2C4AD2B5" w14:textId="77777777" w:rsidR="00615E2D" w:rsidRDefault="00C83E46">
            <w:pPr>
              <w:pStyle w:val="P68B1DB1-Normal28"/>
              <w:spacing w:line="240" w:lineRule="auto"/>
              <w:jc w:val="center"/>
              <w:rPr>
                <w:noProof/>
              </w:rPr>
            </w:pPr>
            <w:r>
              <w:rPr>
                <w:noProof/>
              </w:rPr>
              <w:t>2025</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14:paraId="4D8242C5" w14:textId="28755165" w:rsidR="00615E2D" w:rsidRDefault="00C83E46">
            <w:pPr>
              <w:pStyle w:val="P68B1DB1-Normal28"/>
              <w:spacing w:line="240" w:lineRule="auto"/>
              <w:rPr>
                <w:noProof/>
              </w:rPr>
            </w:pPr>
            <w:r>
              <w:rPr>
                <w:noProof/>
              </w:rPr>
              <w:t>Potrošnja energije i emisije CO2 smanjuju se za 1 900 TJ godišnje odnosno za 100 kt/godišnje do 31. prosinca 2025., što se dokazuje energetskim certifikatima.</w:t>
            </w:r>
          </w:p>
          <w:p w14:paraId="19485151" w14:textId="77777777" w:rsidR="00615E2D" w:rsidRDefault="00C83E46">
            <w:pPr>
              <w:pStyle w:val="P68B1DB1-Normal28"/>
              <w:spacing w:line="240" w:lineRule="auto"/>
              <w:rPr>
                <w:noProof/>
              </w:rPr>
            </w:pPr>
            <w:r>
              <w:rPr>
                <w:noProof/>
              </w:rPr>
              <w:t>Za provedbu se odabiru samo projekti kojima se u prosjeku postiže smanjenje potrošnje primarne energije od najmanje 30 %. Ulaganja u zamjenu kotlova s plinskom kondenzacijom ograničena su na najviše 20 % ukupne dodjele za mjeru 2.5.1.</w:t>
            </w:r>
          </w:p>
        </w:tc>
      </w:tr>
      <w:tr w:rsidR="00615E2D" w14:paraId="49B815C0"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087DB56" w14:textId="77777777" w:rsidR="00615E2D" w:rsidRDefault="00C83E46">
            <w:pPr>
              <w:pStyle w:val="P68B1DB1-Normal28"/>
              <w:spacing w:line="240" w:lineRule="auto"/>
              <w:jc w:val="center"/>
              <w:rPr>
                <w:noProof/>
              </w:rPr>
            </w:pPr>
            <w:r>
              <w:rPr>
                <w:noProof/>
              </w:rPr>
              <w:t>127</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14:paraId="06F664BD" w14:textId="77777777" w:rsidR="00615E2D" w:rsidRDefault="00C83E46">
            <w:pPr>
              <w:pStyle w:val="P68B1DB1-Normal28"/>
              <w:spacing w:line="240" w:lineRule="auto"/>
              <w:rPr>
                <w:noProof/>
              </w:rPr>
            </w:pPr>
            <w:r>
              <w:rPr>
                <w:noProof/>
              </w:rPr>
              <w:t>Ulaganje 2: Zamjena stacionarnih izvora onečišćenja u kućanstvima obnovljivim izvorima energije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58348C1" w14:textId="1AD72FC8" w:rsidR="00615E2D" w:rsidRDefault="00C83E46">
            <w:pPr>
              <w:pStyle w:val="P68B1DB1-Normal28"/>
              <w:spacing w:line="240" w:lineRule="auto"/>
              <w:rPr>
                <w:noProof/>
              </w:rPr>
            </w:pPr>
            <w:r>
              <w:rPr>
                <w:noProof/>
              </w:rPr>
              <w:t>Ciljna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088AE065" w14:textId="69DA0C61" w:rsidR="00615E2D" w:rsidRDefault="00C83E46">
            <w:pPr>
              <w:pStyle w:val="P68B1DB1-Normal12"/>
              <w:spacing w:line="240" w:lineRule="auto"/>
              <w:rPr>
                <w:noProof/>
                <w:color w:val="006100"/>
              </w:rPr>
            </w:pPr>
            <w:r>
              <w:rPr>
                <w:noProof/>
                <w:color w:val="006100"/>
              </w:rPr>
              <w:t>Ugovoreni projekti za smanjenje potrošnje energije</w:t>
            </w:r>
            <w:r>
              <w:rPr>
                <w:noProof/>
              </w:rPr>
              <w:t xml:space="preserve"> </w:t>
            </w:r>
            <w:r>
              <w:rPr>
                <w:noProof/>
                <w:color w:val="006100"/>
              </w:rPr>
              <w:t xml:space="preserve">i emisija CO2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52CF32B8"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1D9A73D" w14:textId="77777777" w:rsidR="00615E2D" w:rsidRDefault="00C83E46">
            <w:pPr>
              <w:pStyle w:val="P68B1DB1-Normal28"/>
              <w:spacing w:line="240" w:lineRule="auto"/>
              <w:rPr>
                <w:noProof/>
              </w:rPr>
            </w:pPr>
            <w:r>
              <w:rPr>
                <w:noProof/>
              </w:rPr>
              <w:t>Ušteda energije u džupovima terena godišnje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5F1CCAA" w14:textId="77777777"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6845792F" w14:textId="6D19DFD2" w:rsidR="00615E2D" w:rsidRDefault="00C83E46">
            <w:pPr>
              <w:pStyle w:val="P68B1DB1-Normal28"/>
              <w:spacing w:line="240" w:lineRule="auto"/>
              <w:jc w:val="center"/>
              <w:rPr>
                <w:noProof/>
              </w:rPr>
            </w:pPr>
            <w:r>
              <w:rPr>
                <w:noProof/>
              </w:rPr>
              <w:t xml:space="preserve"> 720</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C4701B3" w14:textId="77777777" w:rsidR="00615E2D" w:rsidRDefault="00C83E46">
            <w:pPr>
              <w:pStyle w:val="P68B1DB1-Normal28"/>
              <w:spacing w:line="240" w:lineRule="auto"/>
              <w:jc w:val="center"/>
              <w:rPr>
                <w:noProof/>
              </w:rPr>
            </w:pPr>
            <w:r>
              <w:rPr>
                <w:noProof/>
              </w:rPr>
              <w:t>TROMJESEČJE</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14:paraId="5B191302" w14:textId="77777777" w:rsidR="00615E2D" w:rsidRDefault="00C83E46">
            <w:pPr>
              <w:pStyle w:val="P68B1DB1-Normal28"/>
              <w:spacing w:line="240" w:lineRule="auto"/>
              <w:jc w:val="center"/>
              <w:rPr>
                <w:noProof/>
              </w:rPr>
            </w:pPr>
            <w:r>
              <w:rPr>
                <w:noProof/>
              </w:rPr>
              <w:t>2023</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14:paraId="6BFB0B8A" w14:textId="333C19DF" w:rsidR="00615E2D" w:rsidRDefault="00C83E46">
            <w:pPr>
              <w:pStyle w:val="P68B1DB1-Normal28"/>
              <w:spacing w:line="240" w:lineRule="auto"/>
              <w:rPr>
                <w:noProof/>
              </w:rPr>
            </w:pPr>
            <w:r>
              <w:rPr>
                <w:noProof/>
              </w:rPr>
              <w:t>Projekte za smanjenje potrošnje energije i emisija CO2 za 720 TJ godišnje odnosno za 100 čvorova godišnje ugovara Državni fond za okoliš do 30. rujna 2021.</w:t>
            </w:r>
          </w:p>
          <w:p w14:paraId="18F6A8D8" w14:textId="77777777" w:rsidR="00615E2D" w:rsidRDefault="00C83E46">
            <w:pPr>
              <w:pStyle w:val="P68B1DB1-Normal28"/>
              <w:spacing w:line="240" w:lineRule="auto"/>
              <w:rPr>
                <w:noProof/>
              </w:rPr>
            </w:pPr>
            <w:r>
              <w:rPr>
                <w:noProof/>
              </w:rPr>
              <w:t>Kad je riječ o biomasi, upotrebom biomase ostvaruju se uštede emisija stakleničkih plinova od najmanje 80 % u odnosu na metodologiju uštede stakleničkih plinova i relativno usporedno fosilno gorivo iz Priloga VI. Direktivi (EU) 2018/2001.</w:t>
            </w:r>
          </w:p>
        </w:tc>
      </w:tr>
      <w:tr w:rsidR="00615E2D" w14:paraId="191A1DB7"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362731D4" w14:textId="77777777" w:rsidR="00615E2D" w:rsidRDefault="00C83E46">
            <w:pPr>
              <w:pStyle w:val="P68B1DB1-Normal28"/>
              <w:spacing w:line="240" w:lineRule="auto"/>
              <w:jc w:val="center"/>
              <w:rPr>
                <w:noProof/>
              </w:rPr>
            </w:pPr>
            <w:r>
              <w:rPr>
                <w:noProof/>
              </w:rPr>
              <w:t>128</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14:paraId="18AF6C02" w14:textId="77777777" w:rsidR="00615E2D" w:rsidRDefault="00C83E46">
            <w:pPr>
              <w:pStyle w:val="P68B1DB1-Normal28"/>
              <w:spacing w:line="240" w:lineRule="auto"/>
              <w:rPr>
                <w:noProof/>
              </w:rPr>
            </w:pPr>
            <w:r>
              <w:rPr>
                <w:noProof/>
              </w:rPr>
              <w:t>Ulaganje 2: Zamjena stacionarnih izvora onečišćenja u kućanstvima obnovljivim izvorima energije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CCF41F9" w14:textId="77777777" w:rsidR="00615E2D" w:rsidRDefault="00C83E46">
            <w:pPr>
              <w:pStyle w:val="P68B1DB1-Normal28"/>
              <w:spacing w:line="240" w:lineRule="auto"/>
              <w:rPr>
                <w:noProof/>
              </w:rPr>
            </w:pPr>
            <w:r>
              <w:rPr>
                <w:noProof/>
              </w:rPr>
              <w:t>Ciljna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5622BE9A" w14:textId="77777777" w:rsidR="00615E2D" w:rsidRDefault="00C83E46">
            <w:pPr>
              <w:pStyle w:val="P68B1DB1-Normal28"/>
              <w:spacing w:line="240" w:lineRule="auto"/>
              <w:rPr>
                <w:noProof/>
              </w:rPr>
            </w:pPr>
            <w:r>
              <w:rPr>
                <w:noProof/>
              </w:rPr>
              <w:t>Smanjenje potrošnje energije i emisija CO2 (</w:t>
            </w:r>
            <w:r>
              <w:rPr>
                <w:rFonts w:eastAsia="Times New Roman"/>
                <w:noProof/>
              </w:rPr>
              <w:t>provedeno 35 %)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DF70F49"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A12283A" w14:textId="77777777" w:rsidR="00615E2D" w:rsidRDefault="00C83E46">
            <w:pPr>
              <w:pStyle w:val="P68B1DB1-Normal28"/>
              <w:spacing w:line="240" w:lineRule="auto"/>
              <w:rPr>
                <w:noProof/>
              </w:rPr>
            </w:pPr>
            <w:r>
              <w:rPr>
                <w:noProof/>
              </w:rPr>
              <w:t xml:space="preserve">Ušteda energije u džupovima terena godišnje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59E2891" w14:textId="23B95F79" w:rsidR="00615E2D" w:rsidRDefault="00C83E46">
            <w:pPr>
              <w:pStyle w:val="P68B1DB1-Normal28"/>
              <w:spacing w:line="240" w:lineRule="auto"/>
              <w:jc w:val="center"/>
              <w:rPr>
                <w:noProof/>
              </w:rPr>
            </w:pPr>
            <w:r>
              <w:rPr>
                <w:noProof/>
              </w:rPr>
              <w:t>720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1F8700F2" w14:textId="1990682C" w:rsidR="00615E2D" w:rsidRDefault="00C83E46">
            <w:pPr>
              <w:pStyle w:val="P68B1DB1-Normal28"/>
              <w:spacing w:line="240" w:lineRule="auto"/>
              <w:jc w:val="center"/>
              <w:rPr>
                <w:noProof/>
              </w:rPr>
            </w:pPr>
            <w:r>
              <w:rPr>
                <w:noProof/>
              </w:rPr>
              <w:t xml:space="preserve"> 1 500</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93BF538" w14:textId="77777777" w:rsidR="00615E2D" w:rsidRDefault="00C83E46">
            <w:pPr>
              <w:pStyle w:val="P68B1DB1-Normal28"/>
              <w:spacing w:line="240" w:lineRule="auto"/>
              <w:jc w:val="center"/>
              <w:rPr>
                <w:noProof/>
              </w:rPr>
            </w:pPr>
            <w:r>
              <w:rPr>
                <w:noProof/>
              </w:rPr>
              <w:t>TROMJESEČJE</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14:paraId="2C3B2CC0" w14:textId="77777777" w:rsidR="00615E2D" w:rsidRDefault="00C83E46">
            <w:pPr>
              <w:pStyle w:val="P68B1DB1-Normal28"/>
              <w:spacing w:line="240" w:lineRule="auto"/>
              <w:jc w:val="center"/>
              <w:rPr>
                <w:noProof/>
              </w:rPr>
            </w:pPr>
            <w:r>
              <w:rPr>
                <w:noProof/>
              </w:rPr>
              <w:t>2023</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14:paraId="75309F8F" w14:textId="1507CC12" w:rsidR="00615E2D" w:rsidRDefault="00C83E46">
            <w:pPr>
              <w:pStyle w:val="P68B1DB1-Normal28"/>
              <w:spacing w:line="240" w:lineRule="auto"/>
              <w:rPr>
                <w:noProof/>
              </w:rPr>
            </w:pPr>
            <w:r>
              <w:rPr>
                <w:noProof/>
              </w:rPr>
              <w:t>Potrošnja energije i emisije CO2 smanjuju se za 1 500 TJ/godišnje odnosno 170 kt/godišnje do 30. rujna 2023., što se dokazuje energetskim certifikatima.</w:t>
            </w:r>
          </w:p>
          <w:p w14:paraId="65661AAC" w14:textId="77777777" w:rsidR="00615E2D" w:rsidRDefault="00C83E46">
            <w:pPr>
              <w:pStyle w:val="P68B1DB1-Normal28"/>
              <w:spacing w:line="240" w:lineRule="auto"/>
              <w:rPr>
                <w:noProof/>
              </w:rPr>
            </w:pPr>
            <w:r>
              <w:rPr>
                <w:noProof/>
              </w:rPr>
              <w:t>Kad je riječ o biomasi, upotrebom biomase ostvaruju se uštede emisija stakleničkih plinova od najmanje 80 % u odnosu na metodologiju uštede stakleničkih plinova i relativno usporedno fosilno gorivo iz Priloga VI. Direktivi (EU) 2018/2001.</w:t>
            </w:r>
          </w:p>
        </w:tc>
      </w:tr>
      <w:tr w:rsidR="00615E2D" w14:paraId="20681F83"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19F2B82B" w14:textId="77777777" w:rsidR="00615E2D" w:rsidRDefault="00C83E46">
            <w:pPr>
              <w:pStyle w:val="P68B1DB1-Normal28"/>
              <w:spacing w:line="240" w:lineRule="auto"/>
              <w:jc w:val="center"/>
              <w:rPr>
                <w:noProof/>
              </w:rPr>
            </w:pPr>
            <w:r>
              <w:rPr>
                <w:noProof/>
              </w:rPr>
              <w:t>129</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14:paraId="0F90166D" w14:textId="77777777" w:rsidR="00615E2D" w:rsidRDefault="00C83E46">
            <w:pPr>
              <w:pStyle w:val="P68B1DB1-Normal28"/>
              <w:spacing w:line="240" w:lineRule="auto"/>
              <w:rPr>
                <w:noProof/>
              </w:rPr>
            </w:pPr>
            <w:r>
              <w:rPr>
                <w:noProof/>
              </w:rPr>
              <w:t>Ulaganje 2: Zamjena stacionarnih izvora onečišćenja u kućanstvima obnovljivim izvorima energije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5B90E0B" w14:textId="77777777" w:rsidR="00615E2D" w:rsidRDefault="00C83E46">
            <w:pPr>
              <w:pStyle w:val="P68B1DB1-Normal28"/>
              <w:spacing w:line="240" w:lineRule="auto"/>
              <w:rPr>
                <w:noProof/>
              </w:rPr>
            </w:pPr>
            <w:r>
              <w:rPr>
                <w:noProof/>
              </w:rPr>
              <w:t>Ciljna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475C898C" w14:textId="77777777" w:rsidR="00615E2D" w:rsidRDefault="00C83E46">
            <w:pPr>
              <w:pStyle w:val="P68B1DB1-Normal28"/>
              <w:spacing w:line="240" w:lineRule="auto"/>
              <w:rPr>
                <w:noProof/>
              </w:rPr>
            </w:pPr>
            <w:r>
              <w:rPr>
                <w:noProof/>
              </w:rPr>
              <w:t>Smanjenje potrošnje energije i emisija CO2</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41599A0"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BB359D5" w14:textId="77777777" w:rsidR="00615E2D" w:rsidRDefault="00C83E46">
            <w:pPr>
              <w:pStyle w:val="P68B1DB1-Normal12"/>
              <w:spacing w:line="240" w:lineRule="auto"/>
              <w:rPr>
                <w:noProof/>
                <w:color w:val="006100"/>
              </w:rPr>
            </w:pPr>
            <w:r>
              <w:rPr>
                <w:noProof/>
                <w:color w:val="006100"/>
              </w:rPr>
              <w:t>Ušteda energije u džupovima terena godišnje</w:t>
            </w:r>
            <w:r>
              <w:rPr>
                <w:noProof/>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A89F786" w14:textId="672C7859" w:rsidR="00615E2D" w:rsidRDefault="00C83E46">
            <w:pPr>
              <w:pStyle w:val="P68B1DB1-Normal28"/>
              <w:spacing w:line="240" w:lineRule="auto"/>
              <w:jc w:val="center"/>
              <w:rPr>
                <w:noProof/>
              </w:rPr>
            </w:pPr>
            <w:r>
              <w:rPr>
                <w:noProof/>
              </w:rPr>
              <w:t>1 500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19E9C3E5" w14:textId="3011D5CF" w:rsidR="00615E2D" w:rsidRDefault="00C83E46">
            <w:pPr>
              <w:pStyle w:val="P68B1DB1-Normal28"/>
              <w:spacing w:line="240" w:lineRule="auto"/>
              <w:jc w:val="center"/>
              <w:rPr>
                <w:noProof/>
              </w:rPr>
            </w:pPr>
            <w:r>
              <w:rPr>
                <w:noProof/>
              </w:rPr>
              <w:t>4 500</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80CF78B" w14:textId="77777777" w:rsidR="00615E2D" w:rsidRDefault="00C83E46">
            <w:pPr>
              <w:pStyle w:val="P68B1DB1-Normal28"/>
              <w:spacing w:line="240" w:lineRule="auto"/>
              <w:jc w:val="center"/>
              <w:rPr>
                <w:noProof/>
              </w:rPr>
            </w:pPr>
            <w:r>
              <w:rPr>
                <w:noProof/>
              </w:rPr>
              <w:t>ČETVRTO TROMJESEČJE</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14:paraId="648150AF" w14:textId="77777777" w:rsidR="00615E2D" w:rsidRDefault="00C83E46">
            <w:pPr>
              <w:pStyle w:val="P68B1DB1-Normal28"/>
              <w:spacing w:line="240" w:lineRule="auto"/>
              <w:jc w:val="center"/>
              <w:rPr>
                <w:noProof/>
              </w:rPr>
            </w:pPr>
            <w:r>
              <w:rPr>
                <w:noProof/>
              </w:rPr>
              <w:t>2025</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14:paraId="50012476" w14:textId="4F767B85" w:rsidR="00615E2D" w:rsidRDefault="00C83E46">
            <w:pPr>
              <w:pStyle w:val="P68B1DB1-Normal28"/>
              <w:spacing w:line="240" w:lineRule="auto"/>
              <w:rPr>
                <w:noProof/>
              </w:rPr>
            </w:pPr>
            <w:r>
              <w:rPr>
                <w:noProof/>
              </w:rPr>
              <w:t>Potrošnja energije i emisije CO2 smanjuju se za 14 500 TJ godišnje odnosno za 500 kt/godišnje do 31. prosinca 2025., što se dokazuje energetskim certifikatima.</w:t>
            </w:r>
          </w:p>
          <w:p w14:paraId="56E0A95E" w14:textId="783B8BC6" w:rsidR="00615E2D" w:rsidRDefault="00C83E46">
            <w:pPr>
              <w:pStyle w:val="P68B1DB1-Normal28"/>
              <w:spacing w:line="240" w:lineRule="auto"/>
              <w:rPr>
                <w:noProof/>
              </w:rPr>
            </w:pPr>
            <w:r>
              <w:rPr>
                <w:noProof/>
              </w:rPr>
              <w:t>Potrošnja energije i emisije CO2 smanjuju se za 430 TJ godišnje odnosno 69 kt/godišnje uz potporu socijalno ugroženih skupina stanovništva do 31. prosinca 2025. Smanjenja se dokazuju energetskim certifikatima.</w:t>
            </w:r>
          </w:p>
          <w:p w14:paraId="03CE6793" w14:textId="77777777" w:rsidR="00615E2D" w:rsidRDefault="00C83E46">
            <w:pPr>
              <w:pStyle w:val="P68B1DB1-Normal28"/>
              <w:spacing w:line="240" w:lineRule="auto"/>
              <w:rPr>
                <w:noProof/>
              </w:rPr>
            </w:pPr>
            <w:r>
              <w:rPr>
                <w:noProof/>
              </w:rPr>
              <w:t>Kad je riječ o biomasi, upotrebom biomase ostvaruju se uštede emisija stakleničkih plinova od najmanje 80 % u odnosu na metodologiju uštede stakleničkih plinova i relativno usporedno fosilno gorivo iz Priloga VI. Direktivi (EU) 2018/2001.</w:t>
            </w:r>
          </w:p>
        </w:tc>
      </w:tr>
      <w:tr w:rsidR="00615E2D" w14:paraId="337D7AB3"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58DA567" w14:textId="77777777" w:rsidR="00615E2D" w:rsidRDefault="00C83E46">
            <w:pPr>
              <w:pStyle w:val="P68B1DB1-Normal28"/>
              <w:spacing w:line="240" w:lineRule="auto"/>
              <w:jc w:val="center"/>
              <w:rPr>
                <w:noProof/>
              </w:rPr>
            </w:pPr>
            <w:r>
              <w:rPr>
                <w:noProof/>
              </w:rPr>
              <w:t>130</w:t>
            </w:r>
          </w:p>
        </w:tc>
        <w:tc>
          <w:tcPr>
            <w:tcW w:w="1319" w:type="dxa"/>
            <w:tcBorders>
              <w:top w:val="single" w:sz="8" w:space="0" w:color="auto"/>
              <w:left w:val="single" w:sz="8" w:space="0" w:color="auto"/>
              <w:bottom w:val="single" w:sz="8" w:space="0" w:color="auto"/>
              <w:right w:val="single" w:sz="8" w:space="0" w:color="auto"/>
            </w:tcBorders>
            <w:shd w:val="clear" w:color="auto" w:fill="C6EFCE"/>
            <w:vAlign w:val="center"/>
          </w:tcPr>
          <w:p w14:paraId="360F3ED4" w14:textId="77777777" w:rsidR="00615E2D" w:rsidRDefault="00C83E46">
            <w:pPr>
              <w:pStyle w:val="P68B1DB1-Normal28"/>
              <w:spacing w:line="240" w:lineRule="auto"/>
              <w:rPr>
                <w:noProof/>
              </w:rPr>
            </w:pPr>
            <w:r>
              <w:rPr>
                <w:noProof/>
              </w:rPr>
              <w:t>Ulaganje 3: Potpora za pripremu i podizanje svijesti prije projekta, obrazovanje, osposobljavanje i informiranje u području uštede energije i smanjenja emisija stakleničkih plinova i drugih onečišćujućih tvari u zraku</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1EA1FC3" w14:textId="77777777" w:rsidR="00615E2D" w:rsidRDefault="00C83E46">
            <w:pPr>
              <w:pStyle w:val="P68B1DB1-Normal28"/>
              <w:spacing w:line="240" w:lineRule="auto"/>
              <w:rPr>
                <w:noProof/>
              </w:rPr>
            </w:pPr>
            <w:r>
              <w:rPr>
                <w:noProof/>
              </w:rPr>
              <w:t>Ciljna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0DD14007" w14:textId="77777777" w:rsidR="00615E2D" w:rsidRDefault="00C83E46">
            <w:pPr>
              <w:pStyle w:val="P68B1DB1-Normal28"/>
              <w:spacing w:line="240" w:lineRule="auto"/>
              <w:rPr>
                <w:noProof/>
              </w:rPr>
            </w:pPr>
            <w:r>
              <w:rPr>
                <w:noProof/>
              </w:rPr>
              <w:t>Pripremni projekti prije projekta, studije, osposobljavanja i energetski projekti zajednice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F920B43"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0C6D518" w14:textId="77777777" w:rsidR="00615E2D" w:rsidRDefault="00C83E46">
            <w:pPr>
              <w:pStyle w:val="P68B1DB1-Normal28"/>
              <w:spacing w:line="240" w:lineRule="auto"/>
              <w:rPr>
                <w:noProof/>
              </w:rPr>
            </w:pPr>
            <w:r>
              <w:rPr>
                <w:noProof/>
              </w:rPr>
              <w:t>Broj projekata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6E9C5B2" w14:textId="77777777"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41521E8C" w14:textId="4D320FAC" w:rsidR="00615E2D" w:rsidRDefault="00C83E46">
            <w:pPr>
              <w:pStyle w:val="P68B1DB1-Normal28"/>
              <w:spacing w:line="240" w:lineRule="auto"/>
              <w:jc w:val="center"/>
              <w:rPr>
                <w:noProof/>
              </w:rPr>
            </w:pPr>
            <w:r>
              <w:rPr>
                <w:noProof/>
              </w:rPr>
              <w:t>4 890</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66AB562" w14:textId="77777777" w:rsidR="00615E2D" w:rsidRDefault="00C83E46">
            <w:pPr>
              <w:pStyle w:val="P68B1DB1-Normal28"/>
              <w:spacing w:line="240" w:lineRule="auto"/>
              <w:jc w:val="center"/>
              <w:rPr>
                <w:noProof/>
              </w:rPr>
            </w:pPr>
            <w:r>
              <w:rPr>
                <w:noProof/>
              </w:rPr>
              <w:t>ČETVRTO TROMJESEČJE</w:t>
            </w:r>
          </w:p>
        </w:tc>
        <w:tc>
          <w:tcPr>
            <w:tcW w:w="665" w:type="dxa"/>
            <w:tcBorders>
              <w:top w:val="single" w:sz="8" w:space="0" w:color="auto"/>
              <w:left w:val="single" w:sz="8" w:space="0" w:color="auto"/>
              <w:bottom w:val="single" w:sz="8" w:space="0" w:color="auto"/>
              <w:right w:val="single" w:sz="8" w:space="0" w:color="auto"/>
            </w:tcBorders>
            <w:shd w:val="clear" w:color="auto" w:fill="C6EFCE"/>
            <w:vAlign w:val="center"/>
          </w:tcPr>
          <w:p w14:paraId="46BD1FE2" w14:textId="77777777" w:rsidR="00615E2D" w:rsidRDefault="00C83E46">
            <w:pPr>
              <w:pStyle w:val="P68B1DB1-Normal28"/>
              <w:spacing w:line="240" w:lineRule="auto"/>
              <w:jc w:val="center"/>
              <w:rPr>
                <w:noProof/>
              </w:rPr>
            </w:pPr>
            <w:r>
              <w:rPr>
                <w:noProof/>
              </w:rPr>
              <w:t>2025</w:t>
            </w:r>
          </w:p>
        </w:tc>
        <w:tc>
          <w:tcPr>
            <w:tcW w:w="5387" w:type="dxa"/>
            <w:tcBorders>
              <w:top w:val="single" w:sz="8" w:space="0" w:color="auto"/>
              <w:left w:val="single" w:sz="8" w:space="0" w:color="auto"/>
              <w:bottom w:val="single" w:sz="8" w:space="0" w:color="auto"/>
              <w:right w:val="single" w:sz="8" w:space="0" w:color="auto"/>
            </w:tcBorders>
            <w:shd w:val="clear" w:color="auto" w:fill="C6EFCE"/>
            <w:vAlign w:val="center"/>
          </w:tcPr>
          <w:p w14:paraId="607CEC2E" w14:textId="77777777" w:rsidR="00615E2D" w:rsidRDefault="00C83E46">
            <w:pPr>
              <w:pStyle w:val="P68B1DB1-Normal28"/>
              <w:spacing w:line="240" w:lineRule="auto"/>
              <w:rPr>
                <w:noProof/>
              </w:rPr>
            </w:pPr>
            <w:r>
              <w:rPr>
                <w:noProof/>
              </w:rPr>
              <w:t>Dovršit će se 4890 projekata, uključujući 40 projekata pripreme energetskih projekata zajednice, 3600 studija za pripremu obiteljskih kuća, 1200 studija za pripremu projekata za stambene zgrade i 50 projekata centara za savjetovanje i informiranje o energiji.</w:t>
            </w:r>
          </w:p>
        </w:tc>
      </w:tr>
    </w:tbl>
    <w:p w14:paraId="7393B25C" w14:textId="77777777" w:rsidR="00615E2D" w:rsidRDefault="00615E2D">
      <w:pPr>
        <w:spacing w:before="0" w:after="200" w:line="276" w:lineRule="auto"/>
        <w:rPr>
          <w:b/>
          <w:smallCaps/>
          <w:noProof/>
        </w:rPr>
        <w:sectPr w:rsidR="00615E2D" w:rsidSect="0078369E">
          <w:headerReference w:type="even" r:id="rId204"/>
          <w:headerReference w:type="default" r:id="rId205"/>
          <w:footerReference w:type="even" r:id="rId206"/>
          <w:footerReference w:type="default" r:id="rId207"/>
          <w:headerReference w:type="first" r:id="rId208"/>
          <w:footerReference w:type="first" r:id="rId209"/>
          <w:pgSz w:w="16839" w:h="11907" w:orient="landscape"/>
          <w:pgMar w:top="1134" w:right="1134" w:bottom="1134" w:left="1134" w:header="567" w:footer="567" w:gutter="0"/>
          <w:cols w:space="720"/>
          <w:docGrid w:linePitch="326"/>
        </w:sectPr>
      </w:pPr>
    </w:p>
    <w:p w14:paraId="042E68D7" w14:textId="423E2A14" w:rsidR="00615E2D" w:rsidRDefault="00C83E46">
      <w:pPr>
        <w:pStyle w:val="P68B1DB1-Normal36"/>
        <w:keepNext/>
        <w:spacing w:before="360" w:line="240" w:lineRule="auto"/>
        <w:ind w:left="850" w:hanging="850"/>
        <w:jc w:val="both"/>
        <w:outlineLvl w:val="0"/>
        <w:rPr>
          <w:noProof/>
          <w:highlight w:val="yellow"/>
        </w:rPr>
      </w:pPr>
      <w:r>
        <w:rPr>
          <w:noProof/>
        </w:rPr>
        <w:t xml:space="preserve">M. SASTAVNI DIO 2.6.: Zaštita prirode i prilagodba klimatskim promjenama </w:t>
      </w:r>
    </w:p>
    <w:p w14:paraId="0378A580"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Ta komponenta češkog plana za oporavak i otpornost pridonosi rješavanju, u skladu sa Strategijom za prilagodbu klimatskim promjenama u Češkoj, izazova koji proizlaze iz klimatskih promjena u sljedećim prioritetnim područjima: gospodarenje šumama, poljoprivreda, vodoopskrbni režim u krajobrazu, upravljanje vodama i bioraznolikost. </w:t>
      </w:r>
    </w:p>
    <w:p w14:paraId="15A3CA6C" w14:textId="5602C76B" w:rsidR="00615E2D" w:rsidRDefault="00C83E46">
      <w:pPr>
        <w:pStyle w:val="P68B1DB1-Normal3"/>
        <w:pBdr>
          <w:top w:val="nil"/>
          <w:left w:val="nil"/>
          <w:bottom w:val="nil"/>
          <w:right w:val="nil"/>
          <w:between w:val="nil"/>
        </w:pBdr>
        <w:spacing w:line="240" w:lineRule="auto"/>
        <w:jc w:val="both"/>
        <w:rPr>
          <w:noProof/>
          <w:color w:val="000000"/>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22B858F1" w14:textId="77777777" w:rsidR="00615E2D" w:rsidRDefault="00615E2D">
      <w:pPr>
        <w:spacing w:line="240" w:lineRule="auto"/>
        <w:jc w:val="both"/>
        <w:rPr>
          <w:noProof/>
        </w:rPr>
      </w:pPr>
    </w:p>
    <w:p w14:paraId="5D21B4F8" w14:textId="10D2102A" w:rsidR="00615E2D" w:rsidRDefault="00C83E46">
      <w:pPr>
        <w:pStyle w:val="P68B1DB1-Normal33"/>
        <w:pBdr>
          <w:top w:val="nil"/>
          <w:left w:val="nil"/>
          <w:bottom w:val="nil"/>
          <w:right w:val="nil"/>
          <w:between w:val="nil"/>
        </w:pBdr>
        <w:spacing w:line="240" w:lineRule="auto"/>
        <w:jc w:val="both"/>
        <w:rPr>
          <w:i/>
          <w:noProof/>
        </w:rPr>
      </w:pPr>
      <w:r>
        <w:rPr>
          <w:noProof/>
        </w:rPr>
        <w:t>M.1. Opis reformi i ulaganja za programe bespovratne financijske potpore</w:t>
      </w:r>
    </w:p>
    <w:p w14:paraId="71287F88"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 xml:space="preserve">Ulaganje 1: Zaštita od poplava </w:t>
      </w:r>
    </w:p>
    <w:p w14:paraId="39B184C2" w14:textId="5F8040BE" w:rsidR="00615E2D" w:rsidRDefault="00C83E46">
      <w:pPr>
        <w:pStyle w:val="P68B1DB1-Normal4"/>
        <w:pBdr>
          <w:top w:val="nil"/>
          <w:left w:val="nil"/>
          <w:bottom w:val="nil"/>
          <w:right w:val="nil"/>
          <w:between w:val="nil"/>
        </w:pBdr>
        <w:spacing w:line="240" w:lineRule="auto"/>
        <w:jc w:val="both"/>
        <w:rPr>
          <w:noProof/>
        </w:rPr>
      </w:pPr>
      <w:r>
        <w:rPr>
          <w:noProof/>
        </w:rPr>
        <w:t xml:space="preserve">Cilj je ove mjere zaštititi naseljena područja od negativnih učinaka poplava, poboljšati zadržavanje vode u krajoliku i olakšati prirodnu obradu postojećih vodnih struktura u izgrađenim područjima. Ulaganjem se podupiru projekti zaštite od poplava (npr. utvrđivanje potencijala za zadržavanje vode; uspostava, obrada i rekonstrukcija poldera i apsorpcija tračnih traka; izgradnja i rekonstrukcija prirodnih spremnika vode; ili druge mjere za usporavanje površinskog otjecanja i smanjenje brzine poplavnih valova). </w:t>
      </w:r>
    </w:p>
    <w:p w14:paraId="6A3EE628" w14:textId="37E733F9" w:rsidR="00615E2D" w:rsidRDefault="00C83E46">
      <w:pPr>
        <w:pStyle w:val="P68B1DB1-Normal4"/>
        <w:pBdr>
          <w:top w:val="nil"/>
          <w:left w:val="nil"/>
          <w:bottom w:val="nil"/>
          <w:right w:val="nil"/>
          <w:between w:val="nil"/>
        </w:pBdr>
        <w:spacing w:line="240" w:lineRule="auto"/>
        <w:jc w:val="both"/>
        <w:rPr>
          <w:noProof/>
        </w:rPr>
      </w:pPr>
      <w:r>
        <w:rPr>
          <w:noProof/>
        </w:rPr>
        <w:t xml:space="preserve">Ulaganje mora biti dovršeno do 31. prosinca 2024. </w:t>
      </w:r>
    </w:p>
    <w:p w14:paraId="0A108B04"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 xml:space="preserve">Ulaganje 2: Mali vodotoci i mali spremnici vode </w:t>
      </w:r>
    </w:p>
    <w:p w14:paraId="37B1BCF2" w14:textId="56409B41" w:rsidR="00615E2D" w:rsidRDefault="00C83E46">
      <w:pPr>
        <w:pStyle w:val="P68B1DB1-Normal3"/>
        <w:pBdr>
          <w:top w:val="nil"/>
          <w:left w:val="nil"/>
          <w:bottom w:val="nil"/>
          <w:right w:val="nil"/>
          <w:between w:val="nil"/>
        </w:pBdr>
        <w:spacing w:line="240" w:lineRule="auto"/>
        <w:jc w:val="both"/>
        <w:rPr>
          <w:noProof/>
          <w:color w:val="000000"/>
        </w:rPr>
      </w:pPr>
      <w:r>
        <w:rPr>
          <w:noProof/>
          <w:color w:val="000000"/>
        </w:rPr>
        <w:t xml:space="preserve">Cilj je mjere znatno poboljšanje morfološkog stanja postojećih malih vodotoka i malih spremnika vode, revitalizacije malih vodotoka i izgradnje novih malih ribnjaka u blizini prirode. Pridonosi zadržavanju vode </w:t>
      </w:r>
      <w:r>
        <w:rPr>
          <w:noProof/>
        </w:rPr>
        <w:t xml:space="preserve">i </w:t>
      </w:r>
      <w:r>
        <w:rPr>
          <w:noProof/>
          <w:color w:val="000000"/>
        </w:rPr>
        <w:t>povećava</w:t>
      </w:r>
      <w:r>
        <w:rPr>
          <w:noProof/>
        </w:rPr>
        <w:t xml:space="preserve"> </w:t>
      </w:r>
      <w:r>
        <w:rPr>
          <w:noProof/>
          <w:color w:val="000000"/>
        </w:rPr>
        <w:t>razvoj obalne vegetacije i zadržavanje vode u vodotocima. To dovodi i</w:t>
      </w:r>
      <w:r>
        <w:rPr>
          <w:noProof/>
        </w:rPr>
        <w:t xml:space="preserve"> </w:t>
      </w:r>
      <w:r>
        <w:rPr>
          <w:noProof/>
          <w:color w:val="000000"/>
        </w:rPr>
        <w:t xml:space="preserve">do veće sigurnosti u slučaju protoka u gradovima i općinama. </w:t>
      </w:r>
    </w:p>
    <w:p w14:paraId="38AA5500"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Ulaganje mora biti dovršeno do 31. prosinca 2023. </w:t>
      </w:r>
    </w:p>
    <w:p w14:paraId="798BA69B" w14:textId="77777777" w:rsidR="00615E2D" w:rsidRDefault="00C83E46">
      <w:pPr>
        <w:pStyle w:val="P68B1DB1-Normal3"/>
        <w:pBdr>
          <w:top w:val="nil"/>
          <w:left w:val="nil"/>
          <w:bottom w:val="nil"/>
          <w:right w:val="nil"/>
          <w:between w:val="nil"/>
        </w:pBdr>
        <w:spacing w:line="240" w:lineRule="auto"/>
        <w:jc w:val="both"/>
        <w:rPr>
          <w:b/>
          <w:noProof/>
          <w:color w:val="000000"/>
        </w:rPr>
      </w:pPr>
      <w:r>
        <w:rPr>
          <w:b/>
          <w:noProof/>
          <w:color w:val="000000"/>
        </w:rPr>
        <w:t>Ulaganje 3</w:t>
      </w:r>
      <w:r>
        <w:rPr>
          <w:noProof/>
        </w:rPr>
        <w:t xml:space="preserve">: </w:t>
      </w:r>
      <w:r>
        <w:rPr>
          <w:b/>
          <w:noProof/>
          <w:color w:val="000000"/>
        </w:rPr>
        <w:t>Komasacija zemljišta</w:t>
      </w:r>
    </w:p>
    <w:p w14:paraId="7D837EB1" w14:textId="0790EB7A" w:rsidR="00615E2D" w:rsidRDefault="00C83E46">
      <w:pPr>
        <w:pStyle w:val="P68B1DB1-Normal4"/>
        <w:pBdr>
          <w:top w:val="nil"/>
          <w:left w:val="nil"/>
          <w:bottom w:val="nil"/>
          <w:right w:val="nil"/>
          <w:between w:val="nil"/>
        </w:pBdr>
        <w:spacing w:line="240" w:lineRule="auto"/>
        <w:jc w:val="both"/>
        <w:rPr>
          <w:noProof/>
        </w:rPr>
      </w:pPr>
      <w:r>
        <w:rPr>
          <w:noProof/>
        </w:rPr>
        <w:t xml:space="preserve">Cilj je mjere povećati ekološku stabilnost krajolika i njegovu otpornost na klimatske promjene, promicati bioraznolikost i neproduktivne funkcije krajobraza te zaštititi poljoprivredna zemljišta i vodne resurse. Mjere se temelje na procjeni potencijala za zadržavanje vode u krajoliku i prvenstveno su usmjerene na zaštitu kvalitete i količine tla i vode, dijeljenje velikih parcela poljoprivrednog zemljišta obilježjima krajobraza, provedbu prirodnih mjera protiv erozije (balkovi, dijagonali, rovovi, travne trake) u krajoliku kako bi se uklonili negativni učinci površinskog otjecanja. Mjere za zadržavanje vode uglavnom su usmjerene na projekte kao što su obnova močvarnih područja, revitalizacija vodotoka i stvaranje ribnjaka. To ulaganje uključuje i provedbu mjera zelene infrastrukture kojima se podupire bioraznolikost, kao što su biocentri i biološki koridori. </w:t>
      </w:r>
    </w:p>
    <w:p w14:paraId="38A04C34" w14:textId="5DA65925" w:rsidR="00615E2D" w:rsidRDefault="00C83E46">
      <w:pPr>
        <w:pStyle w:val="P68B1DB1-Normal4"/>
        <w:pBdr>
          <w:top w:val="nil"/>
          <w:left w:val="nil"/>
          <w:bottom w:val="nil"/>
          <w:right w:val="nil"/>
          <w:between w:val="nil"/>
        </w:pBdr>
        <w:spacing w:line="240" w:lineRule="auto"/>
        <w:jc w:val="both"/>
        <w:rPr>
          <w:noProof/>
        </w:rPr>
      </w:pPr>
      <w:r>
        <w:rPr>
          <w:noProof/>
        </w:rPr>
        <w:t xml:space="preserve">Ulaganje mora biti dovršeno do 31. prosinca 2024. </w:t>
      </w:r>
    </w:p>
    <w:p w14:paraId="564E42C0" w14:textId="724D749C" w:rsidR="00615E2D" w:rsidRDefault="00615E2D">
      <w:pPr>
        <w:pBdr>
          <w:top w:val="nil"/>
          <w:left w:val="nil"/>
          <w:bottom w:val="nil"/>
          <w:right w:val="nil"/>
          <w:between w:val="nil"/>
        </w:pBdr>
        <w:spacing w:line="240" w:lineRule="auto"/>
        <w:jc w:val="both"/>
        <w:rPr>
          <w:rFonts w:eastAsia="Times New Roman"/>
          <w:b/>
          <w:noProof/>
          <w:color w:val="000000" w:themeColor="text1"/>
        </w:rPr>
      </w:pPr>
    </w:p>
    <w:p w14:paraId="78984320" w14:textId="77777777" w:rsidR="00615E2D" w:rsidRDefault="00C83E46">
      <w:pPr>
        <w:pStyle w:val="P68B1DB1-Normal3"/>
        <w:pBdr>
          <w:top w:val="nil"/>
          <w:left w:val="nil"/>
          <w:bottom w:val="nil"/>
          <w:right w:val="nil"/>
          <w:between w:val="nil"/>
        </w:pBdr>
        <w:spacing w:line="240" w:lineRule="auto"/>
        <w:jc w:val="both"/>
        <w:rPr>
          <w:noProof/>
          <w:color w:val="000000"/>
        </w:rPr>
      </w:pPr>
      <w:r>
        <w:rPr>
          <w:b/>
          <w:noProof/>
          <w:color w:val="000000"/>
        </w:rPr>
        <w:t>Ulaganje 4</w:t>
      </w:r>
      <w:r>
        <w:rPr>
          <w:noProof/>
        </w:rPr>
        <w:t xml:space="preserve">: </w:t>
      </w:r>
      <w:r>
        <w:rPr>
          <w:b/>
          <w:noProof/>
          <w:color w:val="000000"/>
        </w:rPr>
        <w:t>Izgradnja šuma otpornih na klimatske promjene</w:t>
      </w:r>
    </w:p>
    <w:p w14:paraId="04541379" w14:textId="3EF17D20" w:rsidR="00615E2D" w:rsidRDefault="00C83E46">
      <w:pPr>
        <w:pStyle w:val="P68B1DB1-Normal4"/>
        <w:pBdr>
          <w:top w:val="nil"/>
          <w:left w:val="nil"/>
          <w:bottom w:val="nil"/>
          <w:right w:val="nil"/>
          <w:between w:val="nil"/>
        </w:pBdr>
        <w:spacing w:line="240" w:lineRule="auto"/>
        <w:jc w:val="both"/>
        <w:rPr>
          <w:noProof/>
        </w:rPr>
      </w:pPr>
      <w:r>
        <w:rPr>
          <w:noProof/>
        </w:rPr>
        <w:t xml:space="preserve">Cilj je ove mjere obnoviti stabilnu šumu sadnjom autohtonih i heterogenih vrsta, uz istodobno nastojanje da višegeneracijski i prostorni sastav šume bude otporan na klimatske promjene i u skladu s nacionalnim akcijskim planom za prilagodbu klimatskim promjenama. To se ulaganje dopunjuje izmjenom ministarske uredbe o planiranju gospodarenja šumama, kojom se posebno utire put višegeneracijskim šumama, šumama s više vrsta i otpornim šumama. </w:t>
      </w:r>
    </w:p>
    <w:p w14:paraId="287BAB5A"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Ulaganje mora biti dovršeno do 30. rujna 2024. </w:t>
      </w:r>
    </w:p>
    <w:p w14:paraId="2B695D7C" w14:textId="77777777" w:rsidR="00615E2D" w:rsidRDefault="00C83E46">
      <w:pPr>
        <w:pStyle w:val="P68B1DB1-Normal3"/>
        <w:pBdr>
          <w:top w:val="nil"/>
          <w:left w:val="nil"/>
          <w:bottom w:val="nil"/>
          <w:right w:val="nil"/>
          <w:between w:val="nil"/>
        </w:pBdr>
        <w:spacing w:line="240" w:lineRule="auto"/>
        <w:jc w:val="both"/>
        <w:rPr>
          <w:b/>
          <w:noProof/>
          <w:color w:val="000000"/>
        </w:rPr>
      </w:pPr>
      <w:r>
        <w:rPr>
          <w:b/>
          <w:noProof/>
          <w:color w:val="000000"/>
        </w:rPr>
        <w:t>Ulaganje 5</w:t>
      </w:r>
      <w:r>
        <w:rPr>
          <w:noProof/>
        </w:rPr>
        <w:t xml:space="preserve">: </w:t>
      </w:r>
      <w:r>
        <w:rPr>
          <w:b/>
          <w:noProof/>
          <w:color w:val="000000"/>
        </w:rPr>
        <w:t>Zadržavanje vode u šumama</w:t>
      </w:r>
    </w:p>
    <w:p w14:paraId="043423F5" w14:textId="7F97F68C" w:rsidR="00615E2D" w:rsidRDefault="00C83E46">
      <w:pPr>
        <w:pStyle w:val="P68B1DB1-Normal4"/>
        <w:pBdr>
          <w:top w:val="nil"/>
          <w:left w:val="nil"/>
          <w:bottom w:val="nil"/>
          <w:right w:val="nil"/>
          <w:between w:val="nil"/>
        </w:pBdr>
        <w:spacing w:line="240" w:lineRule="auto"/>
        <w:jc w:val="both"/>
        <w:rPr>
          <w:noProof/>
        </w:rPr>
      </w:pPr>
      <w:r>
        <w:rPr>
          <w:noProof/>
        </w:rPr>
        <w:t xml:space="preserve">Cilj je ove mjere jačanje kapaciteta za zadržavanje vode u šumama provedbom projekata za poboljšanje tla, vode i mikroklimatskih uvjeta kao što su pročišćavanje šumskih vodotoka, malih spremnika vode u šumama i mjera za prirodno zadržavanje vode usmjerenih na usporavanje otjecanja te praćenjem ubrzane erozije i zaštite slivova. </w:t>
      </w:r>
    </w:p>
    <w:p w14:paraId="5F543389" w14:textId="77777777" w:rsidR="00615E2D" w:rsidRDefault="00C83E46">
      <w:pPr>
        <w:pStyle w:val="P68B1DB1-Normal4"/>
        <w:pBdr>
          <w:top w:val="nil"/>
          <w:left w:val="nil"/>
          <w:bottom w:val="nil"/>
          <w:right w:val="nil"/>
          <w:between w:val="nil"/>
        </w:pBdr>
        <w:spacing w:line="240" w:lineRule="auto"/>
        <w:rPr>
          <w:noProof/>
          <w:u w:val="single"/>
        </w:rPr>
        <w:sectPr w:rsidR="00615E2D" w:rsidSect="00786C7E">
          <w:headerReference w:type="even" r:id="rId210"/>
          <w:headerReference w:type="default" r:id="rId211"/>
          <w:footerReference w:type="even" r:id="rId212"/>
          <w:footerReference w:type="default" r:id="rId213"/>
          <w:headerReference w:type="first" r:id="rId214"/>
          <w:footerReference w:type="first" r:id="rId215"/>
          <w:pgSz w:w="11907" w:h="16839"/>
          <w:pgMar w:top="1134" w:right="1134" w:bottom="1134" w:left="1134" w:header="567" w:footer="567" w:gutter="0"/>
          <w:cols w:space="720"/>
          <w:docGrid w:linePitch="326"/>
        </w:sectPr>
      </w:pPr>
      <w:r>
        <w:rPr>
          <w:noProof/>
        </w:rPr>
        <w:t>Ulaganje mora biti dovršeno do 31. ožujka 2024.</w:t>
      </w:r>
    </w:p>
    <w:p w14:paraId="3C49FE30" w14:textId="2EB43B0E" w:rsidR="00615E2D" w:rsidRDefault="00C83E46">
      <w:pPr>
        <w:pStyle w:val="P68B1DB1-Normal33"/>
        <w:pBdr>
          <w:top w:val="nil"/>
          <w:left w:val="nil"/>
          <w:bottom w:val="nil"/>
          <w:right w:val="nil"/>
          <w:between w:val="nil"/>
        </w:pBdr>
        <w:spacing w:line="240" w:lineRule="auto"/>
        <w:jc w:val="both"/>
        <w:rPr>
          <w:noProof/>
          <w:color w:val="000000"/>
        </w:rPr>
      </w:pPr>
      <w:r>
        <w:rPr>
          <w:noProof/>
        </w:rPr>
        <w:t>M.2. Ključne etape, ciljne vrijednosti i vremenski raspored za praćenje i provedbu programa bespovratne financijske potpore</w:t>
      </w:r>
    </w:p>
    <w:tbl>
      <w:tblPr>
        <w:tblW w:w="14607" w:type="dxa"/>
        <w:jc w:val="center"/>
        <w:tblLayout w:type="fixed"/>
        <w:tblLook w:val="0400" w:firstRow="0" w:lastRow="0" w:firstColumn="0" w:lastColumn="0" w:noHBand="0" w:noVBand="1"/>
      </w:tblPr>
      <w:tblGrid>
        <w:gridCol w:w="662"/>
        <w:gridCol w:w="1162"/>
        <w:gridCol w:w="1106"/>
        <w:gridCol w:w="1373"/>
        <w:gridCol w:w="1100"/>
        <w:gridCol w:w="1051"/>
        <w:gridCol w:w="866"/>
        <w:gridCol w:w="948"/>
        <w:gridCol w:w="948"/>
        <w:gridCol w:w="636"/>
        <w:gridCol w:w="4755"/>
      </w:tblGrid>
      <w:tr w:rsidR="00615E2D" w14:paraId="026051ED" w14:textId="77777777">
        <w:trPr>
          <w:trHeight w:val="945"/>
          <w:tblHeader/>
          <w:jc w:val="center"/>
        </w:trPr>
        <w:tc>
          <w:tcPr>
            <w:tcW w:w="67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DA95518" w14:textId="77777777" w:rsidR="00615E2D" w:rsidRDefault="00C83E46">
            <w:pPr>
              <w:pStyle w:val="P68B1DB1-Normal9"/>
              <w:spacing w:line="240" w:lineRule="auto"/>
              <w:jc w:val="center"/>
              <w:rPr>
                <w:rFonts w:ascii="Calibri" w:hAnsi="Calibri"/>
                <w:noProof/>
              </w:rPr>
            </w:pPr>
            <w:r>
              <w:rPr>
                <w:noProof/>
              </w:rPr>
              <w:t>Sljedeće NUM.</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4327BDE" w14:textId="77777777" w:rsidR="00615E2D" w:rsidRDefault="00C83E46">
            <w:pPr>
              <w:pStyle w:val="P68B1DB1-Normal9"/>
              <w:spacing w:line="240" w:lineRule="auto"/>
              <w:jc w:val="center"/>
              <w:rPr>
                <w:rFonts w:ascii="Calibri" w:hAnsi="Calibri"/>
                <w:noProof/>
              </w:rPr>
            </w:pPr>
            <w:r>
              <w:rPr>
                <w:noProof/>
              </w:rPr>
              <w:t>Povezana mjera (reforma ili ulaganje)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FC6E11D" w14:textId="77777777" w:rsidR="00615E2D" w:rsidRDefault="00C83E46">
            <w:pPr>
              <w:pStyle w:val="P68B1DB1-Normal9"/>
              <w:spacing w:line="240" w:lineRule="auto"/>
              <w:jc w:val="center"/>
              <w:rPr>
                <w:rFonts w:ascii="Calibri" w:hAnsi="Calibri"/>
                <w:noProof/>
              </w:rPr>
            </w:pPr>
            <w:r>
              <w:rPr>
                <w:noProof/>
              </w:rPr>
              <w:t>Ključna etapa/ciljna vrijednost</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0BB72434" w14:textId="77777777" w:rsidR="00615E2D" w:rsidRDefault="00C83E46">
            <w:pPr>
              <w:pStyle w:val="P68B1DB1-Normal9"/>
              <w:spacing w:line="240" w:lineRule="auto"/>
              <w:jc w:val="center"/>
              <w:rPr>
                <w:rFonts w:ascii="Calibri" w:hAnsi="Calibri"/>
                <w:noProof/>
              </w:rPr>
            </w:pPr>
            <w:r>
              <w:rPr>
                <w:noProof/>
              </w:rPr>
              <w:t>Ime</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0BF48C60" w14:textId="77777777" w:rsidR="00615E2D" w:rsidRDefault="00C83E46">
            <w:pPr>
              <w:pStyle w:val="P68B1DB1-Normal12"/>
              <w:spacing w:line="240" w:lineRule="auto"/>
              <w:jc w:val="center"/>
              <w:rPr>
                <w:rFonts w:ascii="Calibri" w:hAnsi="Calibri"/>
                <w:noProof/>
              </w:rPr>
            </w:pPr>
            <w:r>
              <w:rPr>
                <w:rFonts w:eastAsia="Times New Roman"/>
                <w:b/>
                <w:noProof/>
              </w:rPr>
              <w:t>Kvalitativni pokazatelji</w:t>
            </w:r>
            <w:r>
              <w:rPr>
                <w:rFonts w:ascii="Calibri" w:hAnsi="Calibri"/>
                <w:noProof/>
              </w:rPr>
              <w:br/>
            </w:r>
            <w:r>
              <w:rPr>
                <w:rFonts w:eastAsia="Times New Roman"/>
                <w:b/>
                <w:noProof/>
              </w:rPr>
              <w:t>(za ključne etape)</w:t>
            </w:r>
          </w:p>
        </w:tc>
        <w:tc>
          <w:tcPr>
            <w:tcW w:w="1743"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BDD7EE"/>
            <w:vAlign w:val="center"/>
          </w:tcPr>
          <w:p w14:paraId="3FB9FC2B" w14:textId="77777777" w:rsidR="00615E2D" w:rsidRDefault="00C83E46">
            <w:pPr>
              <w:pStyle w:val="P68B1DB1-Normal12"/>
              <w:spacing w:line="240" w:lineRule="auto"/>
              <w:jc w:val="center"/>
              <w:rPr>
                <w:rFonts w:ascii="Calibri" w:hAnsi="Calibri"/>
                <w:noProof/>
              </w:rPr>
            </w:pPr>
            <w:r>
              <w:rPr>
                <w:rFonts w:eastAsia="Times New Roman"/>
                <w:b/>
                <w:noProof/>
              </w:rPr>
              <w:t>Kvantitativni pokazatelji</w:t>
            </w:r>
            <w:r>
              <w:rPr>
                <w:rFonts w:ascii="Calibri" w:hAnsi="Calibri"/>
                <w:noProof/>
              </w:rPr>
              <w:br/>
            </w:r>
            <w:r>
              <w:rPr>
                <w:rFonts w:eastAsia="Times New Roman"/>
                <w:b/>
                <w:noProof/>
              </w:rPr>
              <w:t>(za ciljeve)</w:t>
            </w:r>
          </w:p>
        </w:tc>
        <w:tc>
          <w:tcPr>
            <w:tcW w:w="2591" w:type="dxa"/>
            <w:gridSpan w:val="3"/>
            <w:tcBorders>
              <w:top w:val="single" w:sz="8" w:space="0" w:color="000000" w:themeColor="text1"/>
              <w:left w:val="nil"/>
              <w:bottom w:val="single" w:sz="8" w:space="0" w:color="000000" w:themeColor="text1"/>
              <w:right w:val="single" w:sz="4" w:space="0" w:color="auto"/>
            </w:tcBorders>
            <w:shd w:val="clear" w:color="auto" w:fill="BDD7EE"/>
            <w:vAlign w:val="center"/>
          </w:tcPr>
          <w:p w14:paraId="5D0BC76D" w14:textId="77777777" w:rsidR="00615E2D" w:rsidRDefault="00C83E46">
            <w:pPr>
              <w:pStyle w:val="P68B1DB1-Normal9"/>
              <w:spacing w:line="240" w:lineRule="auto"/>
              <w:jc w:val="center"/>
              <w:rPr>
                <w:rFonts w:ascii="Calibri" w:hAnsi="Calibri"/>
                <w:noProof/>
              </w:rPr>
            </w:pPr>
            <w:r>
              <w:rPr>
                <w:noProof/>
              </w:rPr>
              <w:t xml:space="preserve">Okvirni vremenski okvir za dovršetak </w:t>
            </w:r>
          </w:p>
        </w:tc>
        <w:tc>
          <w:tcPr>
            <w:tcW w:w="4898"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7EE7737" w14:textId="77777777" w:rsidR="00615E2D" w:rsidRDefault="00C83E46">
            <w:pPr>
              <w:pStyle w:val="P68B1DB1-Normal9"/>
              <w:spacing w:line="240" w:lineRule="auto"/>
              <w:jc w:val="center"/>
              <w:rPr>
                <w:rFonts w:ascii="Calibri" w:hAnsi="Calibri"/>
                <w:noProof/>
              </w:rPr>
            </w:pPr>
            <w:r>
              <w:rPr>
                <w:noProof/>
              </w:rPr>
              <w:t>Opis svake ključne etape i ciljne vrijednosti</w:t>
            </w:r>
          </w:p>
        </w:tc>
      </w:tr>
      <w:tr w:rsidR="00615E2D" w14:paraId="07C932EF" w14:textId="77777777">
        <w:trPr>
          <w:trHeight w:val="90"/>
          <w:tblHeader/>
          <w:jc w:val="center"/>
        </w:trPr>
        <w:tc>
          <w:tcPr>
            <w:tcW w:w="674" w:type="dxa"/>
            <w:vMerge/>
            <w:tcBorders>
              <w:top w:val="single" w:sz="4" w:space="0" w:color="auto"/>
              <w:left w:val="single" w:sz="4" w:space="0" w:color="auto"/>
              <w:bottom w:val="single" w:sz="4" w:space="0" w:color="auto"/>
              <w:right w:val="single" w:sz="4" w:space="0" w:color="auto"/>
            </w:tcBorders>
            <w:vAlign w:val="center"/>
          </w:tcPr>
          <w:p w14:paraId="44339583" w14:textId="77777777" w:rsidR="00615E2D" w:rsidRDefault="00615E2D">
            <w:pPr>
              <w:spacing w:line="240" w:lineRule="auto"/>
              <w:rPr>
                <w:rFonts w:ascii="Calibri" w:hAnsi="Calibri"/>
                <w:noProof/>
                <w:sz w:val="18"/>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09FBA713" w14:textId="77777777" w:rsidR="00615E2D" w:rsidRDefault="00615E2D">
            <w:pPr>
              <w:spacing w:line="240" w:lineRule="auto"/>
              <w:rPr>
                <w:rFonts w:ascii="Calibri" w:hAnsi="Calibri"/>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6453E46" w14:textId="77777777" w:rsidR="00615E2D" w:rsidRDefault="00615E2D">
            <w:pPr>
              <w:spacing w:line="240" w:lineRule="auto"/>
              <w:rPr>
                <w:rFonts w:ascii="Calibri" w:hAnsi="Calibri"/>
                <w:noProof/>
                <w:sz w:val="18"/>
              </w:rPr>
            </w:pPr>
          </w:p>
        </w:tc>
        <w:tc>
          <w:tcPr>
            <w:tcW w:w="1409" w:type="dxa"/>
            <w:vMerge/>
            <w:tcBorders>
              <w:top w:val="single" w:sz="4" w:space="0" w:color="auto"/>
              <w:left w:val="single" w:sz="4" w:space="0" w:color="auto"/>
              <w:bottom w:val="single" w:sz="4" w:space="0" w:color="auto"/>
              <w:right w:val="single" w:sz="4" w:space="0" w:color="auto"/>
            </w:tcBorders>
            <w:vAlign w:val="center"/>
          </w:tcPr>
          <w:p w14:paraId="7972CA02" w14:textId="77777777" w:rsidR="00615E2D" w:rsidRDefault="00615E2D">
            <w:pPr>
              <w:spacing w:line="240" w:lineRule="auto"/>
              <w:rPr>
                <w:rFonts w:ascii="Calibri" w:hAnsi="Calibri"/>
                <w:noProof/>
                <w:sz w:val="18"/>
              </w:rPr>
            </w:pPr>
          </w:p>
        </w:tc>
        <w:tc>
          <w:tcPr>
            <w:tcW w:w="1127" w:type="dxa"/>
            <w:vMerge/>
            <w:tcBorders>
              <w:top w:val="single" w:sz="4" w:space="0" w:color="auto"/>
              <w:left w:val="single" w:sz="4" w:space="0" w:color="auto"/>
              <w:bottom w:val="single" w:sz="4" w:space="0" w:color="auto"/>
              <w:right w:val="single" w:sz="4" w:space="0" w:color="auto"/>
            </w:tcBorders>
            <w:vAlign w:val="center"/>
          </w:tcPr>
          <w:p w14:paraId="43BCB2FA" w14:textId="77777777" w:rsidR="00615E2D" w:rsidRDefault="00615E2D">
            <w:pPr>
              <w:spacing w:line="240" w:lineRule="auto"/>
              <w:rPr>
                <w:rFonts w:ascii="Calibri" w:hAnsi="Calibri"/>
                <w:noProof/>
                <w:sz w:val="18"/>
              </w:rPr>
            </w:pPr>
          </w:p>
        </w:tc>
        <w:tc>
          <w:tcPr>
            <w:tcW w:w="107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BDD7EE"/>
            <w:vAlign w:val="center"/>
          </w:tcPr>
          <w:p w14:paraId="392AEB3A" w14:textId="77777777" w:rsidR="00615E2D" w:rsidRDefault="00C83E46">
            <w:pPr>
              <w:pStyle w:val="P68B1DB1-Normal9"/>
              <w:spacing w:line="240" w:lineRule="auto"/>
              <w:jc w:val="center"/>
              <w:rPr>
                <w:rFonts w:ascii="Calibri" w:hAnsi="Calibri"/>
                <w:noProof/>
              </w:rPr>
            </w:pPr>
            <w:r>
              <w:rPr>
                <w:noProof/>
              </w:rPr>
              <w:t>Jedinica mjere</w:t>
            </w:r>
          </w:p>
        </w:tc>
        <w:tc>
          <w:tcPr>
            <w:tcW w:w="886"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3E8ED1B5" w14:textId="77777777" w:rsidR="00615E2D" w:rsidRDefault="00C83E46">
            <w:pPr>
              <w:pStyle w:val="P68B1DB1-Normal9"/>
              <w:spacing w:line="240" w:lineRule="auto"/>
              <w:jc w:val="center"/>
              <w:rPr>
                <w:rFonts w:ascii="Calibri" w:hAnsi="Calibri"/>
                <w:noProof/>
              </w:rPr>
            </w:pPr>
            <w:r>
              <w:rPr>
                <w:noProof/>
              </w:rPr>
              <w:t xml:space="preserve">Osnovna vrijednost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080FEB18" w14:textId="77777777" w:rsidR="00615E2D" w:rsidRDefault="00C83E46">
            <w:pPr>
              <w:pStyle w:val="P68B1DB1-Normal9"/>
              <w:spacing w:line="240" w:lineRule="auto"/>
              <w:jc w:val="center"/>
              <w:rPr>
                <w:rFonts w:ascii="Calibri" w:hAnsi="Calibri"/>
                <w:noProof/>
              </w:rPr>
            </w:pPr>
            <w:r>
              <w:rPr>
                <w:noProof/>
              </w:rPr>
              <w:t xml:space="preserve">Cilj </w:t>
            </w:r>
          </w:p>
        </w:tc>
        <w:tc>
          <w:tcPr>
            <w:tcW w:w="971"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65BA9F21" w14:textId="77777777" w:rsidR="00615E2D" w:rsidRDefault="00C83E46">
            <w:pPr>
              <w:pStyle w:val="P68B1DB1-Normal9"/>
              <w:spacing w:line="240" w:lineRule="auto"/>
              <w:jc w:val="center"/>
              <w:rPr>
                <w:rFonts w:ascii="Calibri" w:hAnsi="Calibri"/>
                <w:noProof/>
              </w:rPr>
            </w:pPr>
            <w:r>
              <w:rPr>
                <w:noProof/>
              </w:rPr>
              <w:t>Tromjesečje</w:t>
            </w:r>
          </w:p>
        </w:tc>
        <w:tc>
          <w:tcPr>
            <w:tcW w:w="649" w:type="dxa"/>
            <w:tcBorders>
              <w:top w:val="nil"/>
              <w:left w:val="single" w:sz="8" w:space="0" w:color="000000" w:themeColor="text1"/>
              <w:bottom w:val="single" w:sz="8" w:space="0" w:color="000000" w:themeColor="text1"/>
              <w:right w:val="single" w:sz="4" w:space="0" w:color="auto"/>
            </w:tcBorders>
            <w:shd w:val="clear" w:color="auto" w:fill="BDD7EE"/>
            <w:vAlign w:val="center"/>
          </w:tcPr>
          <w:p w14:paraId="4377A3A8" w14:textId="77777777" w:rsidR="00615E2D" w:rsidRDefault="00C83E46">
            <w:pPr>
              <w:pStyle w:val="P68B1DB1-Normal9"/>
              <w:spacing w:line="240" w:lineRule="auto"/>
              <w:jc w:val="center"/>
              <w:rPr>
                <w:rFonts w:ascii="Calibri" w:hAnsi="Calibri"/>
                <w:noProof/>
              </w:rPr>
            </w:pPr>
            <w:r>
              <w:rPr>
                <w:noProof/>
              </w:rPr>
              <w:t>Godina</w:t>
            </w:r>
          </w:p>
        </w:tc>
        <w:tc>
          <w:tcPr>
            <w:tcW w:w="4898" w:type="dxa"/>
            <w:vMerge/>
            <w:tcBorders>
              <w:bottom w:val="single" w:sz="4" w:space="0" w:color="auto"/>
              <w:right w:val="single" w:sz="4" w:space="0" w:color="auto"/>
            </w:tcBorders>
            <w:vAlign w:val="center"/>
          </w:tcPr>
          <w:p w14:paraId="5FCE48BC" w14:textId="77777777" w:rsidR="00615E2D" w:rsidRDefault="00615E2D">
            <w:pPr>
              <w:spacing w:line="240" w:lineRule="auto"/>
              <w:rPr>
                <w:rFonts w:ascii="Calibri" w:hAnsi="Calibri"/>
                <w:noProof/>
                <w:sz w:val="18"/>
              </w:rPr>
            </w:pPr>
          </w:p>
        </w:tc>
      </w:tr>
      <w:tr w:rsidR="00615E2D" w14:paraId="475E17BF" w14:textId="77777777">
        <w:trPr>
          <w:trHeight w:val="315"/>
          <w:jc w:val="center"/>
        </w:trPr>
        <w:tc>
          <w:tcPr>
            <w:tcW w:w="67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4CB3BE1C" w14:textId="77777777" w:rsidR="00615E2D" w:rsidRDefault="00C83E46">
            <w:pPr>
              <w:pStyle w:val="P68B1DB1-Normal15"/>
              <w:spacing w:line="240" w:lineRule="auto"/>
              <w:rPr>
                <w:noProof/>
              </w:rPr>
            </w:pPr>
            <w:r>
              <w:rPr>
                <w:noProof/>
              </w:rPr>
              <w:t xml:space="preserve"> 131</w:t>
            </w:r>
          </w:p>
        </w:tc>
        <w:tc>
          <w:tcPr>
            <w:tcW w:w="119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2691165C" w14:textId="77777777" w:rsidR="00615E2D" w:rsidRDefault="00C83E46">
            <w:pPr>
              <w:pStyle w:val="P68B1DB1-Normal15"/>
              <w:spacing w:line="240" w:lineRule="auto"/>
              <w:rPr>
                <w:noProof/>
              </w:rPr>
            </w:pPr>
            <w:r>
              <w:rPr>
                <w:noProof/>
              </w:rPr>
              <w:t>Ulaganje 1: Zaštita od poplava</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27138743" w14:textId="77777777" w:rsidR="00615E2D" w:rsidRDefault="00C83E46">
            <w:pPr>
              <w:pStyle w:val="P68B1DB1-Normal15"/>
              <w:spacing w:line="240" w:lineRule="auto"/>
              <w:rPr>
                <w:noProof/>
              </w:rPr>
            </w:pPr>
            <w:r>
              <w:rPr>
                <w:noProof/>
              </w:rPr>
              <w:t>Prekretnica</w:t>
            </w:r>
          </w:p>
        </w:tc>
        <w:tc>
          <w:tcPr>
            <w:tcW w:w="140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3338E5E4" w14:textId="77777777" w:rsidR="00615E2D" w:rsidRDefault="00C83E46">
            <w:pPr>
              <w:pStyle w:val="P68B1DB1-Normal15"/>
              <w:spacing w:line="240" w:lineRule="auto"/>
              <w:rPr>
                <w:noProof/>
              </w:rPr>
            </w:pPr>
            <w:r>
              <w:rPr>
                <w:noProof/>
              </w:rPr>
              <w:t>Obavijest o dodjeli ugovora o zaštiti od poplava</w:t>
            </w:r>
          </w:p>
        </w:tc>
        <w:tc>
          <w:tcPr>
            <w:tcW w:w="112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28D8196C" w14:textId="77777777" w:rsidR="00615E2D" w:rsidRDefault="00C83E46">
            <w:pPr>
              <w:pStyle w:val="P68B1DB1-Normal15"/>
              <w:spacing w:line="240" w:lineRule="auto"/>
              <w:rPr>
                <w:noProof/>
              </w:rPr>
            </w:pPr>
            <w:r>
              <w:rPr>
                <w:noProof/>
              </w:rPr>
              <w:t>Obavijest o dodijeljenim projektima i ponuditeljima s kojima je sklopljen ugovor od strane [naziv upravljačkog tijela]</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554038D" w14:textId="77777777" w:rsidR="00615E2D" w:rsidRDefault="00C83E46">
            <w:pPr>
              <w:pStyle w:val="P68B1DB1-Normal15"/>
              <w:spacing w:line="240" w:lineRule="auto"/>
              <w:rPr>
                <w:noProof/>
              </w:rPr>
            </w:pPr>
            <w:r>
              <w:rPr>
                <w:noProof/>
              </w:rPr>
              <w:t xml:space="preserve"> </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318FE5C" w14:textId="77777777" w:rsidR="00615E2D" w:rsidRDefault="00C83E46">
            <w:pPr>
              <w:pStyle w:val="P68B1DB1-Normal15"/>
              <w:spacing w:line="240" w:lineRule="auto"/>
              <w:rPr>
                <w:noProof/>
              </w:rPr>
            </w:pPr>
            <w:r>
              <w:rPr>
                <w:noProof/>
              </w:rPr>
              <w:t xml:space="preserve">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0E2C37F" w14:textId="77777777" w:rsidR="00615E2D" w:rsidRDefault="00C83E46">
            <w:pPr>
              <w:pStyle w:val="P68B1DB1-Normal15"/>
              <w:spacing w:line="240" w:lineRule="auto"/>
              <w:rPr>
                <w:noProof/>
              </w:rPr>
            </w:pPr>
            <w:r>
              <w:rPr>
                <w:noProof/>
              </w:rPr>
              <w:t xml:space="preserve">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672C232" w14:textId="77777777" w:rsidR="00615E2D" w:rsidRDefault="00C83E46">
            <w:pPr>
              <w:pStyle w:val="P68B1DB1-Normal15"/>
              <w:spacing w:line="259" w:lineRule="auto"/>
              <w:rPr>
                <w:noProof/>
              </w:rPr>
            </w:pPr>
            <w:r>
              <w:rPr>
                <w:noProof/>
              </w:rPr>
              <w:t>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B90C7AA" w14:textId="77777777" w:rsidR="00615E2D" w:rsidRDefault="00C83E46">
            <w:pPr>
              <w:pStyle w:val="P68B1DB1-Normal15"/>
              <w:spacing w:line="240" w:lineRule="auto"/>
              <w:rPr>
                <w:noProof/>
              </w:rPr>
            </w:pPr>
            <w:r>
              <w:rPr>
                <w:noProof/>
              </w:rPr>
              <w:t xml:space="preserve">2022 </w:t>
            </w:r>
          </w:p>
        </w:tc>
        <w:tc>
          <w:tcPr>
            <w:tcW w:w="489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3C4893E2" w14:textId="77777777" w:rsidR="00615E2D" w:rsidRDefault="00C83E46">
            <w:pPr>
              <w:pStyle w:val="P68B1DB1-Normal15"/>
              <w:spacing w:line="240" w:lineRule="auto"/>
              <w:jc w:val="both"/>
              <w:rPr>
                <w:noProof/>
              </w:rPr>
            </w:pPr>
            <w:r>
              <w:rPr>
                <w:noProof/>
              </w:rPr>
              <w:t xml:space="preserve">Obavijest o dodijeljenim projektima zaštite od poplava (ukupan broj projekata: 40). Za svaki projekt osigurava se i dokazuje potpuna usklađenost sa zahtjevima Okvirne direktive o vodama prije početka građevinskih radova. </w:t>
            </w:r>
          </w:p>
        </w:tc>
      </w:tr>
      <w:tr w:rsidR="00615E2D" w14:paraId="4E9DD06D" w14:textId="77777777">
        <w:trPr>
          <w:trHeight w:val="671"/>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FC1E1A2" w14:textId="77777777" w:rsidR="00615E2D" w:rsidRDefault="00C83E46">
            <w:pPr>
              <w:pStyle w:val="P68B1DB1-Normal15"/>
              <w:spacing w:line="240" w:lineRule="auto"/>
              <w:rPr>
                <w:noProof/>
              </w:rPr>
            </w:pPr>
            <w:r>
              <w:rPr>
                <w:noProof/>
              </w:rPr>
              <w:t>132</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BFA0F98" w14:textId="77777777" w:rsidR="00615E2D" w:rsidRDefault="00C83E46">
            <w:pPr>
              <w:pStyle w:val="P68B1DB1-Normal15"/>
              <w:spacing w:line="240" w:lineRule="auto"/>
              <w:rPr>
                <w:noProof/>
              </w:rPr>
            </w:pPr>
            <w:r>
              <w:rPr>
                <w:noProof/>
              </w:rPr>
              <w:t>Ulaganje 1: Zaštita od poplava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350AEA" w14:textId="77777777" w:rsidR="00615E2D" w:rsidRDefault="00C83E46">
            <w:pPr>
              <w:pStyle w:val="P68B1DB1-Normal15"/>
              <w:spacing w:line="240" w:lineRule="auto"/>
              <w:rPr>
                <w:noProof/>
              </w:rPr>
            </w:pPr>
            <w:r>
              <w:rPr>
                <w:noProof/>
              </w:rPr>
              <w:t>Ciljna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F0A4E6" w14:textId="13609591" w:rsidR="00615E2D" w:rsidRDefault="00C83E46">
            <w:pPr>
              <w:pStyle w:val="P68B1DB1-Normal15"/>
              <w:spacing w:line="240" w:lineRule="auto"/>
              <w:rPr>
                <w:noProof/>
              </w:rPr>
            </w:pPr>
            <w:r>
              <w:rPr>
                <w:noProof/>
              </w:rPr>
              <w:t>T1: Završetak 15 projekata usmjerenih na uspostavu otporne zaštite od poplava.</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F2E8FE" w14:textId="77777777" w:rsidR="00615E2D" w:rsidRDefault="00615E2D">
            <w:pPr>
              <w:spacing w:line="240" w:lineRule="auto"/>
              <w:rPr>
                <w:rFonts w:eastAsia="Times New Roman"/>
                <w:noProof/>
                <w:color w:val="0043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E11F29" w14:textId="77777777" w:rsidR="00615E2D" w:rsidRDefault="00C83E46">
            <w:pPr>
              <w:pStyle w:val="P68B1DB1-Normal15"/>
              <w:spacing w:line="240" w:lineRule="auto"/>
              <w:rPr>
                <w:noProof/>
              </w:rPr>
            </w:pPr>
            <w:r>
              <w:rPr>
                <w:noProof/>
              </w:rPr>
              <w:t>Broj projekata</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27514ED" w14:textId="77777777" w:rsidR="00615E2D" w:rsidRDefault="00C83E46">
            <w:pPr>
              <w:pStyle w:val="P68B1DB1-Normal15"/>
              <w:spacing w:line="240" w:lineRule="auto"/>
              <w:rPr>
                <w:noProof/>
              </w:rPr>
            </w:pPr>
            <w:r>
              <w:rPr>
                <w:noProof/>
              </w:rPr>
              <w:t xml:space="preserve"> 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B0A84E" w14:textId="03DA583E" w:rsidR="00615E2D" w:rsidRDefault="00C83E46">
            <w:pPr>
              <w:pStyle w:val="P68B1DB1-Normal15"/>
              <w:spacing w:line="240" w:lineRule="auto"/>
              <w:rPr>
                <w:noProof/>
              </w:rPr>
            </w:pPr>
            <w:r>
              <w:rPr>
                <w:noProof/>
              </w:rPr>
              <w:t xml:space="preserve"> 15</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4359ADE" w14:textId="77777777" w:rsidR="00615E2D" w:rsidRDefault="00C83E46">
            <w:pPr>
              <w:pStyle w:val="P68B1DB1-Normal15"/>
              <w:spacing w:line="240" w:lineRule="auto"/>
              <w:rPr>
                <w:noProof/>
              </w:rPr>
            </w:pPr>
            <w:r>
              <w:rPr>
                <w:noProof/>
              </w:rPr>
              <w:t>ČETVRTO 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7830B05" w14:textId="6A77EDE8" w:rsidR="00615E2D" w:rsidRDefault="00C83E46">
            <w:pPr>
              <w:pStyle w:val="P68B1DB1-Normal15"/>
              <w:spacing w:line="240" w:lineRule="auto"/>
              <w:rPr>
                <w:noProof/>
              </w:rPr>
            </w:pPr>
            <w:r>
              <w:rPr>
                <w:noProof/>
              </w:rPr>
              <w:t xml:space="preserve">2022 </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94A8686" w14:textId="6F058261" w:rsidR="00615E2D" w:rsidRDefault="00C83E46">
            <w:pPr>
              <w:pStyle w:val="P68B1DB1-Normal15"/>
              <w:spacing w:line="240" w:lineRule="auto"/>
              <w:jc w:val="both"/>
              <w:rPr>
                <w:noProof/>
              </w:rPr>
            </w:pPr>
            <w:r>
              <w:rPr>
                <w:noProof/>
              </w:rPr>
              <w:t>Prvo izvješće neovisnog inženjera za 15 navedenih projekata. U skladu s Nacionalnim akcijskim planom za prilagodbu klimatskim promjenama i državnom politikom okoliša u Češkoj do 2030. za 2050. prednost se daje prirodnim rješenjima, a izgradnja i/ili obnova umjetne infrastrukture za zaštitu od poplava na bazi betona moraju se izbjegavati u najvećoj mogućoj mjeri.</w:t>
            </w:r>
          </w:p>
          <w:p w14:paraId="7B1795FF" w14:textId="25E8A757" w:rsidR="00615E2D" w:rsidRDefault="00C83E46">
            <w:pPr>
              <w:pStyle w:val="P68B1DB1-Normal15"/>
              <w:spacing w:line="240" w:lineRule="auto"/>
              <w:jc w:val="both"/>
              <w:rPr>
                <w:noProof/>
              </w:rPr>
            </w:pPr>
            <w:r>
              <w:rPr>
                <w:noProof/>
              </w:rPr>
              <w:t xml:space="preserve">Navedeni projekti provode se tek nakon što relevantno tijelo nadležno za vode izda dozvole na temelju procjene utjecaja na okoliš, ako se to zahtijeva u skladu s Direktivom 2011/92/EU, i relevantnih procjena u kontekstu Direktive 2000/60/EZ. Tim se dozvolama procjenjuju svi mogući utjecaji na stanje vodnih tijela u istom riječnom slivu i na zaštićena staništa i vrste koji izravno ovise o vodi, posebno uzimajući u obzir migracijske koridore, rijeke slobodnog toka ili ekosustave u blizini nenarušenih uvjeta, kao i trenutačne pritiske povezane s zahvaćanjem vode. Procjenom učinka utvrđuje se da projekt i. ne utječe znatno ili nepovratno na zahvaćena vodna tijela niti sprečava da određeno vodno tijelo na koje se projekt odnosi ili druga vodna tijela u istom riječnom slivu postigne dobro stanje ili potencijal te ii. da ne utječe znatno negativno na zaštićena staništa i vrste koje izravno ovise o vodi. Projekti doprinose postizanju dobrog ekološkog stanja ili potencijala predmetnih vodnih tijela u skladu sa zahtjevima Okvirne direktive o vodama 2000/60/EZ. </w:t>
            </w:r>
          </w:p>
          <w:p w14:paraId="52E2573D" w14:textId="636C9C6E" w:rsidR="00615E2D" w:rsidRDefault="00C83E46">
            <w:pPr>
              <w:pStyle w:val="P68B1DB1-Normal15"/>
              <w:spacing w:line="240" w:lineRule="auto"/>
              <w:jc w:val="both"/>
              <w:rPr>
                <w:noProof/>
              </w:rPr>
            </w:pPr>
            <w:r>
              <w:rPr>
                <w:noProof/>
              </w:rPr>
              <w:t xml:space="preserve">Slično tome, moraju se poštovati svi potrebni rezultati i uvjeti iz procjene utjecaja na okoliš dovršene u skladu s Direktivom 2011/92/EU (posebno savjetovanje s dionicima), kao i relevantne procjene u skladu s Direktivom o staništima, kako su uključene u uvjete koje su propisala tijela za zaštitu prirode. </w:t>
            </w:r>
          </w:p>
          <w:p w14:paraId="5039A5E3" w14:textId="749BB35B" w:rsidR="00615E2D" w:rsidRDefault="00C83E46">
            <w:pPr>
              <w:pStyle w:val="P68B1DB1-Normal15"/>
              <w:spacing w:line="240" w:lineRule="auto"/>
              <w:jc w:val="both"/>
              <w:rPr>
                <w:noProof/>
              </w:rPr>
            </w:pPr>
            <w:r>
              <w:rPr>
                <w:noProof/>
              </w:rPr>
              <w:t>Kad je riječ o projektima čiji je cilj obnova ili modernizacija brana: projekt mora sadržavati potrebne rezultate i uvjete iz procjene utjecaja na okoliš, koja se dovršava u skladu s Direktivom 2011/92/EU, kao i relevantne procjene u kontekstu Direktive 2000/60/EZ, uključujući provedbu potrebnih mjera ublažavanja, čime se osigurava usklađenost s Tehničkim smjernicama o primjeni načela nenanošenja bitne štete (2021/C58/01). Sve mjere utvrđene u okviru procjene utjecaja na okoliš i procjene u skladu s Direktivom 2000/60/EZ koje su potrebne kako bi se osigurala usklađenost s načelom nenanošenja bitne štete uključuju se u projekt i strogo se poštuju u fazama izgradnje, rada i stavljanja infrastrukture izvan pogona. U izvješću o dovršetku potvrđuje se potpuno poštovanje ishoda procjene utjecaja na okoliš, uključujući provedbu potrebnih mjera ublažavanja, čime se osigurava usklađenost s Tehničkim smjernicama o primjeni načela nenanošenja bitne štete (2021/C58/01). Provodi se analiza rizika projekta. Ta analiza rizika obuhvaća i buduće klimatske uvjete. Rekonstrukcija ili modernizacija ne smije dovesti do povećanja kapaciteta brane.</w:t>
            </w:r>
          </w:p>
        </w:tc>
      </w:tr>
      <w:tr w:rsidR="00615E2D" w14:paraId="6BDED56E" w14:textId="77777777">
        <w:trPr>
          <w:trHeight w:val="109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51D312" w14:textId="77777777" w:rsidR="00615E2D" w:rsidRDefault="00C83E46">
            <w:pPr>
              <w:pStyle w:val="P68B1DB1-Normal15"/>
              <w:spacing w:line="240" w:lineRule="auto"/>
              <w:rPr>
                <w:noProof/>
              </w:rPr>
            </w:pPr>
            <w:r>
              <w:rPr>
                <w:noProof/>
              </w:rPr>
              <w:t xml:space="preserve"> 133</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91B1B7A" w14:textId="77777777" w:rsidR="00615E2D" w:rsidRDefault="00C83E46">
            <w:pPr>
              <w:pStyle w:val="P68B1DB1-Normal15"/>
              <w:spacing w:line="240" w:lineRule="auto"/>
              <w:rPr>
                <w:noProof/>
              </w:rPr>
            </w:pPr>
            <w:r>
              <w:rPr>
                <w:noProof/>
              </w:rPr>
              <w:t>Ulaganje 1: Zaštita od poplava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F9EB2A" w14:textId="77777777" w:rsidR="00615E2D" w:rsidRDefault="00C83E46">
            <w:pPr>
              <w:pStyle w:val="P68B1DB1-Normal15"/>
              <w:spacing w:line="240" w:lineRule="auto"/>
              <w:rPr>
                <w:noProof/>
              </w:rPr>
            </w:pPr>
            <w:r>
              <w:rPr>
                <w:noProof/>
              </w:rPr>
              <w:t xml:space="preserve">Ciljna </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1BF8DEA" w14:textId="74C7B808" w:rsidR="00615E2D" w:rsidRDefault="00C83E46">
            <w:pPr>
              <w:pStyle w:val="P68B1DB1-Normal15"/>
              <w:spacing w:line="240" w:lineRule="auto"/>
              <w:rPr>
                <w:noProof/>
              </w:rPr>
            </w:pPr>
            <w:r>
              <w:rPr>
                <w:noProof/>
              </w:rPr>
              <w:t xml:space="preserve">T2: Završetak dodatnih 23 projekta čiji je cilj uspostaviti otpornu zaštitu od poplava. </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CB413CF" w14:textId="77777777" w:rsidR="00615E2D" w:rsidRDefault="00615E2D">
            <w:pPr>
              <w:spacing w:line="240" w:lineRule="auto"/>
              <w:rPr>
                <w:rFonts w:eastAsia="Times New Roman"/>
                <w:noProof/>
                <w:color w:val="0043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368E92F" w14:textId="77777777" w:rsidR="00615E2D" w:rsidRDefault="00C83E46">
            <w:pPr>
              <w:pStyle w:val="P68B1DB1-Normal15"/>
              <w:spacing w:line="257" w:lineRule="auto"/>
              <w:rPr>
                <w:noProof/>
              </w:rPr>
            </w:pPr>
            <w:r>
              <w:rPr>
                <w:noProof/>
              </w:rPr>
              <w:t xml:space="preserve"> Broj projekata </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AC662A8" w14:textId="73CA5BC6" w:rsidR="00615E2D" w:rsidRDefault="00C83E46">
            <w:pPr>
              <w:pStyle w:val="P68B1DB1-Normal15"/>
              <w:spacing w:line="240" w:lineRule="auto"/>
              <w:rPr>
                <w:noProof/>
              </w:rPr>
            </w:pPr>
            <w:r>
              <w:rPr>
                <w:noProof/>
              </w:rPr>
              <w:t xml:space="preserve">15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7C36B71" w14:textId="352FB943" w:rsidR="00615E2D" w:rsidRDefault="00C83E46">
            <w:pPr>
              <w:pStyle w:val="P68B1DB1-Normal15"/>
              <w:spacing w:line="240" w:lineRule="auto"/>
              <w:rPr>
                <w:noProof/>
              </w:rPr>
            </w:pPr>
            <w:r>
              <w:rPr>
                <w:noProof/>
              </w:rPr>
              <w:t xml:space="preserve"> 38</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EFDD8E5" w14:textId="77777777" w:rsidR="00615E2D" w:rsidRDefault="00C83E46">
            <w:pPr>
              <w:pStyle w:val="P68B1DB1-Normal15"/>
              <w:spacing w:line="240" w:lineRule="auto"/>
              <w:rPr>
                <w:noProof/>
              </w:rPr>
            </w:pPr>
            <w:r>
              <w:rPr>
                <w:noProof/>
              </w:rPr>
              <w:t>ČETVRTO 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B769300" w14:textId="02E2FC69" w:rsidR="00615E2D" w:rsidRDefault="00C83E46">
            <w:pPr>
              <w:pStyle w:val="P68B1DB1-Normal15"/>
              <w:spacing w:line="240" w:lineRule="auto"/>
              <w:rPr>
                <w:noProof/>
              </w:rPr>
            </w:pPr>
            <w:r>
              <w:rPr>
                <w:noProof/>
              </w:rPr>
              <w:t>2024</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F21741" w14:textId="20CB8B5D" w:rsidR="00615E2D" w:rsidRDefault="00C83E46">
            <w:pPr>
              <w:pStyle w:val="P68B1DB1-Normal15"/>
              <w:spacing w:line="240" w:lineRule="auto"/>
              <w:jc w:val="both"/>
              <w:rPr>
                <w:noProof/>
              </w:rPr>
            </w:pPr>
            <w:r>
              <w:rPr>
                <w:noProof/>
              </w:rPr>
              <w:t>Drugo izvješće neovisnog inženjera o dovršetku za dodatna 23 navedena projekta. U skladu s Nacionalnim akcijskim planom za prilagodbu klimatskim promjenama i državnom politikom okoliša u Češkoj do 2030. za 2050. prednost se daje prirodnim rješenjima, a izgradnja i/ili obnova umjetne infrastrukture za zaštitu od poplava na bazi betona moraju se izbjegavati u najvećoj mogućoj mjeri.</w:t>
            </w:r>
          </w:p>
          <w:p w14:paraId="0872F18F" w14:textId="4068ACF4" w:rsidR="00615E2D" w:rsidRDefault="00C83E46">
            <w:pPr>
              <w:pStyle w:val="P68B1DB1-Normal15"/>
              <w:spacing w:line="240" w:lineRule="auto"/>
              <w:jc w:val="both"/>
              <w:rPr>
                <w:noProof/>
              </w:rPr>
            </w:pPr>
            <w:r>
              <w:rPr>
                <w:noProof/>
              </w:rPr>
              <w:t>Navedeni projekti provode se tek nakon što relevantno tijelo nadležno za vode izda dozvole na temelju procjene utjecaja na okoliš, ako je to potrebno u skladu s Direktivom 2011/92/EU, i relevantnih procjena u kontekstu Direktive 2000/60/EZ. Tim se dozvolama procjenjuju svi mogući utjecaji na stanje vodnih tijela u istom riječnom slivu i na zaštićena staništa i vrste koje izravno ovise o vodi, posebno uzimajući u obzir migracijske koridore, rijeke slobodnog toka ili ekosustave blizu nenarušenih uvjeta, kao i trenutačne pritiske povezane s zahvaćanjem vode. Procjena utjecaja mora utvrditi da projekt i. ne utječe znatno ili nepovratno na zahvaćena vodna tijela niti sprečava određeno vodno tijelo na koje se odnosi ili druga vodna tijela u istom riječnom slivu da postignu dobro stanje ili potencijal te ii. da ne utječe znatno negativno na zaštićena staništa i vrste koje izravno ovise o vodi. Projekti doprinose postizanju dobrog ekološkog stanja ili potencijala predmetnih vodnih tijela u skladu sa zahtjevima Okvirne direktive o vodama 2000/60/EZ.</w:t>
            </w:r>
          </w:p>
          <w:p w14:paraId="3CA99F5D" w14:textId="0ABFD0C1" w:rsidR="00615E2D" w:rsidRDefault="00C83E46">
            <w:pPr>
              <w:pStyle w:val="P68B1DB1-Normal15"/>
              <w:spacing w:line="240" w:lineRule="auto"/>
              <w:jc w:val="both"/>
              <w:rPr>
                <w:noProof/>
              </w:rPr>
            </w:pPr>
            <w:r>
              <w:rPr>
                <w:noProof/>
              </w:rPr>
              <w:t xml:space="preserve">Slično tome, moraju se poštovati svi potrebni rezultati i uvjeti iz procjene utjecaja na okoliš, dovršene u skladu s Direktivom 2011/92/EU (posebno savjetovanje s dionicima), kao i relevantne procjene u skladu s Direktivom o staništima, kako su uključene u uvjete koje su propisala tijela za zaštitu prirode. </w:t>
            </w:r>
          </w:p>
          <w:p w14:paraId="52539743" w14:textId="7BB833DB" w:rsidR="00615E2D" w:rsidRDefault="00C83E46">
            <w:pPr>
              <w:pStyle w:val="P68B1DB1-Normal15"/>
              <w:spacing w:line="240" w:lineRule="auto"/>
              <w:jc w:val="both"/>
              <w:rPr>
                <w:noProof/>
              </w:rPr>
            </w:pPr>
            <w:r>
              <w:rPr>
                <w:noProof/>
              </w:rPr>
              <w:t>Kad je riječ o projektima čiji je cilj obnova ili modernizacija brana: projekt mora sadržavati potrebne rezultate i uvjete iz procjene utjecaja na okoliš, koja se dovršava u skladu s Direktivom 2011/92/EU, kao i relevantne procjene u kontekstu Direktive 2000/60/EZ, uključujući provedbu potrebnih mjera ublažavanja, čime se osigurava usklađenost s Tehničkim smjernicama o primjeni načela nenanošenja bitne štete (2021/C58/01). Sve mjere utvrđene u okviru procjene utjecaja na okoliš i procjene u skladu s Direktivom 2000/60/EZ koje su potrebne kako bi se osigurala usklađenost s načelom nenanošenja bitne štete uključuju se u projekt i strogo se poštuju u fazama izgradnje, rada i stavljanja infrastrukture izvan pogona. U izvješću o dovršetku potvrđuje se potpuno poštovanje ishoda procjene utjecaja na okoliš, uključujući provedbu potrebnih mjera ublažavanja, čime se osigurava usklađenost s Tehničkim smjernicama o primjeni načela nenanošenja bitne štete (2021/C58/01). Provodi se analiza rizika projekta. Ta analiza rizika obuhvaća i buduće klimatske uvjete. Rekonstrukcija ili modernizacija ne smije dovesti do povećanja kapaciteta brane.</w:t>
            </w:r>
          </w:p>
        </w:tc>
      </w:tr>
      <w:tr w:rsidR="00615E2D" w14:paraId="092A7CDC" w14:textId="77777777">
        <w:trPr>
          <w:trHeight w:val="109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AED2F9" w14:textId="77777777" w:rsidR="00615E2D" w:rsidRDefault="00C83E46">
            <w:pPr>
              <w:pStyle w:val="P68B1DB1-Normal15"/>
              <w:spacing w:line="240" w:lineRule="auto"/>
              <w:rPr>
                <w:noProof/>
              </w:rPr>
            </w:pPr>
            <w:r>
              <w:rPr>
                <w:noProof/>
              </w:rPr>
              <w:t>134</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3E07797" w14:textId="77777777" w:rsidR="00615E2D" w:rsidRDefault="00C83E46">
            <w:pPr>
              <w:pStyle w:val="P68B1DB1-Normal15"/>
              <w:spacing w:line="240" w:lineRule="auto"/>
              <w:rPr>
                <w:noProof/>
              </w:rPr>
            </w:pPr>
            <w:r>
              <w:rPr>
                <w:noProof/>
              </w:rPr>
              <w:t>Ulaganje 2: Mali vodotoci i spremnici vode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558D398" w14:textId="77777777" w:rsidR="00615E2D" w:rsidRDefault="00C83E46">
            <w:pPr>
              <w:pStyle w:val="P68B1DB1-Normal15"/>
              <w:spacing w:line="240" w:lineRule="auto"/>
              <w:rPr>
                <w:noProof/>
              </w:rPr>
            </w:pPr>
            <w:r>
              <w:rPr>
                <w:noProof/>
              </w:rPr>
              <w:t>Prekretnica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BBA2BE3" w14:textId="77777777" w:rsidR="00615E2D" w:rsidRDefault="00C83E46">
            <w:pPr>
              <w:pStyle w:val="P68B1DB1-Normal15"/>
              <w:spacing w:line="240" w:lineRule="auto"/>
              <w:rPr>
                <w:noProof/>
              </w:rPr>
            </w:pPr>
            <w:r>
              <w:rPr>
                <w:noProof/>
              </w:rPr>
              <w:t>Ministarstvo poljoprivrede dostavilo je popis projekata koji će dobiti potporu u okviru ulaganja 2</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03269BF" w14:textId="77777777" w:rsidR="00615E2D" w:rsidRDefault="00C83E46">
            <w:pPr>
              <w:pStyle w:val="P68B1DB1-Normal15"/>
              <w:spacing w:line="240" w:lineRule="auto"/>
              <w:rPr>
                <w:noProof/>
              </w:rPr>
            </w:pPr>
            <w:r>
              <w:rPr>
                <w:noProof/>
              </w:rPr>
              <w:t xml:space="preserve">Podnošenje popisa projekata kojima će se pružiti potpora u okviru ulaganja 2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90FACC3" w14:textId="77777777" w:rsidR="00615E2D" w:rsidRDefault="00C83E46">
            <w:pPr>
              <w:pStyle w:val="P68B1DB1-Normal15"/>
              <w:spacing w:line="257" w:lineRule="auto"/>
              <w:rPr>
                <w:noProof/>
              </w:rPr>
            </w:pPr>
            <w:r>
              <w:rPr>
                <w:noProof/>
              </w:rPr>
              <w:t xml:space="preserve"> </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638FBA" w14:textId="77777777" w:rsidR="00615E2D" w:rsidRDefault="00C83E46">
            <w:pPr>
              <w:pStyle w:val="P68B1DB1-Normal15"/>
              <w:spacing w:line="240" w:lineRule="auto"/>
              <w:rPr>
                <w:noProof/>
              </w:rPr>
            </w:pPr>
            <w:r>
              <w:rPr>
                <w:noProof/>
              </w:rPr>
              <w:t xml:space="preserve">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B8DB913" w14:textId="77777777" w:rsidR="00615E2D" w:rsidRDefault="00C83E46">
            <w:pPr>
              <w:pStyle w:val="P68B1DB1-Normal15"/>
              <w:spacing w:line="240" w:lineRule="auto"/>
              <w:rPr>
                <w:noProof/>
              </w:rPr>
            </w:pPr>
            <w:r>
              <w:rPr>
                <w:noProof/>
              </w:rPr>
              <w:t xml:space="preserve">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701D3F6" w14:textId="77777777" w:rsidR="00615E2D" w:rsidRDefault="00C83E46">
            <w:pPr>
              <w:pStyle w:val="P68B1DB1-Normal15"/>
              <w:spacing w:line="240" w:lineRule="auto"/>
              <w:rPr>
                <w:noProof/>
              </w:rPr>
            </w:pPr>
            <w:r>
              <w:rPr>
                <w:noProof/>
              </w:rPr>
              <w:t>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C2D57D5" w14:textId="77777777" w:rsidR="00615E2D" w:rsidRDefault="00C83E46">
            <w:pPr>
              <w:pStyle w:val="P68B1DB1-Normal15"/>
              <w:spacing w:line="240" w:lineRule="auto"/>
              <w:rPr>
                <w:noProof/>
              </w:rPr>
            </w:pPr>
            <w:r>
              <w:rPr>
                <w:noProof/>
              </w:rPr>
              <w:t>2021</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28F93EA" w14:textId="77777777" w:rsidR="00615E2D" w:rsidRDefault="00C83E46">
            <w:pPr>
              <w:pStyle w:val="P68B1DB1-Normal15"/>
              <w:spacing w:line="240" w:lineRule="auto"/>
              <w:jc w:val="both"/>
              <w:rPr>
                <w:noProof/>
              </w:rPr>
            </w:pPr>
            <w:r>
              <w:rPr>
                <w:noProof/>
              </w:rPr>
              <w:t xml:space="preserve">Ministarstvo poljoprivrede dostavlja Komisiji bazu podataka s opisom projekata, kratkim opisom i rokovima za dovršetak. Projekti se sastoje od izgradnje i rekonstrukcije malih spremnika vode u cijeloj Češkoj Republici. Projekti projekata uključuju potrebne rezultate i uvjete iz procjene utjecaja na okoliš, koja se dovršava u skladu s Direktivom 2011/92/EU, kao i relevantne procjene u kontekstu Direktive 2000/60/EZ i Direktive Vijeća 92/43/EE. </w:t>
            </w:r>
          </w:p>
        </w:tc>
      </w:tr>
      <w:tr w:rsidR="00615E2D" w14:paraId="7CD80070" w14:textId="77777777">
        <w:trPr>
          <w:trHeight w:val="109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E04B959" w14:textId="77777777" w:rsidR="00615E2D" w:rsidRDefault="00C83E46">
            <w:pPr>
              <w:pStyle w:val="P68B1DB1-Normal15"/>
              <w:spacing w:line="240" w:lineRule="auto"/>
              <w:rPr>
                <w:noProof/>
              </w:rPr>
            </w:pPr>
            <w:r>
              <w:rPr>
                <w:noProof/>
              </w:rPr>
              <w:t>135</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647525D" w14:textId="77777777" w:rsidR="00615E2D" w:rsidRDefault="00C83E46">
            <w:pPr>
              <w:pStyle w:val="P68B1DB1-Normal15"/>
              <w:spacing w:line="240" w:lineRule="auto"/>
              <w:rPr>
                <w:noProof/>
              </w:rPr>
            </w:pPr>
            <w:r>
              <w:rPr>
                <w:noProof/>
              </w:rPr>
              <w:t>Ulaganje 2: Mali vodotoci i spremnici vode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2F9B1F" w14:textId="77777777" w:rsidR="00615E2D" w:rsidRDefault="00C83E46">
            <w:pPr>
              <w:pStyle w:val="P68B1DB1-Normal15"/>
              <w:spacing w:line="240" w:lineRule="auto"/>
              <w:rPr>
                <w:noProof/>
              </w:rPr>
            </w:pPr>
            <w:r>
              <w:rPr>
                <w:noProof/>
              </w:rPr>
              <w:t xml:space="preserve">Ciljna </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25EA5DE" w14:textId="77777777" w:rsidR="00615E2D" w:rsidRDefault="00C83E46">
            <w:pPr>
              <w:pStyle w:val="P68B1DB1-Normal15"/>
              <w:spacing w:line="240" w:lineRule="auto"/>
              <w:rPr>
                <w:noProof/>
              </w:rPr>
            </w:pPr>
            <w:r>
              <w:rPr>
                <w:noProof/>
              </w:rPr>
              <w:t xml:space="preserve">T1: Završetak 50 % projekata malih vodotoka i spremnika vode </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0DF292" w14:textId="77777777" w:rsidR="00615E2D" w:rsidRDefault="00615E2D">
            <w:pPr>
              <w:spacing w:line="240" w:lineRule="auto"/>
              <w:rPr>
                <w:rFonts w:eastAsia="Times New Roman"/>
                <w:noProof/>
                <w:color w:val="0043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61F7202" w14:textId="77777777" w:rsidR="00615E2D" w:rsidRDefault="00C83E46">
            <w:pPr>
              <w:pStyle w:val="P68B1DB1-Normal15"/>
              <w:spacing w:line="257" w:lineRule="auto"/>
              <w:rPr>
                <w:noProof/>
              </w:rPr>
            </w:pPr>
            <w:r>
              <w:rPr>
                <w:noProof/>
              </w:rPr>
              <w:t xml:space="preserve"> Broj projekata </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F656C38" w14:textId="77777777" w:rsidR="00615E2D" w:rsidRDefault="00C83E46">
            <w:pPr>
              <w:pStyle w:val="P68B1DB1-Normal15"/>
              <w:spacing w:line="240" w:lineRule="auto"/>
              <w:rPr>
                <w:noProof/>
              </w:rPr>
            </w:pPr>
            <w:r>
              <w:rPr>
                <w:noProof/>
              </w:rPr>
              <w:t xml:space="preserve"> 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0F55F19" w14:textId="77777777" w:rsidR="00615E2D" w:rsidRDefault="00C83E46">
            <w:pPr>
              <w:pStyle w:val="P68B1DB1-Normal15"/>
              <w:spacing w:line="240" w:lineRule="auto"/>
              <w:rPr>
                <w:noProof/>
              </w:rPr>
            </w:pPr>
            <w:r>
              <w:rPr>
                <w:noProof/>
              </w:rPr>
              <w:t xml:space="preserve"> 450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04E0D80" w14:textId="77777777" w:rsidR="00615E2D" w:rsidRDefault="00C83E46">
            <w:pPr>
              <w:pStyle w:val="P68B1DB1-Normal15"/>
              <w:spacing w:line="240" w:lineRule="auto"/>
              <w:rPr>
                <w:noProof/>
              </w:rPr>
            </w:pPr>
            <w:r>
              <w:rPr>
                <w:noProof/>
              </w:rPr>
              <w:t>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D68A74D" w14:textId="77777777" w:rsidR="00615E2D" w:rsidRDefault="00C83E46">
            <w:pPr>
              <w:pStyle w:val="P68B1DB1-Normal15"/>
              <w:spacing w:line="240" w:lineRule="auto"/>
              <w:rPr>
                <w:noProof/>
              </w:rPr>
            </w:pPr>
            <w:r>
              <w:rPr>
                <w:noProof/>
              </w:rPr>
              <w:t>2022</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2E71537" w14:textId="77777777" w:rsidR="00615E2D" w:rsidRDefault="00C83E46">
            <w:pPr>
              <w:pStyle w:val="P68B1DB1-Normal15"/>
              <w:spacing w:line="240" w:lineRule="auto"/>
              <w:jc w:val="both"/>
              <w:rPr>
                <w:noProof/>
              </w:rPr>
            </w:pPr>
            <w:r>
              <w:rPr>
                <w:noProof/>
              </w:rPr>
              <w:t>Izvješće neovisnog inženjera za 50 % projekata. U skladu s Nacionalnim akcijskim planom za prilagodbu klimatskim promjenama i državnom politikom okoliša u Češkoj do 2030. za 2050. prednost se daje prirodnim rješenjima, a izgradnja i/ili obnova umjetne infrastrukture za zaštitu od poplava na bazi betona moraju se izbjegavati u najvećoj mogućoj mjeri.</w:t>
            </w:r>
          </w:p>
          <w:p w14:paraId="2625D837" w14:textId="0EC873D7" w:rsidR="00615E2D" w:rsidRDefault="00C83E46">
            <w:pPr>
              <w:pStyle w:val="P68B1DB1-Normal15"/>
              <w:spacing w:line="240" w:lineRule="auto"/>
              <w:jc w:val="both"/>
              <w:rPr>
                <w:noProof/>
              </w:rPr>
            </w:pPr>
            <w:r>
              <w:rPr>
                <w:noProof/>
              </w:rPr>
              <w:t>Projekti se provode tek nakon što relevantno vodno tijelo izda dozvole na temelju procjene utjecaja na okoliš i relevantnih procjena u kontekstu Direktive 2000/60/EZ. Tim se dozvolama procjenjuju svi mogući utjecaji na stanje vodnih tijela u istom riječnom slivu i na zaštićena staništa i vrste koje izravno ovise o vodi, posebno uzimajući u obzir migracijske koridore, rijeke slobodnog toka ili ekosustave blizu nenarušenih uvjeta, kao i trenutačne pritiske povezane s zahvaćanjem vode. Procjena utjecaja mora utvrditi da projekt i. ne utječe znatno ili nepovratno na zahvaćena vodna tijela niti sprečava određeno vodno tijelo na koje se odnosi ili druga vodna tijela u istom riječnom slivu da postignu dobro stanje ili potencijal te ii. da ne utječe znatno negativno na zaštićena staništa i vrste koje izravno ovise o vodi. Postignuto je dobro ekološko stanje/potencijal relevantnih vodnih tijela u skladu sa zahtjevima Okvirne direktive o vodama 2000/60/EZ, što dokazuju najnoviji relevantni popratni podaci.</w:t>
            </w:r>
          </w:p>
          <w:p w14:paraId="14E48BED" w14:textId="77777777" w:rsidR="00615E2D" w:rsidRDefault="00C83E46">
            <w:pPr>
              <w:pStyle w:val="P68B1DB1-Normal15"/>
              <w:spacing w:line="240" w:lineRule="auto"/>
              <w:jc w:val="both"/>
              <w:rPr>
                <w:noProof/>
              </w:rPr>
            </w:pPr>
            <w:r>
              <w:rPr>
                <w:noProof/>
              </w:rPr>
              <w:t xml:space="preserve">Slično tome, moraju se poštovati svi potrebni rezultati i uvjeti iz procjene utjecaja na okoliš, koja se dovršava u skladu s Direktivom 2011/92/EU (posebno savjetovanje s dionicima), kao i relevantne procjene u skladu s Direktivom o staništima kako su uključene u uvjete koje su propisala tijela za zaštitu prirode. </w:t>
            </w:r>
          </w:p>
          <w:p w14:paraId="1ED8C3B0" w14:textId="77777777" w:rsidR="00615E2D" w:rsidRDefault="00C83E46">
            <w:pPr>
              <w:pStyle w:val="P68B1DB1-Normal15"/>
              <w:spacing w:line="240" w:lineRule="auto"/>
              <w:jc w:val="both"/>
              <w:rPr>
                <w:noProof/>
              </w:rPr>
            </w:pPr>
            <w:r>
              <w:rPr>
                <w:noProof/>
              </w:rPr>
              <w:t xml:space="preserve"> Ako su akumulacije vode namijenjene za navodnjavanje, ne podupire se proširenje postojećeg sustava navodnjavanja (uključujući povećanom uporabom vode, tj. ne samo fizičkim širenjem), čak i učinkovitijim metodama, ako su predmetna vodna tijela (površinske ili podzemne vode) u manjem stanju ili potencijalu (u kontekstu jačanja klimatskih promjena). </w:t>
            </w:r>
          </w:p>
        </w:tc>
      </w:tr>
      <w:tr w:rsidR="00615E2D" w14:paraId="39ED8763" w14:textId="77777777">
        <w:trPr>
          <w:trHeight w:val="109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595D029" w14:textId="77777777" w:rsidR="00615E2D" w:rsidRDefault="00C83E46">
            <w:pPr>
              <w:pStyle w:val="P68B1DB1-Normal15"/>
              <w:spacing w:line="240" w:lineRule="auto"/>
              <w:rPr>
                <w:noProof/>
              </w:rPr>
            </w:pPr>
            <w:r>
              <w:rPr>
                <w:noProof/>
              </w:rPr>
              <w:t>136</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5F77F4" w14:textId="77777777" w:rsidR="00615E2D" w:rsidRDefault="00C83E46">
            <w:pPr>
              <w:pStyle w:val="P68B1DB1-Normal15"/>
              <w:spacing w:line="240" w:lineRule="auto"/>
              <w:rPr>
                <w:noProof/>
              </w:rPr>
            </w:pPr>
            <w:r>
              <w:rPr>
                <w:noProof/>
              </w:rPr>
              <w:t xml:space="preserve">Ulaganje 2: Mali vodotoci i spremnici vode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C89BB48" w14:textId="77777777" w:rsidR="00615E2D" w:rsidRDefault="00C83E46">
            <w:pPr>
              <w:pStyle w:val="P68B1DB1-Normal15"/>
              <w:spacing w:line="240" w:lineRule="auto"/>
              <w:rPr>
                <w:noProof/>
              </w:rPr>
            </w:pPr>
            <w:r>
              <w:rPr>
                <w:noProof/>
              </w:rPr>
              <w:t>Ciljna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E2ABB8" w14:textId="77777777" w:rsidR="00615E2D" w:rsidRDefault="00C83E46">
            <w:pPr>
              <w:pStyle w:val="P68B1DB1-Normal15"/>
              <w:spacing w:line="259" w:lineRule="auto"/>
              <w:rPr>
                <w:noProof/>
              </w:rPr>
            </w:pPr>
            <w:r>
              <w:rPr>
                <w:noProof/>
              </w:rPr>
              <w:t xml:space="preserve">T2: Završetak dodatnih 50 % malih vodotoka i spremnika vode </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E2A7B4" w14:textId="77777777" w:rsidR="00615E2D" w:rsidRDefault="00C83E46">
            <w:pPr>
              <w:pStyle w:val="P68B1DB1-Normal15"/>
              <w:spacing w:line="240" w:lineRule="auto"/>
              <w:rPr>
                <w:noProof/>
              </w:rPr>
            </w:pPr>
            <w:r>
              <w:rPr>
                <w:noProof/>
              </w:rPr>
              <w:t xml:space="preserve">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64899F3" w14:textId="77777777" w:rsidR="00615E2D" w:rsidRDefault="00C83E46">
            <w:pPr>
              <w:pStyle w:val="P68B1DB1-Normal15"/>
              <w:spacing w:line="257" w:lineRule="auto"/>
              <w:rPr>
                <w:noProof/>
              </w:rPr>
            </w:pPr>
            <w:r>
              <w:rPr>
                <w:noProof/>
              </w:rPr>
              <w:t xml:space="preserve"> Broj projekata </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A46FF42" w14:textId="77777777" w:rsidR="00615E2D" w:rsidRDefault="00C83E46">
            <w:pPr>
              <w:pStyle w:val="P68B1DB1-Normal15"/>
              <w:spacing w:line="240" w:lineRule="auto"/>
              <w:rPr>
                <w:noProof/>
              </w:rPr>
            </w:pPr>
            <w:r>
              <w:rPr>
                <w:noProof/>
              </w:rPr>
              <w:t xml:space="preserve">450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0BB43BE" w14:textId="77777777" w:rsidR="00615E2D" w:rsidRDefault="00C83E46">
            <w:pPr>
              <w:pStyle w:val="P68B1DB1-Normal15"/>
              <w:spacing w:line="240" w:lineRule="auto"/>
              <w:rPr>
                <w:noProof/>
              </w:rPr>
            </w:pPr>
            <w:r>
              <w:rPr>
                <w:noProof/>
              </w:rPr>
              <w:t xml:space="preserve"> 900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B22B5C8" w14:textId="77777777" w:rsidR="00615E2D" w:rsidRDefault="00C83E46">
            <w:pPr>
              <w:pStyle w:val="P68B1DB1-Normal15"/>
              <w:spacing w:line="240" w:lineRule="auto"/>
              <w:rPr>
                <w:noProof/>
              </w:rPr>
            </w:pPr>
            <w:r>
              <w:rPr>
                <w:noProof/>
              </w:rPr>
              <w:t>ČETVRTO 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DA46065" w14:textId="77777777" w:rsidR="00615E2D" w:rsidRDefault="00C83E46">
            <w:pPr>
              <w:pStyle w:val="P68B1DB1-Normal15"/>
              <w:spacing w:line="240" w:lineRule="auto"/>
              <w:rPr>
                <w:noProof/>
              </w:rPr>
            </w:pPr>
            <w:r>
              <w:rPr>
                <w:noProof/>
              </w:rPr>
              <w:t>2023</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612D902" w14:textId="44E7DBC1" w:rsidR="00615E2D" w:rsidRDefault="00C83E46">
            <w:pPr>
              <w:pStyle w:val="P68B1DB1-Normal15"/>
              <w:spacing w:line="240" w:lineRule="auto"/>
              <w:jc w:val="both"/>
              <w:rPr>
                <w:noProof/>
              </w:rPr>
            </w:pPr>
            <w:r>
              <w:rPr>
                <w:noProof/>
              </w:rPr>
              <w:t>Izvješće neovisnog inženjera kojeg je certificiralo Ministarstvo poljoprivrede za preostalih 50 % projekata. U skladu s Nacionalnim akcijskim planom za prilagodbu klimatskim promjenama i državnom politikom okoliša u Češkoj do 2030. za 2050. prednost se daje prirodnim rješenjima, a izgradnja i/ili obnova umjetne infrastrukture za zaštitu od poplava na bazi betona moraju se izbjegavati u najvećoj mogućoj mjeri.</w:t>
            </w:r>
          </w:p>
          <w:p w14:paraId="0C1C0529" w14:textId="2F69DCFB" w:rsidR="00615E2D" w:rsidRDefault="00C83E46">
            <w:pPr>
              <w:pStyle w:val="P68B1DB1-Normal15"/>
              <w:spacing w:line="240" w:lineRule="auto"/>
              <w:jc w:val="both"/>
              <w:rPr>
                <w:noProof/>
              </w:rPr>
            </w:pPr>
            <w:r>
              <w:rPr>
                <w:noProof/>
              </w:rPr>
              <w:t>Projekti se provode tek nakon što relevantno vodno tijelo izda dozvole na temelju procjene utjecaja na okoliš i relevantnih procjena u kontekstu Direktive 2000/60/EZ. Tim se dozvolama procjenjuju svi mogući utjecaji na stanje vodnih tijela u istom riječnom slivu i na zaštićena staništa i vrste koje izravno ovise o vodi, posebno uzimajući u obzir migracijske koridore, rijeke slobodnog toka ili ekosustave blizu nenarušenih uvjeta, kao i trenutačne pritiske povezane s zahvaćanjem vode. Procjena utjecaja mora utvrditi da projekt i. ne utječe znatno ili nepovratno na zahvaćena vodna tijela niti sprečava određeno vodno tijelo na koje se odnosi ili druga vodna tijela u istom riječnom slivu da postignu dobro stanje ili potencijal te ii. da ne utječe znatno negativno na zaštićena staništa i vrste koje izravno ovise o vodi.  Projekti doprinose postizanju dobrog ekološkog stanja ili potencijala predmetnih vodnih tijela u skladu sa zahtjevima Okvirne direktive o vodama 2000/60/EZ.</w:t>
            </w:r>
          </w:p>
          <w:p w14:paraId="29FEAACC" w14:textId="0B4F480D" w:rsidR="00615E2D" w:rsidRDefault="00C83E46">
            <w:pPr>
              <w:pStyle w:val="P68B1DB1-Normal15"/>
              <w:spacing w:line="240" w:lineRule="auto"/>
              <w:jc w:val="both"/>
              <w:rPr>
                <w:noProof/>
              </w:rPr>
            </w:pPr>
            <w:r>
              <w:rPr>
                <w:noProof/>
              </w:rPr>
              <w:t xml:space="preserve">Slično tome, moraju se poštovati svi potrebni rezultati i uvjeti iz procjene utjecaja na okoliš, dovršene u skladu s Direktivom 2011/92/EU (posebno savjetovanje s dionicima), kao i relevantne procjene u skladu s Direktivom o staništima, kako su uključene u uvjete koje su propisala tijela za zaštitu prirode. </w:t>
            </w:r>
          </w:p>
          <w:p w14:paraId="29EB10BA" w14:textId="77777777" w:rsidR="00615E2D" w:rsidRDefault="00C83E46">
            <w:pPr>
              <w:pStyle w:val="P68B1DB1-Normal15"/>
              <w:spacing w:line="240" w:lineRule="auto"/>
              <w:jc w:val="both"/>
              <w:rPr>
                <w:noProof/>
              </w:rPr>
            </w:pPr>
            <w:r>
              <w:rPr>
                <w:noProof/>
              </w:rPr>
              <w:t xml:space="preserve">Ako su akumulacije vode namijenjene za navodnjavanje, ne podupire se proširenje postojećeg sustava navodnjavanja (uključujući povećanom uporabom vode, tj. ne samo fizičkim širenjem), čak i učinkovitijim metodama, ako su predmetna vodna tijela (površinske ili podzemne vode) u manjem stanju ili potencijalu (u kontekstu jačanja klimatskih promjena). </w:t>
            </w:r>
          </w:p>
        </w:tc>
      </w:tr>
      <w:tr w:rsidR="00615E2D" w14:paraId="24E96F28" w14:textId="77777777">
        <w:trPr>
          <w:trHeight w:val="813"/>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86FB64E" w14:textId="77777777" w:rsidR="00615E2D" w:rsidRDefault="00C83E46">
            <w:pPr>
              <w:pStyle w:val="P68B1DB1-Normal15"/>
              <w:spacing w:line="240" w:lineRule="auto"/>
              <w:rPr>
                <w:noProof/>
              </w:rPr>
            </w:pPr>
            <w:r>
              <w:rPr>
                <w:noProof/>
              </w:rPr>
              <w:t>137</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0B1CA45" w14:textId="77777777" w:rsidR="00615E2D" w:rsidRDefault="00C83E46">
            <w:pPr>
              <w:pStyle w:val="P68B1DB1-Normal15"/>
              <w:spacing w:line="240" w:lineRule="auto"/>
              <w:rPr>
                <w:noProof/>
              </w:rPr>
            </w:pPr>
            <w:r>
              <w:rPr>
                <w:noProof/>
              </w:rPr>
              <w:t xml:space="preserve"> </w:t>
            </w:r>
          </w:p>
          <w:p w14:paraId="5FA97D2D" w14:textId="77777777" w:rsidR="00615E2D" w:rsidRDefault="00C83E46">
            <w:pPr>
              <w:pStyle w:val="P68B1DB1-Normal15"/>
              <w:spacing w:line="240" w:lineRule="auto"/>
              <w:rPr>
                <w:noProof/>
              </w:rPr>
            </w:pPr>
            <w:r>
              <w:rPr>
                <w:noProof/>
              </w:rPr>
              <w:t xml:space="preserve">Ulaganje 3: Komasacija zemljišta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340576" w14:textId="77777777" w:rsidR="00615E2D" w:rsidRDefault="00C83E46">
            <w:pPr>
              <w:pStyle w:val="P68B1DB1-Normal15"/>
              <w:spacing w:line="240" w:lineRule="auto"/>
              <w:rPr>
                <w:noProof/>
              </w:rPr>
            </w:pPr>
            <w:r>
              <w:rPr>
                <w:noProof/>
              </w:rPr>
              <w:t>Ciljna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C238BD" w14:textId="77777777" w:rsidR="00615E2D" w:rsidRDefault="00C83E46">
            <w:pPr>
              <w:pStyle w:val="P68B1DB1-Normal15"/>
              <w:spacing w:line="240" w:lineRule="auto"/>
              <w:rPr>
                <w:noProof/>
              </w:rPr>
            </w:pPr>
            <w:r>
              <w:rPr>
                <w:noProof/>
              </w:rPr>
              <w:t>Dovršetak projekata zelene infrastrukture kojima se promiče biološka raznolikost, uključujući biocentri, biokoride i sadnju lokalno tipične zelene zemlje u poljoprivrednom krajoliku (u hektaru zemljišta koje se koristi ulaganjem).</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8077F54" w14:textId="77777777" w:rsidR="00615E2D" w:rsidRDefault="00C83E46">
            <w:pPr>
              <w:pStyle w:val="P68B1DB1-Normal15"/>
              <w:spacing w:line="240" w:lineRule="auto"/>
              <w:rPr>
                <w:noProof/>
              </w:rPr>
            </w:pPr>
            <w:r>
              <w:rPr>
                <w:noProof/>
              </w:rPr>
              <w:t xml:space="preserve">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2AC9D19" w14:textId="77777777" w:rsidR="00615E2D" w:rsidRDefault="00C83E46">
            <w:pPr>
              <w:pStyle w:val="P68B1DB1-Normal15"/>
              <w:spacing w:line="240" w:lineRule="auto"/>
              <w:rPr>
                <w:noProof/>
              </w:rPr>
            </w:pPr>
            <w:r>
              <w:rPr>
                <w:noProof/>
              </w:rPr>
              <w:t xml:space="preserve"> Hektari projekata zelene infrastrukture</w:t>
            </w:r>
          </w:p>
          <w:p w14:paraId="33138AEB" w14:textId="77777777" w:rsidR="00615E2D" w:rsidRDefault="00C83E46">
            <w:pPr>
              <w:pStyle w:val="P68B1DB1-Normal15"/>
              <w:spacing w:line="240" w:lineRule="auto"/>
              <w:rPr>
                <w:noProof/>
              </w:rPr>
            </w:pPr>
            <w:r>
              <w:rPr>
                <w:noProof/>
              </w:rPr>
              <w:t xml:space="preserve"> </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FC5341D" w14:textId="77777777" w:rsidR="00615E2D" w:rsidRDefault="00C83E46">
            <w:pPr>
              <w:pStyle w:val="P68B1DB1-Normal15"/>
              <w:spacing w:line="240" w:lineRule="auto"/>
              <w:rPr>
                <w:noProof/>
              </w:rPr>
            </w:pPr>
            <w:r>
              <w:rPr>
                <w:noProof/>
              </w:rPr>
              <w:t xml:space="preserve"> 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B6D05BE" w14:textId="77777777" w:rsidR="00615E2D" w:rsidRDefault="00C83E46">
            <w:pPr>
              <w:pStyle w:val="P68B1DB1-Normal15"/>
              <w:spacing w:line="240" w:lineRule="auto"/>
              <w:rPr>
                <w:noProof/>
              </w:rPr>
            </w:pPr>
            <w:r>
              <w:rPr>
                <w:noProof/>
              </w:rPr>
              <w:t xml:space="preserve">  90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820F42" w14:textId="77777777" w:rsidR="00615E2D" w:rsidRDefault="00C83E46">
            <w:pPr>
              <w:pStyle w:val="P68B1DB1-Normal15"/>
              <w:spacing w:line="240" w:lineRule="auto"/>
              <w:rPr>
                <w:noProof/>
              </w:rPr>
            </w:pPr>
            <w:r>
              <w:rPr>
                <w:noProof/>
              </w:rPr>
              <w:t xml:space="preserve"> ČETVRTO TROMJESEČJE </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8902A85" w14:textId="7B8BDD68" w:rsidR="00615E2D" w:rsidRDefault="00C83E46">
            <w:pPr>
              <w:pStyle w:val="P68B1DB1-Normal15"/>
              <w:spacing w:line="240" w:lineRule="auto"/>
              <w:rPr>
                <w:noProof/>
              </w:rPr>
            </w:pPr>
            <w:r>
              <w:rPr>
                <w:noProof/>
              </w:rPr>
              <w:t xml:space="preserve"> 2024 </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DBC1E76" w14:textId="77777777" w:rsidR="00615E2D" w:rsidRDefault="00C83E46">
            <w:pPr>
              <w:pStyle w:val="P68B1DB1-Normal15"/>
              <w:spacing w:line="257" w:lineRule="auto"/>
              <w:jc w:val="both"/>
              <w:rPr>
                <w:noProof/>
              </w:rPr>
            </w:pPr>
            <w:r>
              <w:rPr>
                <w:noProof/>
              </w:rPr>
              <w:t xml:space="preserve">Mora se dovršiti najmanje 90 ha projekata zelene infrastrukture. Ti se projekti temelje na procjeni zadržavanja vode u krajoliku koju provodi lokalno tijelo državne uprave za zaštitu okoliša i moraju biti u skladu s Nacionalnim akcijskim planom za prilagodbu klimatskim promjenama i Strategijom zaštite biološke raznolikosti Češke Republike, planovima upravljanja riječnim slivovima i planovima upravljanja rizicima od poplava.  </w:t>
            </w:r>
          </w:p>
        </w:tc>
      </w:tr>
      <w:tr w:rsidR="00615E2D" w14:paraId="548C7218" w14:textId="77777777">
        <w:trPr>
          <w:trHeight w:val="2243"/>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A5A26A7" w14:textId="77777777" w:rsidR="00615E2D" w:rsidRDefault="00C83E46">
            <w:pPr>
              <w:pStyle w:val="P68B1DB1-Normal15"/>
              <w:spacing w:line="240" w:lineRule="auto"/>
              <w:rPr>
                <w:noProof/>
              </w:rPr>
            </w:pPr>
            <w:r>
              <w:rPr>
                <w:noProof/>
              </w:rPr>
              <w:t>138</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899554" w14:textId="77777777" w:rsidR="00615E2D" w:rsidRDefault="00C83E46">
            <w:pPr>
              <w:pStyle w:val="P68B1DB1-Normal15"/>
              <w:spacing w:line="240" w:lineRule="auto"/>
              <w:rPr>
                <w:noProof/>
              </w:rPr>
            </w:pPr>
            <w:r>
              <w:rPr>
                <w:noProof/>
              </w:rPr>
              <w:t xml:space="preserve">Ulaganje 3: Komasacija zemljišta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C32AE5A" w14:textId="77777777" w:rsidR="00615E2D" w:rsidRDefault="00C83E46">
            <w:pPr>
              <w:pStyle w:val="P68B1DB1-Normal15"/>
              <w:spacing w:line="240" w:lineRule="auto"/>
              <w:rPr>
                <w:noProof/>
              </w:rPr>
            </w:pPr>
            <w:r>
              <w:rPr>
                <w:noProof/>
              </w:rPr>
              <w:t>Ciljna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F578FAE" w14:textId="77777777" w:rsidR="00615E2D" w:rsidRDefault="00C83E46">
            <w:pPr>
              <w:pStyle w:val="P68B1DB1-Normal15"/>
              <w:spacing w:line="240" w:lineRule="auto"/>
              <w:rPr>
                <w:noProof/>
              </w:rPr>
            </w:pPr>
            <w:r>
              <w:rPr>
                <w:noProof/>
              </w:rPr>
              <w:t xml:space="preserve">Završetak aktivnosti zaštite okoliša i prilagodba klimatskim promjenama (u hektaru zemljišta koje se koristi ulaganjem). </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D2FF002" w14:textId="77777777" w:rsidR="00615E2D" w:rsidRDefault="00C83E46">
            <w:pPr>
              <w:pStyle w:val="P68B1DB1-Normal15"/>
              <w:spacing w:line="240" w:lineRule="auto"/>
              <w:rPr>
                <w:noProof/>
              </w:rPr>
            </w:pPr>
            <w:r>
              <w:rPr>
                <w:noProof/>
              </w:rPr>
              <w:t xml:space="preserve">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1768DA" w14:textId="77777777" w:rsidR="00615E2D" w:rsidRDefault="00C83E46">
            <w:pPr>
              <w:pStyle w:val="P68B1DB1-Normal15"/>
              <w:spacing w:line="240" w:lineRule="auto"/>
              <w:rPr>
                <w:noProof/>
              </w:rPr>
            </w:pPr>
            <w:r>
              <w:rPr>
                <w:noProof/>
              </w:rPr>
              <w:t>Hektari zemljišta</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1E2ACC" w14:textId="77777777" w:rsidR="00615E2D" w:rsidRDefault="00C83E46">
            <w:pPr>
              <w:pStyle w:val="P68B1DB1-Normal15"/>
              <w:spacing w:line="240" w:lineRule="auto"/>
              <w:rPr>
                <w:noProof/>
              </w:rPr>
            </w:pPr>
            <w:r>
              <w:rPr>
                <w:noProof/>
              </w:rPr>
              <w:t>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45C7F0C" w14:textId="77777777" w:rsidR="00615E2D" w:rsidRDefault="00C83E46">
            <w:pPr>
              <w:pStyle w:val="P68B1DB1-Normal15"/>
              <w:spacing w:line="240" w:lineRule="auto"/>
              <w:rPr>
                <w:noProof/>
              </w:rPr>
            </w:pPr>
            <w:r>
              <w:rPr>
                <w:noProof/>
              </w:rPr>
              <w:t>150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B82A5E8" w14:textId="77777777" w:rsidR="00615E2D" w:rsidRDefault="00C83E46">
            <w:pPr>
              <w:pStyle w:val="P68B1DB1-Normal15"/>
              <w:spacing w:line="240" w:lineRule="auto"/>
              <w:rPr>
                <w:noProof/>
              </w:rPr>
            </w:pPr>
            <w:r>
              <w:rPr>
                <w:noProof/>
              </w:rPr>
              <w:t>ČETVRTO 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E23981D" w14:textId="3FB9D1F2" w:rsidR="00615E2D" w:rsidRDefault="00C83E46">
            <w:pPr>
              <w:pStyle w:val="P68B1DB1-Normal15"/>
              <w:spacing w:line="240" w:lineRule="auto"/>
              <w:rPr>
                <w:noProof/>
              </w:rPr>
            </w:pPr>
            <w:r>
              <w:rPr>
                <w:noProof/>
              </w:rPr>
              <w:t>2024</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68F5A6A" w14:textId="77777777" w:rsidR="00615E2D" w:rsidRDefault="00C83E46">
            <w:pPr>
              <w:pStyle w:val="P68B1DB1-Normal15"/>
              <w:spacing w:line="240" w:lineRule="auto"/>
              <w:jc w:val="both"/>
              <w:rPr>
                <w:noProof/>
              </w:rPr>
            </w:pPr>
            <w:r>
              <w:rPr>
                <w:noProof/>
              </w:rPr>
              <w:t xml:space="preserve">Završeno je najmanje 150 ha aktivnosti zaštite okoliša i projekata prilagodbe klimatskim promjenama. Te su aktivnosti prvenstveno usmjerene na zaštitu tla i vode, kako kvantitete tako i kvalitete. U pojedinačnim projektima provode se mjere za borbu protiv erozije u krajobrazu (otpadi, obronci, granice, travne trake i drugi elementi usporavanja) kako bi se uklonili negativni učinci, posebno torrentnih kiša. Te mjere, koje pomažu u zadržavanju vode u krajoliku, uglavnom od sve češćih oborina, podupiru infiltraciju vode u podzemne vode, smanjuju isparavanje vode u poljoprivrednom krajoliku i pružaju potporu malom hidrološkom ciklusu, smanjuju onečišćenje vode i uklanjanje tla. Isključuju se ulaganja u infrastrukturu (kao što su lokalne ceste). </w:t>
            </w:r>
          </w:p>
        </w:tc>
      </w:tr>
      <w:tr w:rsidR="00615E2D" w14:paraId="1AB90C38" w14:textId="77777777">
        <w:trPr>
          <w:trHeight w:val="7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01D78A" w14:textId="77777777" w:rsidR="00615E2D" w:rsidRDefault="00C83E46">
            <w:pPr>
              <w:pStyle w:val="P68B1DB1-Normal15"/>
              <w:spacing w:line="240" w:lineRule="auto"/>
              <w:rPr>
                <w:noProof/>
              </w:rPr>
            </w:pPr>
            <w:r>
              <w:rPr>
                <w:noProof/>
              </w:rPr>
              <w:t xml:space="preserve"> 139</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0B6944A" w14:textId="77777777" w:rsidR="00615E2D" w:rsidRDefault="00C83E46">
            <w:pPr>
              <w:pStyle w:val="P68B1DB1-Normal15"/>
              <w:spacing w:line="240" w:lineRule="auto"/>
              <w:rPr>
                <w:noProof/>
              </w:rPr>
            </w:pPr>
            <w:r>
              <w:rPr>
                <w:noProof/>
              </w:rPr>
              <w:t xml:space="preserve">Ulaganje 4: Izgradnja šuma otpornih na klimatske promjene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7639579" w14:textId="77777777" w:rsidR="00615E2D" w:rsidRDefault="00C83E46">
            <w:pPr>
              <w:pStyle w:val="P68B1DB1-Normal15"/>
              <w:spacing w:line="240" w:lineRule="auto"/>
              <w:rPr>
                <w:noProof/>
              </w:rPr>
            </w:pPr>
            <w:r>
              <w:rPr>
                <w:noProof/>
              </w:rPr>
              <w:t>Prekretnica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6A44CF" w14:textId="77777777" w:rsidR="00615E2D" w:rsidRDefault="00C83E46">
            <w:pPr>
              <w:pStyle w:val="P68B1DB1-Normal15"/>
              <w:spacing w:line="240" w:lineRule="auto"/>
              <w:rPr>
                <w:noProof/>
              </w:rPr>
            </w:pPr>
            <w:r>
              <w:rPr>
                <w:noProof/>
              </w:rPr>
              <w:t>Izmjena ministarske uredbe o planiranju gospodarenja šumama (izmjena Odluke br. 84/1996 zb. o planiranju gospodarenja šumama)</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1DE9657" w14:textId="77777777" w:rsidR="00615E2D" w:rsidRDefault="00C83E46">
            <w:pPr>
              <w:pStyle w:val="P68B1DB1-Normal15"/>
              <w:spacing w:line="240" w:lineRule="auto"/>
              <w:rPr>
                <w:noProof/>
              </w:rPr>
            </w:pPr>
            <w:r>
              <w:rPr>
                <w:noProof/>
              </w:rPr>
              <w:t xml:space="preserve">Stupanje na snagu izmjene ministarske uredbe o planiranju gospodarenja šumama (izmjena Odluke br. 84/1996 zb. o planiranju gospodarenja šumama)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3A329D" w14:textId="77777777" w:rsidR="00615E2D" w:rsidRDefault="00C83E46">
            <w:pPr>
              <w:pStyle w:val="P68B1DB1-Normal15"/>
              <w:spacing w:line="240" w:lineRule="auto"/>
              <w:rPr>
                <w:noProof/>
              </w:rPr>
            </w:pPr>
            <w:r>
              <w:rPr>
                <w:noProof/>
              </w:rPr>
              <w:t xml:space="preserve"> </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B494EA" w14:textId="77777777" w:rsidR="00615E2D" w:rsidRDefault="00C83E46">
            <w:pPr>
              <w:pStyle w:val="P68B1DB1-Normal15"/>
              <w:spacing w:line="240" w:lineRule="auto"/>
              <w:rPr>
                <w:noProof/>
              </w:rPr>
            </w:pPr>
            <w:r>
              <w:rPr>
                <w:noProof/>
              </w:rPr>
              <w:t xml:space="preserve">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CC1CAB7" w14:textId="77777777" w:rsidR="00615E2D" w:rsidRDefault="00C83E46">
            <w:pPr>
              <w:pStyle w:val="P68B1DB1-Normal15"/>
              <w:spacing w:line="240" w:lineRule="auto"/>
              <w:rPr>
                <w:noProof/>
              </w:rPr>
            </w:pPr>
            <w:r>
              <w:rPr>
                <w:noProof/>
              </w:rPr>
              <w:t xml:space="preserve">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18ADC79" w14:textId="77777777" w:rsidR="00615E2D" w:rsidRDefault="00C83E46">
            <w:pPr>
              <w:pStyle w:val="P68B1DB1-Normal15"/>
              <w:spacing w:line="240" w:lineRule="auto"/>
              <w:rPr>
                <w:noProof/>
              </w:rPr>
            </w:pPr>
            <w:r>
              <w:rPr>
                <w:noProof/>
              </w:rPr>
              <w:t>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738C987" w14:textId="77777777" w:rsidR="00615E2D" w:rsidRDefault="00C83E46">
            <w:pPr>
              <w:pStyle w:val="P68B1DB1-Normal15"/>
              <w:spacing w:line="240" w:lineRule="auto"/>
              <w:rPr>
                <w:noProof/>
              </w:rPr>
            </w:pPr>
            <w:r>
              <w:rPr>
                <w:noProof/>
              </w:rPr>
              <w:t>2023</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8980308" w14:textId="1092D7FF" w:rsidR="00615E2D" w:rsidRDefault="00C83E46">
            <w:pPr>
              <w:pStyle w:val="P68B1DB1-Normal16"/>
              <w:spacing w:line="240" w:lineRule="auto"/>
              <w:jc w:val="both"/>
              <w:rPr>
                <w:noProof/>
              </w:rPr>
            </w:pPr>
            <w:r>
              <w:rPr>
                <w:rFonts w:eastAsia="Times New Roman"/>
                <w:noProof/>
              </w:rPr>
              <w:t xml:space="preserve">Donosi se izmjena ministarske uredbe o planiranju gospodarenja šumama, kojom se posebno utire put višegeneracijskim šumama, šumama s više vrsta i otpornim šumama. </w:t>
            </w:r>
            <w:r>
              <w:rPr>
                <w:noProof/>
              </w:rPr>
              <w:t>Izmjenom Uredbe o gospodarenju šumama nastoji se stvoriti prave višegeneracijske šume i uvesti inovativne metode planiranja gospodarenja šumama za šume bogate dobne strukture. Uredbom se osigurava da se sastavom vrsta novozasađenih šuma nastoji postići sastav u skladu s prirodom sa znatnim povećanjem broja vrsta listača (tzv. „preporučeni sastav” istraživanja).</w:t>
            </w:r>
          </w:p>
        </w:tc>
      </w:tr>
      <w:tr w:rsidR="00615E2D" w14:paraId="177B3337" w14:textId="77777777">
        <w:trPr>
          <w:trHeight w:val="7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81690AB" w14:textId="77777777" w:rsidR="00615E2D" w:rsidRDefault="00C83E46">
            <w:pPr>
              <w:pStyle w:val="P68B1DB1-Normal15"/>
              <w:spacing w:line="240" w:lineRule="auto"/>
              <w:rPr>
                <w:noProof/>
              </w:rPr>
            </w:pPr>
            <w:r>
              <w:rPr>
                <w:noProof/>
              </w:rPr>
              <w:t>140</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4B8BF2C" w14:textId="77777777" w:rsidR="00615E2D" w:rsidRDefault="00C83E46">
            <w:pPr>
              <w:pStyle w:val="P68B1DB1-Normal15"/>
              <w:spacing w:line="240" w:lineRule="auto"/>
              <w:rPr>
                <w:noProof/>
              </w:rPr>
            </w:pPr>
            <w:r>
              <w:rPr>
                <w:noProof/>
              </w:rPr>
              <w:t xml:space="preserve">Ulaganje 4: Izgradnja šuma otpornih na klimatske promjene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8AC6A9" w14:textId="77777777" w:rsidR="00615E2D" w:rsidRDefault="00C83E46">
            <w:pPr>
              <w:pStyle w:val="P68B1DB1-Normal15"/>
              <w:spacing w:line="240" w:lineRule="auto"/>
              <w:rPr>
                <w:noProof/>
              </w:rPr>
            </w:pPr>
            <w:r>
              <w:rPr>
                <w:noProof/>
              </w:rPr>
              <w:t>Ciljna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CF42CC5" w14:textId="77777777" w:rsidR="00615E2D" w:rsidRDefault="00C83E46">
            <w:pPr>
              <w:pStyle w:val="P68B1DB1-Normal15"/>
              <w:spacing w:line="240" w:lineRule="auto"/>
              <w:rPr>
                <w:noProof/>
              </w:rPr>
            </w:pPr>
            <w:r>
              <w:rPr>
                <w:noProof/>
              </w:rPr>
              <w:t xml:space="preserve">T1: Ponovno pošumljavanje 12 000 ha područja ameliorativnim i stabiliziranim vrstama drveća </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664036" w14:textId="77777777" w:rsidR="00615E2D" w:rsidRDefault="00C83E46">
            <w:pPr>
              <w:pStyle w:val="P68B1DB1-Normal15"/>
              <w:spacing w:line="240" w:lineRule="auto"/>
              <w:rPr>
                <w:noProof/>
              </w:rPr>
            </w:pPr>
            <w:r>
              <w:rPr>
                <w:noProof/>
              </w:rPr>
              <w:t xml:space="preserve">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3BA0567" w14:textId="77777777" w:rsidR="00615E2D" w:rsidRDefault="00C83E46">
            <w:pPr>
              <w:pStyle w:val="P68B1DB1-Normal15"/>
              <w:spacing w:line="240" w:lineRule="auto"/>
              <w:rPr>
                <w:noProof/>
              </w:rPr>
            </w:pPr>
            <w:r>
              <w:rPr>
                <w:noProof/>
              </w:rPr>
              <w:t xml:space="preserve"> Hektari ponovnog pošumljavanja </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26DF339" w14:textId="77777777" w:rsidR="00615E2D" w:rsidRDefault="00C83E46">
            <w:pPr>
              <w:pStyle w:val="P68B1DB1-Normal15"/>
              <w:spacing w:line="240" w:lineRule="auto"/>
              <w:rPr>
                <w:noProof/>
              </w:rPr>
            </w:pPr>
            <w:r>
              <w:rPr>
                <w:noProof/>
              </w:rPr>
              <w:t xml:space="preserve"> 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F188B08" w14:textId="77777777" w:rsidR="00615E2D" w:rsidRDefault="00C83E46">
            <w:pPr>
              <w:pStyle w:val="P68B1DB1-Normal15"/>
              <w:spacing w:line="240" w:lineRule="auto"/>
              <w:rPr>
                <w:noProof/>
              </w:rPr>
            </w:pPr>
            <w:r>
              <w:rPr>
                <w:noProof/>
              </w:rPr>
              <w:t xml:space="preserve"> 12000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B9A63AA" w14:textId="77777777" w:rsidR="00615E2D" w:rsidRDefault="00C83E46">
            <w:pPr>
              <w:pStyle w:val="P68B1DB1-Normal15"/>
              <w:spacing w:line="240" w:lineRule="auto"/>
              <w:rPr>
                <w:noProof/>
              </w:rPr>
            </w:pPr>
            <w:r>
              <w:rPr>
                <w:noProof/>
              </w:rPr>
              <w:t>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CEE1540" w14:textId="77777777" w:rsidR="00615E2D" w:rsidRDefault="00C83E46">
            <w:pPr>
              <w:pStyle w:val="P68B1DB1-Normal15"/>
              <w:spacing w:line="240" w:lineRule="auto"/>
              <w:rPr>
                <w:noProof/>
              </w:rPr>
            </w:pPr>
            <w:r>
              <w:rPr>
                <w:noProof/>
              </w:rPr>
              <w:t>2022</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4B1FD56" w14:textId="7EC9C828" w:rsidR="00615E2D" w:rsidRDefault="00C83E46">
            <w:pPr>
              <w:pStyle w:val="P68B1DB1-Normal15"/>
              <w:autoSpaceDE w:val="0"/>
              <w:autoSpaceDN w:val="0"/>
              <w:spacing w:before="40" w:after="40" w:line="240" w:lineRule="auto"/>
              <w:jc w:val="both"/>
              <w:rPr>
                <w:noProof/>
              </w:rPr>
            </w:pPr>
            <w:r>
              <w:rPr>
                <w:noProof/>
              </w:rPr>
              <w:t>Izvješće o završetku projekta ponovnog pošumljavanja od 12 000 ha koje je izradilo neovisno tijelo. Cilj je ponovnog pošumljavanja osigurati višegeneracijske šume s više vrsta u pogledu prostornog sastava kojima se upravlja u skladu s pristupom kontinuiranog pokrova šumarstva. Šume jednostruke dobi zamjenjuju se bioraznolikijim ekosustavima, ograničavanjem upotrebe sječe na slučajeve u kojima je to potrebno kako bi se osiguralo zdravlje šuma i učinkovita obnova te u najvećoj mogućoj mjeri ograničila veličina sječenog područja. </w:t>
            </w:r>
          </w:p>
          <w:p w14:paraId="0B5091DB" w14:textId="77777777" w:rsidR="00615E2D" w:rsidRDefault="00C83E46">
            <w:pPr>
              <w:pStyle w:val="P68B1DB1-Normal15"/>
              <w:autoSpaceDE w:val="0"/>
              <w:autoSpaceDN w:val="0"/>
              <w:spacing w:before="40" w:after="40" w:line="240" w:lineRule="auto"/>
              <w:jc w:val="both"/>
              <w:rPr>
                <w:noProof/>
              </w:rPr>
            </w:pPr>
            <w:r>
              <w:rPr>
                <w:noProof/>
              </w:rPr>
              <w:t>Upotrebljavaju se autohtone vrste drveća, osim ako se može dokazati da više nisu prilagođene predviđenim klimatskim i pedo-hidrološkim uvjetima. Također, prihvaćaju se mješavine od najviše 25 % jele Douglasa u miješanim stalcima.</w:t>
            </w:r>
          </w:p>
          <w:p w14:paraId="2CF82838" w14:textId="77777777" w:rsidR="00615E2D" w:rsidRDefault="00C83E46">
            <w:pPr>
              <w:pStyle w:val="P68B1DB1-Normal15"/>
              <w:autoSpaceDE w:val="0"/>
              <w:autoSpaceDN w:val="0"/>
              <w:spacing w:before="40" w:after="40" w:line="240" w:lineRule="auto"/>
              <w:jc w:val="both"/>
              <w:rPr>
                <w:noProof/>
              </w:rPr>
            </w:pPr>
            <w:r>
              <w:rPr>
                <w:noProof/>
              </w:rPr>
              <w:t>• Ako je to dopušteno nacionalnim zakonodavstvom </w:t>
            </w:r>
          </w:p>
          <w:p w14:paraId="472BC5E2" w14:textId="77777777" w:rsidR="00615E2D" w:rsidRDefault="00C83E46">
            <w:pPr>
              <w:pStyle w:val="P68B1DB1-Normal15"/>
              <w:autoSpaceDE w:val="0"/>
              <w:autoSpaceDN w:val="0"/>
              <w:spacing w:before="40" w:after="40" w:line="240" w:lineRule="auto"/>
              <w:jc w:val="both"/>
              <w:rPr>
                <w:noProof/>
              </w:rPr>
            </w:pPr>
            <w:r>
              <w:rPr>
                <w:noProof/>
              </w:rPr>
              <w:t>• Isključujući mrežu Natura 2000 i druga zaštićena područja</w:t>
            </w:r>
          </w:p>
          <w:p w14:paraId="75534B43" w14:textId="1725C9A7" w:rsidR="00615E2D" w:rsidRDefault="00C83E46">
            <w:pPr>
              <w:pStyle w:val="P68B1DB1-Normal15"/>
              <w:autoSpaceDE w:val="0"/>
              <w:autoSpaceDN w:val="0"/>
              <w:spacing w:before="0" w:after="0" w:line="240" w:lineRule="auto"/>
              <w:jc w:val="both"/>
              <w:rPr>
                <w:noProof/>
              </w:rPr>
            </w:pPr>
            <w:r>
              <w:rPr>
                <w:noProof/>
              </w:rPr>
              <w:t xml:space="preserve">• I može li se dokazati prikladnost jele od Douglasa za predviđene klimatske uvjete na mjestu ponovnog pošumljavanja. </w:t>
            </w:r>
          </w:p>
        </w:tc>
      </w:tr>
      <w:tr w:rsidR="00615E2D" w14:paraId="1F2CF120" w14:textId="77777777">
        <w:trPr>
          <w:trHeight w:val="671"/>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C6891C8" w14:textId="77777777" w:rsidR="00615E2D" w:rsidRDefault="00C83E46">
            <w:pPr>
              <w:pStyle w:val="P68B1DB1-Normal15"/>
              <w:spacing w:line="240" w:lineRule="auto"/>
              <w:rPr>
                <w:noProof/>
              </w:rPr>
            </w:pPr>
            <w:r>
              <w:rPr>
                <w:noProof/>
              </w:rPr>
              <w:t>141</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2AD8678" w14:textId="77777777" w:rsidR="00615E2D" w:rsidRDefault="00C83E46">
            <w:pPr>
              <w:pStyle w:val="P68B1DB1-Normal15"/>
              <w:spacing w:line="240" w:lineRule="auto"/>
              <w:rPr>
                <w:noProof/>
              </w:rPr>
            </w:pPr>
            <w:r>
              <w:rPr>
                <w:noProof/>
              </w:rPr>
              <w:t>Ulaganje 4: Izgradnja šuma otpornih na klimatske promjene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60C50C8" w14:textId="77777777" w:rsidR="00615E2D" w:rsidRDefault="00C83E46">
            <w:pPr>
              <w:pStyle w:val="P68B1DB1-Normal15"/>
              <w:spacing w:line="240" w:lineRule="auto"/>
              <w:rPr>
                <w:noProof/>
              </w:rPr>
            </w:pPr>
            <w:r>
              <w:rPr>
                <w:noProof/>
              </w:rPr>
              <w:t>Ciljna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183E26D" w14:textId="77777777" w:rsidR="00615E2D" w:rsidRDefault="00C83E46">
            <w:pPr>
              <w:pStyle w:val="P68B1DB1-Normal15"/>
              <w:spacing w:line="240" w:lineRule="auto"/>
              <w:rPr>
                <w:noProof/>
              </w:rPr>
            </w:pPr>
            <w:r>
              <w:rPr>
                <w:noProof/>
              </w:rPr>
              <w:t xml:space="preserve">T2: Ponovno pošumljavanje dodatnih 24 000 ha područja ameliorativnim i stabiliziranim vrstama drveća </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922AF1" w14:textId="77777777" w:rsidR="00615E2D" w:rsidRDefault="00615E2D">
            <w:pPr>
              <w:spacing w:line="240" w:lineRule="auto"/>
              <w:rPr>
                <w:rFonts w:eastAsia="Times New Roman"/>
                <w:noProof/>
                <w:color w:val="0043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18633FF" w14:textId="77777777" w:rsidR="00615E2D" w:rsidRDefault="00C83E46">
            <w:pPr>
              <w:pStyle w:val="P68B1DB1-Normal15"/>
              <w:spacing w:line="240" w:lineRule="auto"/>
              <w:rPr>
                <w:noProof/>
              </w:rPr>
            </w:pPr>
            <w:r>
              <w:rPr>
                <w:noProof/>
              </w:rPr>
              <w:t xml:space="preserve"> Hektari ponovnog pošumljavanja </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858C50" w14:textId="77777777" w:rsidR="00615E2D" w:rsidRDefault="00C83E46">
            <w:pPr>
              <w:pStyle w:val="P68B1DB1-Normal15"/>
              <w:spacing w:line="240" w:lineRule="auto"/>
              <w:rPr>
                <w:noProof/>
              </w:rPr>
            </w:pPr>
            <w:r>
              <w:rPr>
                <w:noProof/>
              </w:rPr>
              <w:t xml:space="preserve"> 12000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264A844" w14:textId="77777777" w:rsidR="00615E2D" w:rsidRDefault="00C83E46">
            <w:pPr>
              <w:pStyle w:val="P68B1DB1-Normal15"/>
              <w:spacing w:line="240" w:lineRule="auto"/>
              <w:rPr>
                <w:noProof/>
              </w:rPr>
            </w:pPr>
            <w:r>
              <w:rPr>
                <w:noProof/>
              </w:rPr>
              <w:t xml:space="preserve"> 36000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A97EBF4" w14:textId="77777777" w:rsidR="00615E2D" w:rsidRDefault="00C83E46">
            <w:pPr>
              <w:pStyle w:val="P68B1DB1-Normal15"/>
              <w:spacing w:line="240" w:lineRule="auto"/>
              <w:rPr>
                <w:noProof/>
              </w:rPr>
            </w:pPr>
            <w:r>
              <w:rPr>
                <w:noProof/>
              </w:rPr>
              <w:t>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143D2C5" w14:textId="77777777" w:rsidR="00615E2D" w:rsidRDefault="00C83E46">
            <w:pPr>
              <w:pStyle w:val="P68B1DB1-Normal15"/>
              <w:spacing w:line="240" w:lineRule="auto"/>
              <w:rPr>
                <w:noProof/>
              </w:rPr>
            </w:pPr>
            <w:r>
              <w:rPr>
                <w:noProof/>
              </w:rPr>
              <w:t>2024</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1F9CC53" w14:textId="7F74B07E" w:rsidR="00615E2D" w:rsidRDefault="00C83E46">
            <w:pPr>
              <w:pStyle w:val="P68B1DB1-Normal15"/>
              <w:autoSpaceDE w:val="0"/>
              <w:autoSpaceDN w:val="0"/>
              <w:spacing w:before="40" w:after="40" w:line="240" w:lineRule="auto"/>
              <w:jc w:val="both"/>
              <w:rPr>
                <w:noProof/>
              </w:rPr>
            </w:pPr>
            <w:r>
              <w:rPr>
                <w:noProof/>
              </w:rPr>
              <w:t>Izvješće neovisnog tijela o ispunjavanju dodatnih 24 000 ha. Cilj je ponovnog pošumljavanja osigurati višegeneracijske šume s više vrsta u pogledu prostornog sastava kojima se upravlja u skladu s pristupom kontinuiranog pokrova šumarstva. Šume jednostruke dobi zamjenjuju se bioraznolikijim ekosustavima, ograničavanjem upotrebe sječe na slučajeve u kojima je to potrebno kako bi se osiguralo zdravlje šuma i učinkovita obnova te u najvećoj mogućoj mjeri ograničila veličina sječenog područja. </w:t>
            </w:r>
          </w:p>
          <w:p w14:paraId="6720502F" w14:textId="77777777" w:rsidR="00615E2D" w:rsidRDefault="00C83E46">
            <w:pPr>
              <w:pStyle w:val="P68B1DB1-Normal15"/>
              <w:autoSpaceDE w:val="0"/>
              <w:autoSpaceDN w:val="0"/>
              <w:spacing w:before="40" w:after="40" w:line="240" w:lineRule="auto"/>
              <w:jc w:val="both"/>
              <w:rPr>
                <w:noProof/>
              </w:rPr>
            </w:pPr>
            <w:r>
              <w:rPr>
                <w:noProof/>
              </w:rPr>
              <w:t>Upotrebljavaju se autohtone vrste drveća, osim ako se može dokazati da više nisu prilagođene predviđenim klimatskim i pedo-hidrološkim uvjetima. Također, prihvaćaju se mješavine od najviše 25 % jele Douglasa u miješanim stalcima.</w:t>
            </w:r>
          </w:p>
          <w:p w14:paraId="5DB11894" w14:textId="77777777" w:rsidR="00615E2D" w:rsidRDefault="00C83E46">
            <w:pPr>
              <w:pStyle w:val="P68B1DB1-Normal15"/>
              <w:autoSpaceDE w:val="0"/>
              <w:autoSpaceDN w:val="0"/>
              <w:spacing w:before="40" w:after="40" w:line="240" w:lineRule="auto"/>
              <w:jc w:val="both"/>
              <w:rPr>
                <w:noProof/>
              </w:rPr>
            </w:pPr>
            <w:r>
              <w:rPr>
                <w:noProof/>
              </w:rPr>
              <w:t>• Ako je to dopušteno nacionalnim zakonodavstvom </w:t>
            </w:r>
          </w:p>
          <w:p w14:paraId="6E08E01F" w14:textId="77777777" w:rsidR="00615E2D" w:rsidRDefault="00C83E46">
            <w:pPr>
              <w:pStyle w:val="P68B1DB1-Normal15"/>
              <w:autoSpaceDE w:val="0"/>
              <w:autoSpaceDN w:val="0"/>
              <w:spacing w:before="40" w:after="40" w:line="240" w:lineRule="auto"/>
              <w:jc w:val="both"/>
              <w:rPr>
                <w:noProof/>
              </w:rPr>
            </w:pPr>
            <w:r>
              <w:rPr>
                <w:noProof/>
              </w:rPr>
              <w:t>• Isključujući mrežu Natura 2000 i druga zaštićena područja</w:t>
            </w:r>
          </w:p>
          <w:p w14:paraId="658AF6DA" w14:textId="77777777" w:rsidR="00615E2D" w:rsidRDefault="00C83E46">
            <w:pPr>
              <w:pStyle w:val="P68B1DB1-Normal15"/>
              <w:autoSpaceDE w:val="0"/>
              <w:autoSpaceDN w:val="0"/>
              <w:spacing w:before="0" w:after="0" w:line="240" w:lineRule="auto"/>
              <w:jc w:val="both"/>
              <w:rPr>
                <w:noProof/>
              </w:rPr>
            </w:pPr>
            <w:r>
              <w:rPr>
                <w:noProof/>
              </w:rPr>
              <w:t>• I može li se dokazati prikladnost jele od Douglasa za predviđene klimatske uvjete na mjestu ponovnog pošumljavanja.</w:t>
            </w:r>
          </w:p>
        </w:tc>
      </w:tr>
      <w:tr w:rsidR="00615E2D" w14:paraId="4492AA04" w14:textId="77777777">
        <w:trPr>
          <w:trHeight w:val="31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2B09A1" w14:textId="77777777" w:rsidR="00615E2D" w:rsidRDefault="00C83E46">
            <w:pPr>
              <w:pStyle w:val="P68B1DB1-Normal15"/>
              <w:spacing w:line="240" w:lineRule="auto"/>
              <w:rPr>
                <w:noProof/>
              </w:rPr>
            </w:pPr>
            <w:r>
              <w:rPr>
                <w:noProof/>
              </w:rPr>
              <w:t>142</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01D3764" w14:textId="77777777" w:rsidR="00615E2D" w:rsidRDefault="00C83E46">
            <w:pPr>
              <w:pStyle w:val="P68B1DB1-Normal15"/>
              <w:spacing w:line="240" w:lineRule="auto"/>
              <w:rPr>
                <w:noProof/>
              </w:rPr>
            </w:pPr>
            <w:r>
              <w:rPr>
                <w:noProof/>
              </w:rPr>
              <w:t>Ulaganje 5: Zadržavanje vode u šumama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BE298E5" w14:textId="08D91F94" w:rsidR="00615E2D" w:rsidRDefault="00C83E46">
            <w:pPr>
              <w:pStyle w:val="P68B1DB1-Normal28"/>
              <w:spacing w:line="240" w:lineRule="auto"/>
              <w:rPr>
                <w:noProof/>
                <w:color w:val="004300"/>
              </w:rPr>
            </w:pPr>
            <w:r>
              <w:rPr>
                <w:noProof/>
              </w:rPr>
              <w:t>Ciljna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F10716B" w14:textId="77777777" w:rsidR="00615E2D" w:rsidRDefault="00C83E46">
            <w:pPr>
              <w:pStyle w:val="P68B1DB1-Normal15"/>
              <w:spacing w:line="240" w:lineRule="auto"/>
              <w:rPr>
                <w:noProof/>
              </w:rPr>
            </w:pPr>
            <w:r>
              <w:rPr>
                <w:noProof/>
              </w:rPr>
              <w:t>T1: Završetak 40 projekata torrentne kontrole (male drvene i prirodne brane) za usporavanje površinskog otjecanja i zadržavanja vode u šumama (zadržavanje i mali spremnici).</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4DBF135" w14:textId="77777777" w:rsidR="00615E2D" w:rsidRDefault="00615E2D">
            <w:pPr>
              <w:spacing w:line="240" w:lineRule="auto"/>
              <w:rPr>
                <w:rFonts w:eastAsia="Times New Roman"/>
                <w:noProof/>
                <w:color w:val="0043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C16834" w14:textId="77777777" w:rsidR="00615E2D" w:rsidRDefault="00C83E46">
            <w:pPr>
              <w:pStyle w:val="P68B1DB1-Normal15"/>
              <w:spacing w:line="240" w:lineRule="auto"/>
              <w:rPr>
                <w:noProof/>
              </w:rPr>
            </w:pPr>
            <w:r>
              <w:rPr>
                <w:noProof/>
              </w:rPr>
              <w:t xml:space="preserve"> Broj projekata</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C766BB" w14:textId="77777777" w:rsidR="00615E2D" w:rsidRDefault="00C83E46">
            <w:pPr>
              <w:pStyle w:val="P68B1DB1-Normal15"/>
              <w:spacing w:line="240" w:lineRule="auto"/>
              <w:rPr>
                <w:noProof/>
              </w:rPr>
            </w:pPr>
            <w:r>
              <w:rPr>
                <w:noProof/>
              </w:rPr>
              <w:t xml:space="preserve"> 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EBD1DF3" w14:textId="77777777" w:rsidR="00615E2D" w:rsidRDefault="00C83E46">
            <w:pPr>
              <w:pStyle w:val="P68B1DB1-Normal15"/>
              <w:spacing w:line="240" w:lineRule="auto"/>
              <w:rPr>
                <w:noProof/>
              </w:rPr>
            </w:pPr>
            <w:r>
              <w:rPr>
                <w:noProof/>
              </w:rPr>
              <w:t xml:space="preserve"> 40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832E398" w14:textId="77777777" w:rsidR="00615E2D" w:rsidRDefault="00C83E46">
            <w:pPr>
              <w:pStyle w:val="P68B1DB1-Normal15"/>
              <w:spacing w:line="240" w:lineRule="auto"/>
              <w:rPr>
                <w:noProof/>
              </w:rPr>
            </w:pPr>
            <w:r>
              <w:rPr>
                <w:noProof/>
              </w:rPr>
              <w:t>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35222C5" w14:textId="77777777" w:rsidR="00615E2D" w:rsidRDefault="00C83E46">
            <w:pPr>
              <w:pStyle w:val="P68B1DB1-Normal15"/>
              <w:spacing w:line="240" w:lineRule="auto"/>
              <w:rPr>
                <w:noProof/>
              </w:rPr>
            </w:pPr>
            <w:r>
              <w:rPr>
                <w:noProof/>
              </w:rPr>
              <w:t>2023</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10CD6A0" w14:textId="6FEF18A8" w:rsidR="00615E2D" w:rsidRDefault="00C83E46">
            <w:pPr>
              <w:spacing w:line="240" w:lineRule="auto"/>
              <w:jc w:val="both"/>
              <w:rPr>
                <w:noProof/>
                <w:color w:val="004300"/>
                <w:sz w:val="18"/>
              </w:rPr>
            </w:pPr>
            <w:r>
              <w:rPr>
                <w:rFonts w:eastAsia="Times New Roman"/>
                <w:noProof/>
                <w:color w:val="004300"/>
                <w:sz w:val="18"/>
              </w:rPr>
              <w:t>Izvješće neovisnog tijela o dovršetku 40 projekata.</w:t>
            </w:r>
            <w:r>
              <w:rPr>
                <w:noProof/>
              </w:rPr>
              <w:t xml:space="preserve"> </w:t>
            </w:r>
            <w:r>
              <w:rPr>
                <w:rFonts w:eastAsia="Times New Roman"/>
                <w:noProof/>
                <w:color w:val="004300"/>
                <w:sz w:val="18"/>
              </w:rPr>
              <w:t>Projekti se u najvećoj mogućoj mjeri temelje na prirodi (u skladu s nacionalnim akcijskim planom za prilagodbu klimatskim promjenama i nacionalnom politikom Češke za borbu protiv suša). Projekti projekata uključuju potrebne rezultate i uvjete iz procjene utjecaja na okoliš, koja se dovršava u skladu s Direktivom 2011/92/EU, kao i relevantne procjene u kontekstu Direktive 2000/60/EZ i Direktive Vijeća 92/43/EE.</w:t>
            </w:r>
          </w:p>
        </w:tc>
      </w:tr>
      <w:tr w:rsidR="00615E2D" w14:paraId="35697EF0" w14:textId="77777777">
        <w:trPr>
          <w:trHeight w:val="755"/>
          <w:jc w:val="center"/>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9138E3" w14:textId="77777777" w:rsidR="00615E2D" w:rsidRDefault="00C83E46">
            <w:pPr>
              <w:pStyle w:val="P68B1DB1-Normal15"/>
              <w:spacing w:line="240" w:lineRule="auto"/>
              <w:rPr>
                <w:noProof/>
              </w:rPr>
            </w:pPr>
            <w:r>
              <w:rPr>
                <w:noProof/>
              </w:rPr>
              <w:t>143</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34049B5" w14:textId="77777777" w:rsidR="00615E2D" w:rsidRDefault="00C83E46">
            <w:pPr>
              <w:pStyle w:val="P68B1DB1-Normal15"/>
              <w:spacing w:line="240" w:lineRule="auto"/>
              <w:rPr>
                <w:noProof/>
              </w:rPr>
            </w:pPr>
            <w:r>
              <w:rPr>
                <w:noProof/>
              </w:rPr>
              <w:t>Ulaganje 5: Zadržavanje vode u šumama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589E83" w14:textId="1ED45A0B" w:rsidR="00615E2D" w:rsidRDefault="00C83E46">
            <w:pPr>
              <w:pStyle w:val="P68B1DB1-Normal28"/>
              <w:spacing w:line="240" w:lineRule="auto"/>
              <w:rPr>
                <w:noProof/>
                <w:color w:val="004300"/>
              </w:rPr>
            </w:pPr>
            <w:r>
              <w:rPr>
                <w:noProof/>
              </w:rPr>
              <w:t>Ciljna</w:t>
            </w:r>
          </w:p>
        </w:tc>
        <w:tc>
          <w:tcPr>
            <w:tcW w:w="1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6C5E7CC" w14:textId="77777777" w:rsidR="00615E2D" w:rsidRDefault="00C83E46">
            <w:pPr>
              <w:pStyle w:val="P68B1DB1-Normal15"/>
              <w:spacing w:line="240" w:lineRule="auto"/>
              <w:rPr>
                <w:noProof/>
              </w:rPr>
            </w:pPr>
            <w:r>
              <w:rPr>
                <w:noProof/>
              </w:rPr>
              <w:t>T2: Završetak 20 dodatnih projekata torrentne kontrole (male drvene i prirodne kamene brane) za usporavanje površinskog otjecanja i projekata zadržavanja vode u šumama (zadržavanje i mali rezervoari).</w:t>
            </w:r>
          </w:p>
        </w:tc>
        <w:tc>
          <w:tcPr>
            <w:tcW w:w="1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15A5FA4" w14:textId="77777777" w:rsidR="00615E2D" w:rsidRDefault="00C83E46">
            <w:pPr>
              <w:pStyle w:val="P68B1DB1-Normal15"/>
              <w:spacing w:line="240" w:lineRule="auto"/>
              <w:rPr>
                <w:noProof/>
              </w:rPr>
            </w:pPr>
            <w:r>
              <w:rPr>
                <w:noProof/>
              </w:rPr>
              <w:t xml:space="preserve">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313EAF2" w14:textId="77777777" w:rsidR="00615E2D" w:rsidRDefault="00C83E46">
            <w:pPr>
              <w:pStyle w:val="P68B1DB1-Normal15"/>
              <w:spacing w:line="240" w:lineRule="auto"/>
              <w:rPr>
                <w:noProof/>
              </w:rPr>
            </w:pPr>
            <w:r>
              <w:rPr>
                <w:noProof/>
              </w:rPr>
              <w:t xml:space="preserve"> Broj projekata</w:t>
            </w:r>
          </w:p>
        </w:tc>
        <w:tc>
          <w:tcPr>
            <w:tcW w:w="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2933FB" w14:textId="77777777" w:rsidR="00615E2D" w:rsidRDefault="00C83E46">
            <w:pPr>
              <w:pStyle w:val="P68B1DB1-Normal15"/>
              <w:spacing w:line="240" w:lineRule="auto"/>
              <w:rPr>
                <w:noProof/>
              </w:rPr>
            </w:pPr>
            <w:r>
              <w:rPr>
                <w:noProof/>
              </w:rPr>
              <w:t xml:space="preserve">40 </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DBC1DF1" w14:textId="77777777" w:rsidR="00615E2D" w:rsidRDefault="00C83E46">
            <w:pPr>
              <w:pStyle w:val="P68B1DB1-Normal15"/>
              <w:spacing w:line="240" w:lineRule="auto"/>
              <w:rPr>
                <w:noProof/>
              </w:rPr>
            </w:pPr>
            <w:r>
              <w:rPr>
                <w:noProof/>
              </w:rPr>
              <w:t xml:space="preserve"> 60</w:t>
            </w:r>
          </w:p>
        </w:tc>
        <w:tc>
          <w:tcPr>
            <w:tcW w:w="9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D586C2" w14:textId="77777777" w:rsidR="00615E2D" w:rsidRDefault="00C83E46">
            <w:pPr>
              <w:pStyle w:val="P68B1DB1-Normal15"/>
              <w:spacing w:line="240" w:lineRule="auto"/>
              <w:rPr>
                <w:noProof/>
              </w:rPr>
            </w:pPr>
            <w:r>
              <w:rPr>
                <w:noProof/>
              </w:rPr>
              <w:t>TROMJESEČJE</w:t>
            </w:r>
          </w:p>
        </w:tc>
        <w:tc>
          <w:tcPr>
            <w:tcW w:w="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9FA301" w14:textId="77777777" w:rsidR="00615E2D" w:rsidRDefault="00C83E46">
            <w:pPr>
              <w:pStyle w:val="P68B1DB1-Normal15"/>
              <w:spacing w:line="240" w:lineRule="auto"/>
              <w:rPr>
                <w:noProof/>
              </w:rPr>
            </w:pPr>
            <w:r>
              <w:rPr>
                <w:noProof/>
              </w:rPr>
              <w:t>2024</w:t>
            </w:r>
          </w:p>
        </w:tc>
        <w:tc>
          <w:tcPr>
            <w:tcW w:w="48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D3D5818" w14:textId="064F0020" w:rsidR="00615E2D" w:rsidRDefault="00C83E46">
            <w:pPr>
              <w:pStyle w:val="P68B1DB1-Normal15"/>
              <w:spacing w:line="240" w:lineRule="auto"/>
              <w:jc w:val="both"/>
              <w:rPr>
                <w:noProof/>
              </w:rPr>
            </w:pPr>
            <w:r>
              <w:rPr>
                <w:noProof/>
              </w:rPr>
              <w:t xml:space="preserve">Izvješće o dovršetku koje je izradilo neovisno tijelo certificirano za 20 dodatnih projekata. Projekti se u najvećoj mogućoj mjeri temelje na prirodi (u skladu s nacionalnim akcijskim planom za prilagodbu klimatskim promjenama i nacionalnom politikom Češke za borbu protiv suša). Projekti projekata uključuju potrebne rezultate i uvjete iz procjene utjecaja na okoliš, koja se dovršava u skladu s Direktivom 2011/92/EU, kao i relevantne procjene u kontekstu Direktive 2000/60/EZ i Direktive Vijeća 92/43/EE. </w:t>
            </w:r>
          </w:p>
        </w:tc>
      </w:tr>
    </w:tbl>
    <w:p w14:paraId="2B379E85" w14:textId="77777777" w:rsidR="00615E2D" w:rsidRDefault="00615E2D">
      <w:pPr>
        <w:pBdr>
          <w:top w:val="nil"/>
          <w:left w:val="nil"/>
          <w:bottom w:val="nil"/>
          <w:right w:val="nil"/>
          <w:between w:val="nil"/>
        </w:pBdr>
        <w:spacing w:line="240" w:lineRule="auto"/>
        <w:rPr>
          <w:rFonts w:eastAsia="Times New Roman"/>
          <w:noProof/>
          <w:color w:val="000000"/>
        </w:rPr>
        <w:sectPr w:rsidR="00615E2D" w:rsidSect="00786C7E">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1134" w:right="1134" w:bottom="1134" w:left="1134" w:header="567" w:footer="567" w:gutter="0"/>
          <w:cols w:space="720"/>
          <w:docGrid w:linePitch="326"/>
        </w:sectPr>
      </w:pPr>
    </w:p>
    <w:p w14:paraId="0FC92C49" w14:textId="75FF3BC4" w:rsidR="00615E2D" w:rsidRDefault="00C83E46">
      <w:pPr>
        <w:pStyle w:val="P68B1DB1-Normal2"/>
        <w:keepNext/>
        <w:tabs>
          <w:tab w:val="left" w:pos="850"/>
        </w:tabs>
        <w:spacing w:line="240" w:lineRule="auto"/>
        <w:jc w:val="both"/>
        <w:outlineLvl w:val="0"/>
        <w:rPr>
          <w:noProof/>
          <w:color w:val="000000"/>
        </w:rPr>
      </w:pPr>
      <w:r>
        <w:rPr>
          <w:noProof/>
        </w:rPr>
        <w:t xml:space="preserve">N. SASTAVNI DIO 2.7.: </w:t>
      </w:r>
      <w:r>
        <w:rPr>
          <w:noProof/>
          <w:color w:val="000000" w:themeColor="text1"/>
        </w:rPr>
        <w:t>Kružno gospodarstvo, recikliranje i industrijska voda</w:t>
      </w:r>
    </w:p>
    <w:p w14:paraId="33B4A970" w14:textId="6EA748C7" w:rsidR="00615E2D" w:rsidRDefault="00C83E46">
      <w:pPr>
        <w:pStyle w:val="P68B1DB1-Normal13"/>
        <w:pBdr>
          <w:top w:val="nil"/>
          <w:left w:val="nil"/>
          <w:bottom w:val="nil"/>
          <w:right w:val="nil"/>
          <w:between w:val="nil"/>
        </w:pBdr>
        <w:spacing w:line="240" w:lineRule="auto"/>
        <w:jc w:val="both"/>
        <w:rPr>
          <w:noProof/>
        </w:rPr>
      </w:pPr>
      <w:r>
        <w:rPr>
          <w:noProof/>
        </w:rPr>
        <w:t xml:space="preserve">Tom komponentom češkog plana za oporavak i otpornost podupire se rješavanje problema stvaranja otpada i ovisnosti o sirovinama kako bi se podržao prelazak na kružno gospodarstvo u Češkoj. To će se postići mjerama za sprečavanje nastanka otpada, povećanjem infrastrukture za recikliranje, smanjenjem rasipanja sekundarnih sirovina, povećanjem udjela recikliranih materijala u proizvodima i povećanjem sigurnosti sirovina u Češkoj smanjenjem ovisnosti o uvezenim sirovinama zbog stalne i neprekidne dostupnosti sirovina. Osim toga, komponenta je usmjerena na održivo upravljanje vodama, uključujući mjere usmjerene na uštedu i recikliranje vode te optimizaciju upotrebe vode u poduzećima. Prijelaz na kružno gospodarstvo pridonijet će povećanju otpornosti Češke na ekološke i gospodarske prijetnje. </w:t>
      </w:r>
    </w:p>
    <w:p w14:paraId="34D4FB04"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Komponentom se podupire odgovor na preporuku za Češku, u skladu s kojom će Češka usmjeriti investicijsku politiku na niskougljičnu i energetsku tranziciju, uključujući energetsku učinkovitost (preporuka za pojedinu zemlju br. 3 2019.), i preporuku za pojedinu zemlju, u skladu s kojom Češka nastoji usmjeriti ulaganja u zelenu i digitalnu tranziciju, posebno u čistu i učinkovitu proizvodnju i uporabu energije (preporuka za pojedinu zemlju br. 3 2020.). </w:t>
      </w:r>
    </w:p>
    <w:p w14:paraId="0C87A967" w14:textId="17C8174C"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68700D21" w14:textId="59A8D60D" w:rsidR="00615E2D" w:rsidRDefault="00615E2D">
      <w:pPr>
        <w:pBdr>
          <w:top w:val="nil"/>
          <w:left w:val="nil"/>
          <w:bottom w:val="nil"/>
          <w:right w:val="nil"/>
          <w:between w:val="nil"/>
        </w:pBdr>
        <w:spacing w:line="240" w:lineRule="auto"/>
        <w:jc w:val="both"/>
        <w:rPr>
          <w:i/>
          <w:noProof/>
        </w:rPr>
      </w:pPr>
    </w:p>
    <w:p w14:paraId="2DB48760" w14:textId="66DB705A" w:rsidR="00615E2D" w:rsidRDefault="00C83E46">
      <w:pPr>
        <w:pStyle w:val="P68B1DB1-Normal8"/>
        <w:pBdr>
          <w:top w:val="nil"/>
          <w:left w:val="nil"/>
          <w:bottom w:val="nil"/>
          <w:right w:val="nil"/>
          <w:between w:val="nil"/>
        </w:pBdr>
        <w:spacing w:line="240" w:lineRule="auto"/>
        <w:jc w:val="both"/>
        <w:rPr>
          <w:i/>
          <w:noProof/>
        </w:rPr>
      </w:pPr>
      <w:r>
        <w:rPr>
          <w:noProof/>
        </w:rPr>
        <w:t>N.1. Opis reformi i ulaganja za programe bespovratne financijske potpore</w:t>
      </w:r>
    </w:p>
    <w:p w14:paraId="01BA464B" w14:textId="77777777" w:rsidR="00615E2D" w:rsidRDefault="00C83E46">
      <w:pPr>
        <w:pStyle w:val="P68B1DB1-Normal13"/>
        <w:pBdr>
          <w:top w:val="nil"/>
          <w:left w:val="nil"/>
          <w:bottom w:val="nil"/>
          <w:right w:val="nil"/>
          <w:between w:val="nil"/>
        </w:pBdr>
        <w:spacing w:line="240" w:lineRule="auto"/>
        <w:jc w:val="both"/>
        <w:rPr>
          <w:noProof/>
        </w:rPr>
      </w:pPr>
      <w:r>
        <w:rPr>
          <w:b/>
          <w:noProof/>
        </w:rPr>
        <w:t>Reforma 1.: Provedba novog zakonodavstva o gospodarenju otpadom u Češkoj Republici</w:t>
      </w:r>
      <w:r>
        <w:rPr>
          <w:noProof/>
        </w:rPr>
        <w:t xml:space="preserve"> </w:t>
      </w:r>
    </w:p>
    <w:p w14:paraId="62276B9C" w14:textId="77777777" w:rsidR="00615E2D" w:rsidRDefault="00C83E46">
      <w:pPr>
        <w:spacing w:line="240" w:lineRule="auto"/>
        <w:jc w:val="both"/>
        <w:rPr>
          <w:noProof/>
          <w:color w:val="000000"/>
        </w:rPr>
      </w:pPr>
      <w:r>
        <w:rPr>
          <w:rFonts w:eastAsia="Times New Roman"/>
          <w:noProof/>
        </w:rPr>
        <w:t>Cilj je reforme povećati sprečavanje, recikliranje, oporabu i razvrstavanje otpada te smanjiti odlaganje otpada na odlagališta s ciljem jačanja načela odgovornosti proizvođača i ekomodulacije. Do 2035. najmanje 65 % komunalnog otpada mora se reciklirati,</w:t>
      </w:r>
      <w:r>
        <w:rPr>
          <w:rFonts w:eastAsia="Times New Roman"/>
          <w:noProof/>
        </w:rPr>
        <w:footnoteReference w:id="14"/>
      </w:r>
      <w:r>
        <w:rPr>
          <w:rFonts w:eastAsia="Times New Roman"/>
          <w:noProof/>
        </w:rPr>
        <w:t xml:space="preserve"> a najviše 10 % odlaže se na odlagališta</w:t>
      </w:r>
      <w:r>
        <w:rPr>
          <w:rFonts w:eastAsia="Times New Roman"/>
          <w:noProof/>
        </w:rPr>
        <w:footnoteReference w:id="15"/>
      </w:r>
      <w:r>
        <w:rPr>
          <w:rFonts w:eastAsia="Times New Roman"/>
          <w:noProof/>
        </w:rPr>
        <w:t>. Novo zakonodavstvo o gospodarenju otpadom u Češkoj na snazi je od 1. siječnja 2021. Nakon donošenja zakonodavstva o otpadu sljedeći provedbeni akti o gospodarenju otpadom dovršavaju se i stupaju na snagu do 30. rujna 2023.</w:t>
      </w:r>
      <w:r>
        <w:rPr>
          <w:rFonts w:ascii="Times" w:eastAsia="Times" w:hAnsi="Times" w:cs="Times"/>
          <w:noProof/>
        </w:rPr>
        <w:t>u skladu s elementima navedenima u članku 28. Direktive 2008/98/EZ kako je izmijenjena Direktivom (EU) 2018/851</w:t>
      </w:r>
      <w:r>
        <w:rPr>
          <w:rFonts w:eastAsia="Times New Roman"/>
          <w:noProof/>
        </w:rPr>
        <w:t xml:space="preserve">: </w:t>
      </w:r>
    </w:p>
    <w:p w14:paraId="1D581AA4" w14:textId="77777777" w:rsidR="00615E2D" w:rsidRDefault="00C83E46">
      <w:pPr>
        <w:pStyle w:val="P68B1DB1-Normal37"/>
        <w:numPr>
          <w:ilvl w:val="0"/>
          <w:numId w:val="160"/>
        </w:numPr>
        <w:spacing w:line="240" w:lineRule="auto"/>
        <w:jc w:val="both"/>
        <w:rPr>
          <w:noProof/>
        </w:rPr>
      </w:pPr>
      <w:r>
        <w:rPr>
          <w:noProof/>
        </w:rPr>
        <w:t>Uredba o Katalogu otpada br. 8/2021 zb., kojom se uspostavlja novi Katalog otpada i utvrđuju pravila za procjenu opasnih svojstava otpada</w:t>
      </w:r>
    </w:p>
    <w:p w14:paraId="5802BD53" w14:textId="77777777" w:rsidR="00615E2D" w:rsidRDefault="00C83E46">
      <w:pPr>
        <w:pStyle w:val="P68B1DB1-Normal38"/>
        <w:numPr>
          <w:ilvl w:val="0"/>
          <w:numId w:val="160"/>
        </w:numPr>
        <w:spacing w:line="240" w:lineRule="auto"/>
        <w:jc w:val="both"/>
        <w:rPr>
          <w:noProof/>
          <w:color w:val="000000"/>
        </w:rPr>
      </w:pPr>
      <w:r>
        <w:rPr>
          <w:noProof/>
        </w:rPr>
        <w:t>Pravilnik o upravljanju ambalažom br. 30/2021 zb., kojim se utvrđuju pravila o registru ambalaže i obavješćivanju o evidenciji iz takvog registra te metodologija za obračunavanje upotrebe ambalaže.</w:t>
      </w:r>
    </w:p>
    <w:p w14:paraId="7C25F862" w14:textId="55E0B3BA" w:rsidR="00615E2D" w:rsidRDefault="00C83E46">
      <w:pPr>
        <w:pStyle w:val="P68B1DB1-Normal38"/>
        <w:numPr>
          <w:ilvl w:val="0"/>
          <w:numId w:val="160"/>
        </w:numPr>
        <w:spacing w:line="240" w:lineRule="auto"/>
        <w:jc w:val="both"/>
        <w:rPr>
          <w:noProof/>
          <w:color w:val="000000"/>
        </w:rPr>
      </w:pPr>
      <w:r>
        <w:rPr>
          <w:noProof/>
        </w:rPr>
        <w:t>Uredba o pojedinostima gospodarenja otpadom u pripremi, provedbi izmijenjenog Zakona o otpadu i utvrđivanju pravila za gospodarenje svim tokovima otpada.</w:t>
      </w:r>
    </w:p>
    <w:p w14:paraId="57B6C2A2" w14:textId="7AB0B891" w:rsidR="00615E2D" w:rsidRDefault="00C83E46">
      <w:pPr>
        <w:pStyle w:val="P68B1DB1-Normal38"/>
        <w:numPr>
          <w:ilvl w:val="0"/>
          <w:numId w:val="160"/>
        </w:numPr>
        <w:spacing w:line="240" w:lineRule="auto"/>
        <w:jc w:val="both"/>
        <w:rPr>
          <w:noProof/>
          <w:color w:val="000000"/>
        </w:rPr>
      </w:pPr>
      <w:r>
        <w:rPr>
          <w:noProof/>
        </w:rPr>
        <w:t>Uredba o nusproizvodima i pretvorbi otpada (asphaltska uredba), u pripremi, kojom se utvrđuju uvjeti pod kojima je mješavina asfalta nusproizvod ili prestaje biti otpad.</w:t>
      </w:r>
    </w:p>
    <w:p w14:paraId="1955A495" w14:textId="09108129" w:rsidR="00615E2D" w:rsidRDefault="00C83E46">
      <w:pPr>
        <w:pStyle w:val="P68B1DB1-Normal38"/>
        <w:numPr>
          <w:ilvl w:val="0"/>
          <w:numId w:val="160"/>
        </w:numPr>
        <w:spacing w:line="240" w:lineRule="auto"/>
        <w:jc w:val="both"/>
        <w:rPr>
          <w:noProof/>
        </w:rPr>
      </w:pPr>
      <w:r>
        <w:rPr>
          <w:noProof/>
        </w:rPr>
        <w:t>Uredba o načinu upravljanja otpadnim vozilima, u pripremi, utvrđivanju pravila za prikupljanje i obradu otpadnih vozila te načinu izračuna razine ponovne uporabe i recikliranja ili druge oporabe otpadnih vozila.</w:t>
      </w:r>
    </w:p>
    <w:p w14:paraId="0597B8E8" w14:textId="29049EBD" w:rsidR="00615E2D" w:rsidRDefault="00C83E46">
      <w:pPr>
        <w:pStyle w:val="P68B1DB1-Normal38"/>
        <w:numPr>
          <w:ilvl w:val="0"/>
          <w:numId w:val="160"/>
        </w:numPr>
        <w:spacing w:after="0" w:line="240" w:lineRule="auto"/>
        <w:contextualSpacing/>
        <w:jc w:val="both"/>
        <w:rPr>
          <w:noProof/>
        </w:rPr>
      </w:pPr>
      <w:r>
        <w:rPr>
          <w:noProof/>
        </w:rPr>
        <w:t>Uredba o gospodarenju otpadnim proizvodima u pripremi, kojom se utvrđuju uvjeti za provođenje informativnih kampanja za podizanje svijesti javnosti o obradi proizvoda na kraju životnog vijeka i utvrđuju tehnički zahtjevi za skladištenje i uporabu električnog i elektroničkog otpada kao što su otpadne baterije i akumulatori, otpadna električna oprema i otpadne gume.</w:t>
      </w:r>
    </w:p>
    <w:p w14:paraId="289D486A" w14:textId="77777777" w:rsidR="00615E2D" w:rsidRDefault="00C83E46">
      <w:pPr>
        <w:pStyle w:val="P68B1DB1-Normal38"/>
        <w:spacing w:line="240" w:lineRule="auto"/>
        <w:jc w:val="both"/>
        <w:rPr>
          <w:noProof/>
        </w:rPr>
      </w:pPr>
      <w:r>
        <w:rPr>
          <w:noProof/>
        </w:rPr>
        <w:t xml:space="preserve">Nacionalni i regionalni planovi gospodarenja otpadom, čiji je cilj poboljšanje pripreme za ponovnu uporabu, recikliranje, oporabu i zbrinjavanje otpada na način prihvatljiv za okoliš, dovršavaju se i stupaju na snagu. </w:t>
      </w:r>
    </w:p>
    <w:p w14:paraId="34EFE3D3" w14:textId="77777777" w:rsidR="00615E2D" w:rsidRDefault="00C83E46">
      <w:pPr>
        <w:pStyle w:val="P68B1DB1-Normal38"/>
        <w:spacing w:line="240" w:lineRule="auto"/>
        <w:jc w:val="both"/>
        <w:rPr>
          <w:noProof/>
          <w:color w:val="000000"/>
        </w:rPr>
      </w:pPr>
      <w:r>
        <w:rPr>
          <w:noProof/>
        </w:rPr>
        <w:t xml:space="preserve">Reforma će biti dovršena do 31. prosinca 2023. </w:t>
      </w:r>
    </w:p>
    <w:p w14:paraId="7203DCE8" w14:textId="77777777" w:rsidR="00615E2D" w:rsidRDefault="00C83E46">
      <w:pPr>
        <w:pStyle w:val="P68B1DB1-Normal13"/>
        <w:pBdr>
          <w:top w:val="nil"/>
          <w:left w:val="nil"/>
          <w:bottom w:val="nil"/>
          <w:right w:val="nil"/>
          <w:between w:val="nil"/>
        </w:pBdr>
        <w:spacing w:line="240" w:lineRule="auto"/>
        <w:jc w:val="both"/>
        <w:rPr>
          <w:noProof/>
        </w:rPr>
      </w:pPr>
      <w:r>
        <w:rPr>
          <w:b/>
          <w:noProof/>
        </w:rPr>
        <w:t>Reforma br. 2: Dovršetak i provedba kružne strategije za Češku 2040.</w:t>
      </w:r>
      <w:r>
        <w:rPr>
          <w:noProof/>
        </w:rPr>
        <w:t xml:space="preserve"> </w:t>
      </w:r>
    </w:p>
    <w:p w14:paraId="193EA685" w14:textId="77777777" w:rsidR="00615E2D" w:rsidRDefault="00C83E46">
      <w:pPr>
        <w:pStyle w:val="P68B1DB1-Normal13"/>
        <w:pBdr>
          <w:top w:val="nil"/>
          <w:left w:val="nil"/>
          <w:bottom w:val="nil"/>
          <w:right w:val="nil"/>
          <w:between w:val="nil"/>
        </w:pBdr>
        <w:spacing w:line="240" w:lineRule="auto"/>
        <w:jc w:val="both"/>
        <w:rPr>
          <w:noProof/>
        </w:rPr>
      </w:pPr>
      <w:r>
        <w:rPr>
          <w:noProof/>
        </w:rPr>
        <w:t>Cilj je reforme uspostaviti i započeti provedbu strategije za preobrazbu češkog društva u kružno gospodarstvo. Taj predviđeni sustav kružnog gospodarstva postiže se smanjenjem stvaranja otpada i upotrebe resursa, u skladu s novim akcijskim planom EU-a za kružno gospodarstvo.</w:t>
      </w:r>
    </w:p>
    <w:p w14:paraId="13870812" w14:textId="77777777" w:rsidR="00615E2D" w:rsidRDefault="00C83E46">
      <w:pPr>
        <w:pBdr>
          <w:top w:val="nil"/>
          <w:left w:val="nil"/>
          <w:bottom w:val="nil"/>
          <w:right w:val="nil"/>
          <w:between w:val="nil"/>
        </w:pBdr>
        <w:spacing w:line="240" w:lineRule="auto"/>
        <w:jc w:val="both"/>
        <w:rPr>
          <w:noProof/>
          <w:color w:val="000000"/>
        </w:rPr>
      </w:pPr>
      <w:r>
        <w:rPr>
          <w:rFonts w:eastAsia="Times New Roman"/>
          <w:noProof/>
          <w:color w:val="000000"/>
        </w:rPr>
        <w:t>Reforma se sastoji od dovršetka i provedbe strategije za kružno gospodarstvo za Češku za 2040., kojom</w:t>
      </w:r>
      <w:r>
        <w:rPr>
          <w:rFonts w:eastAsia="Times New Roman"/>
          <w:noProof/>
        </w:rPr>
        <w:t xml:space="preserve"> </w:t>
      </w:r>
      <w:r>
        <w:rPr>
          <w:noProof/>
          <w:color w:val="000000"/>
        </w:rPr>
        <w:t>se promiču načela kružnog gospodarstva i dodatno definiraju potrebni prioriteti i koraci kako bi Češka dugoročno postala otporna na buduće prijetnje okolišu, uključujući klimatske promjene i gubitak bioraznolikosti, te razvila opći održivi socijalni sustav. Skraćenim i diversificiranim lancima opskrbe i manjom ovisnošću o primarnim resursima kružno gospodarstvo doprinosi većoj strateškoj autonomiji i otpornosti Češke. Strategijom se, među ostalim, potiču poduzeća, potrošači, gradovi i općine da podupiru kružna rješenja dizajnom i proizvodnjom proizvoda, inovacijama, istraživanjem, digitalizacijom i obrazovanjem. Strategija će biti dovršena do 31. ožujka 2022., nakon čega slijedi akcijski plan.</w:t>
      </w:r>
    </w:p>
    <w:p w14:paraId="3E4D6684" w14:textId="77777777" w:rsidR="00615E2D" w:rsidRDefault="00C83E46">
      <w:pPr>
        <w:pStyle w:val="P68B1DB1-Normal13"/>
        <w:pBdr>
          <w:top w:val="nil"/>
          <w:left w:val="nil"/>
          <w:bottom w:val="nil"/>
          <w:right w:val="nil"/>
          <w:between w:val="nil"/>
        </w:pBdr>
        <w:spacing w:line="240" w:lineRule="auto"/>
        <w:jc w:val="both"/>
        <w:rPr>
          <w:noProof/>
        </w:rPr>
      </w:pPr>
      <w:r>
        <w:rPr>
          <w:noProof/>
        </w:rPr>
        <w:t xml:space="preserve">Reforma mora biti dovršena do 30. rujna 2025. </w:t>
      </w:r>
    </w:p>
    <w:p w14:paraId="3A62B6D6" w14:textId="15BB894F" w:rsidR="00615E2D" w:rsidRDefault="00C83E46">
      <w:pPr>
        <w:pStyle w:val="P68B1DB1-Normal13"/>
        <w:pBdr>
          <w:top w:val="nil"/>
          <w:left w:val="nil"/>
          <w:bottom w:val="nil"/>
          <w:right w:val="nil"/>
          <w:between w:val="nil"/>
        </w:pBdr>
        <w:spacing w:line="240" w:lineRule="auto"/>
        <w:rPr>
          <w:noProof/>
        </w:rPr>
      </w:pPr>
      <w:r>
        <w:rPr>
          <w:b/>
          <w:noProof/>
        </w:rPr>
        <w:t>Ulaganje 1</w:t>
      </w:r>
      <w:r>
        <w:rPr>
          <w:noProof/>
        </w:rPr>
        <w:t xml:space="preserve">: </w:t>
      </w:r>
      <w:r>
        <w:rPr>
          <w:b/>
          <w:noProof/>
        </w:rPr>
        <w:t>Izgradnja infrastrukture za recikliranje</w:t>
      </w:r>
      <w:r>
        <w:rPr>
          <w:noProof/>
        </w:rPr>
        <w:t xml:space="preserve"> </w:t>
      </w:r>
    </w:p>
    <w:p w14:paraId="3339B5BE" w14:textId="0A35F3B4" w:rsidR="00615E2D" w:rsidRDefault="00C83E46">
      <w:pPr>
        <w:pStyle w:val="P68B1DB1-Normal3"/>
        <w:autoSpaceDE w:val="0"/>
        <w:autoSpaceDN w:val="0"/>
        <w:spacing w:after="0" w:line="240" w:lineRule="auto"/>
        <w:rPr>
          <w:noProof/>
          <w:color w:val="006100"/>
          <w:sz w:val="18"/>
        </w:rPr>
      </w:pPr>
      <w:r>
        <w:rPr>
          <w:noProof/>
        </w:rPr>
        <w:t xml:space="preserve">Opći je cilj ove mjere poduprijeti ulaganja koja vode razvoju kružnog gospodarstva u području gospodarenja biorazgradivim otpadom. Mjerom se podupiru projekti za poboljšanje kapaciteta recikliranja biorazgradivog otpada i projekti usmjereni na ponovno uvođenje komposta i otpada iz digestora bioplina u tlo.  </w:t>
      </w:r>
    </w:p>
    <w:p w14:paraId="31C7B5B3" w14:textId="77777777" w:rsidR="00615E2D" w:rsidRDefault="00C83E46">
      <w:pPr>
        <w:pStyle w:val="P68B1DB1-Normal13"/>
        <w:pBdr>
          <w:top w:val="nil"/>
          <w:left w:val="nil"/>
          <w:bottom w:val="nil"/>
          <w:right w:val="nil"/>
          <w:between w:val="nil"/>
        </w:pBdr>
        <w:spacing w:line="240" w:lineRule="auto"/>
        <w:jc w:val="both"/>
        <w:rPr>
          <w:noProof/>
        </w:rPr>
      </w:pPr>
      <w:r>
        <w:rPr>
          <w:noProof/>
        </w:rPr>
        <w:t>Ulaganje mora biti dovršeno do 31. prosinca 2025.</w:t>
      </w:r>
    </w:p>
    <w:p w14:paraId="559274FC" w14:textId="5DE82F3C" w:rsidR="00615E2D" w:rsidRDefault="00C83E46">
      <w:pPr>
        <w:pStyle w:val="P68B1DB1-Normal14"/>
        <w:spacing w:line="240" w:lineRule="auto"/>
        <w:rPr>
          <w:noProof/>
        </w:rPr>
      </w:pPr>
      <w:r>
        <w:rPr>
          <w:noProof/>
        </w:rPr>
        <w:t>Ulaganje 2: Kružna rješenja u poduzećima</w:t>
      </w:r>
    </w:p>
    <w:p w14:paraId="6E9EC308" w14:textId="77777777" w:rsidR="00615E2D" w:rsidRDefault="00C83E46">
      <w:pPr>
        <w:pBdr>
          <w:top w:val="nil"/>
          <w:left w:val="nil"/>
          <w:bottom w:val="nil"/>
          <w:right w:val="nil"/>
          <w:between w:val="nil"/>
        </w:pBdr>
        <w:spacing w:line="240" w:lineRule="auto"/>
        <w:jc w:val="both"/>
        <w:rPr>
          <w:noProof/>
          <w:color w:val="000000"/>
        </w:rPr>
      </w:pPr>
      <w:r>
        <w:rPr>
          <w:noProof/>
          <w:color w:val="000000"/>
        </w:rPr>
        <w:t>Cilj je mjere pridonijeti zelenoj tranziciji i održivoj upotrebi primarnih sirovina. U tu svrhu mjerom se podupiru projekti kojima se promiče razvoj rješenja kružnog gospodarstva među poduzećima. To uključuje ulaganja u inovativne tehnologije kojima se i. omogućuje nova ili povećana upotreba sekundarnih sirovina kao zamjene za primarne resurse i ii.</w:t>
      </w:r>
      <w:r>
        <w:rPr>
          <w:noProof/>
          <w:color w:val="000000"/>
          <w:highlight w:val="white"/>
        </w:rPr>
        <w:t xml:space="preserve"> smanjuje</w:t>
      </w:r>
      <w:r>
        <w:rPr>
          <w:noProof/>
        </w:rPr>
        <w:t xml:space="preserve"> </w:t>
      </w:r>
      <w:r>
        <w:rPr>
          <w:noProof/>
          <w:color w:val="000000"/>
          <w:highlight w:val="white"/>
        </w:rPr>
        <w:t>intenzitet inputa proizvodnje i zamjenjuje primarne sirovine sekundarnim sirovinama</w:t>
      </w:r>
      <w:r>
        <w:rPr>
          <w:noProof/>
          <w:color w:val="000000"/>
        </w:rPr>
        <w:t xml:space="preserve">. </w:t>
      </w:r>
    </w:p>
    <w:p w14:paraId="5BAD01CA" w14:textId="77777777" w:rsidR="00615E2D" w:rsidRDefault="00C83E46">
      <w:pPr>
        <w:pBdr>
          <w:top w:val="nil"/>
          <w:left w:val="nil"/>
          <w:bottom w:val="nil"/>
          <w:right w:val="nil"/>
          <w:between w:val="nil"/>
        </w:pBdr>
        <w:spacing w:line="240" w:lineRule="auto"/>
        <w:jc w:val="both"/>
        <w:rPr>
          <w:b/>
          <w:noProof/>
        </w:rPr>
      </w:pPr>
      <w:r>
        <w:rPr>
          <w:noProof/>
        </w:rPr>
        <w:t xml:space="preserve">Mjera je usmjerena i na </w:t>
      </w:r>
      <w:r>
        <w:rPr>
          <w:noProof/>
          <w:highlight w:val="white"/>
        </w:rPr>
        <w:t xml:space="preserve">optimizaciju ekološkog dizajna materijala kako bi se olakšalo recikliranje i ponovna uporaba, uz projekte industrijske simbioze i druge investicijske poslovne projekte koji doprinose prijelazu </w:t>
      </w:r>
      <w:r>
        <w:rPr>
          <w:noProof/>
        </w:rPr>
        <w:t xml:space="preserve">na kružno gospodarstvo. Naposljetku, </w:t>
      </w:r>
      <w:r>
        <w:rPr>
          <w:noProof/>
          <w:highlight w:val="white"/>
        </w:rPr>
        <w:t>ulaganjem se podupiru projekti usmjereni na ciljanu primjenu recikliranih materijala u proizvodima</w:t>
      </w:r>
      <w:r>
        <w:rPr>
          <w:noProof/>
        </w:rPr>
        <w:t xml:space="preserve">. Očekuje se potpora za najmanje 60 poduzeća. </w:t>
      </w:r>
    </w:p>
    <w:p w14:paraId="172A9434" w14:textId="77777777" w:rsidR="00615E2D" w:rsidRDefault="00C83E46">
      <w:pPr>
        <w:pBdr>
          <w:top w:val="nil"/>
          <w:left w:val="nil"/>
          <w:bottom w:val="nil"/>
          <w:right w:val="nil"/>
          <w:between w:val="nil"/>
        </w:pBdr>
        <w:spacing w:line="240" w:lineRule="auto"/>
        <w:jc w:val="both"/>
        <w:rPr>
          <w:noProof/>
        </w:rPr>
      </w:pPr>
      <w:r>
        <w:rPr>
          <w:noProof/>
        </w:rPr>
        <w:t>Ulaganje mora biti dovršeno do 31. prosinca 2025.</w:t>
      </w:r>
    </w:p>
    <w:p w14:paraId="57843EFE" w14:textId="77777777" w:rsidR="00615E2D" w:rsidRDefault="00C83E46">
      <w:pPr>
        <w:pStyle w:val="P68B1DB1-Normal13"/>
        <w:pBdr>
          <w:top w:val="nil"/>
          <w:left w:val="nil"/>
          <w:bottom w:val="nil"/>
          <w:right w:val="nil"/>
          <w:between w:val="nil"/>
        </w:pBdr>
        <w:spacing w:line="240" w:lineRule="auto"/>
        <w:rPr>
          <w:b/>
          <w:noProof/>
        </w:rPr>
      </w:pPr>
      <w:r>
        <w:rPr>
          <w:b/>
          <w:noProof/>
        </w:rPr>
        <w:t>Ulaganje 3</w:t>
      </w:r>
      <w:r>
        <w:rPr>
          <w:noProof/>
        </w:rPr>
        <w:t xml:space="preserve">: </w:t>
      </w:r>
      <w:r>
        <w:rPr>
          <w:b/>
          <w:noProof/>
        </w:rPr>
        <w:t>Ušteda vode u industriji</w:t>
      </w:r>
    </w:p>
    <w:p w14:paraId="077187A5" w14:textId="77777777" w:rsidR="00615E2D" w:rsidRDefault="00C83E46">
      <w:pPr>
        <w:pBdr>
          <w:top w:val="nil"/>
          <w:left w:val="nil"/>
          <w:bottom w:val="nil"/>
          <w:right w:val="nil"/>
          <w:between w:val="nil"/>
        </w:pBdr>
        <w:spacing w:line="240" w:lineRule="auto"/>
        <w:rPr>
          <w:noProof/>
        </w:rPr>
      </w:pPr>
      <w:r>
        <w:rPr>
          <w:b/>
          <w:noProof/>
          <w:color w:val="000000"/>
        </w:rPr>
        <w:t xml:space="preserve"> </w:t>
      </w:r>
      <w:r>
        <w:rPr>
          <w:noProof/>
          <w:color w:val="000000"/>
        </w:rPr>
        <w:t xml:space="preserve">Cilj je mjere pridonijeti kružnom gospodarstvu poboljšanjem upravljanja vodama u </w:t>
      </w:r>
      <w:r>
        <w:rPr>
          <w:noProof/>
        </w:rPr>
        <w:t xml:space="preserve">industriji. </w:t>
      </w:r>
    </w:p>
    <w:p w14:paraId="296D719A" w14:textId="77777777" w:rsidR="00615E2D" w:rsidRDefault="00C83E46">
      <w:pPr>
        <w:pBdr>
          <w:top w:val="nil"/>
          <w:left w:val="nil"/>
          <w:bottom w:val="nil"/>
          <w:right w:val="nil"/>
          <w:between w:val="nil"/>
        </w:pBdr>
        <w:spacing w:line="240" w:lineRule="auto"/>
        <w:rPr>
          <w:noProof/>
        </w:rPr>
      </w:pPr>
      <w:r>
        <w:rPr>
          <w:noProof/>
        </w:rPr>
        <w:t xml:space="preserve">Mjera je usmjerena na projekte koji se bave sljedećim pitanjima: </w:t>
      </w:r>
    </w:p>
    <w:p w14:paraId="66ABDE4F" w14:textId="77777777" w:rsidR="00615E2D" w:rsidRDefault="00C83E46">
      <w:pPr>
        <w:numPr>
          <w:ilvl w:val="0"/>
          <w:numId w:val="161"/>
        </w:numPr>
        <w:pBdr>
          <w:top w:val="nil"/>
          <w:left w:val="nil"/>
          <w:bottom w:val="nil"/>
          <w:right w:val="nil"/>
          <w:between w:val="nil"/>
        </w:pBdr>
        <w:spacing w:line="240" w:lineRule="auto"/>
        <w:contextualSpacing/>
        <w:rPr>
          <w:noProof/>
        </w:rPr>
      </w:pPr>
      <w:r>
        <w:rPr>
          <w:noProof/>
        </w:rPr>
        <w:t xml:space="preserve">optimiziranje potrošnje vode ugradnjom novih tehnologija i opreme za uštedu vode, </w:t>
      </w:r>
    </w:p>
    <w:p w14:paraId="6A7C73D5" w14:textId="77777777" w:rsidR="00615E2D" w:rsidRDefault="00C83E46">
      <w:pPr>
        <w:numPr>
          <w:ilvl w:val="0"/>
          <w:numId w:val="161"/>
        </w:numPr>
        <w:pBdr>
          <w:top w:val="nil"/>
          <w:left w:val="nil"/>
          <w:bottom w:val="nil"/>
          <w:right w:val="nil"/>
          <w:between w:val="nil"/>
        </w:pBdr>
        <w:spacing w:line="240" w:lineRule="auto"/>
        <w:contextualSpacing/>
        <w:rPr>
          <w:noProof/>
        </w:rPr>
      </w:pPr>
      <w:r>
        <w:rPr>
          <w:noProof/>
        </w:rPr>
        <w:t>recikliranje vode u proizvodnim sektorima i drugim poslovnim djelatnostima s visokom potrošnjom vode,</w:t>
      </w:r>
    </w:p>
    <w:p w14:paraId="4374AB3D" w14:textId="77777777" w:rsidR="00615E2D" w:rsidRDefault="00C83E46">
      <w:pPr>
        <w:numPr>
          <w:ilvl w:val="0"/>
          <w:numId w:val="161"/>
        </w:numPr>
        <w:pBdr>
          <w:top w:val="nil"/>
          <w:left w:val="nil"/>
          <w:bottom w:val="nil"/>
          <w:right w:val="nil"/>
          <w:between w:val="nil"/>
        </w:pBdr>
        <w:spacing w:line="240" w:lineRule="auto"/>
        <w:contextualSpacing/>
        <w:rPr>
          <w:noProof/>
        </w:rPr>
      </w:pPr>
      <w:r>
        <w:rPr>
          <w:noProof/>
        </w:rPr>
        <w:t xml:space="preserve">ponovno korištenje onečišćene ili upotrijebljene vode za rad u drugim procesima, </w:t>
      </w:r>
    </w:p>
    <w:p w14:paraId="6DDA1C79" w14:textId="77777777" w:rsidR="00615E2D" w:rsidRDefault="00C83E46">
      <w:pPr>
        <w:numPr>
          <w:ilvl w:val="0"/>
          <w:numId w:val="161"/>
        </w:numPr>
        <w:pBdr>
          <w:top w:val="nil"/>
          <w:left w:val="nil"/>
          <w:bottom w:val="nil"/>
          <w:right w:val="nil"/>
          <w:between w:val="nil"/>
        </w:pBdr>
        <w:spacing w:line="240" w:lineRule="auto"/>
        <w:contextualSpacing/>
        <w:rPr>
          <w:noProof/>
        </w:rPr>
      </w:pPr>
      <w:r>
        <w:rPr>
          <w:noProof/>
        </w:rPr>
        <w:t xml:space="preserve">optimizacija korištenja vode u komunalnim postrojenjima, </w:t>
      </w:r>
    </w:p>
    <w:p w14:paraId="63833B93" w14:textId="77777777" w:rsidR="00615E2D" w:rsidRDefault="00C83E46">
      <w:pPr>
        <w:numPr>
          <w:ilvl w:val="0"/>
          <w:numId w:val="161"/>
        </w:numPr>
        <w:pBdr>
          <w:top w:val="nil"/>
          <w:left w:val="nil"/>
          <w:bottom w:val="nil"/>
          <w:right w:val="nil"/>
          <w:between w:val="nil"/>
        </w:pBdr>
        <w:spacing w:line="240" w:lineRule="auto"/>
        <w:contextualSpacing/>
        <w:rPr>
          <w:noProof/>
        </w:rPr>
      </w:pPr>
      <w:r>
        <w:rPr>
          <w:noProof/>
        </w:rPr>
        <w:t>smanjenje gubitka vode u zatvorenim vodoopskrbnim sustavima i sustavima za distribuciju vode,</w:t>
      </w:r>
    </w:p>
    <w:p w14:paraId="3C916CB7" w14:textId="77777777" w:rsidR="00615E2D" w:rsidRDefault="00C83E46">
      <w:pPr>
        <w:numPr>
          <w:ilvl w:val="0"/>
          <w:numId w:val="161"/>
        </w:numPr>
        <w:pBdr>
          <w:top w:val="nil"/>
          <w:left w:val="nil"/>
          <w:bottom w:val="nil"/>
          <w:right w:val="nil"/>
          <w:between w:val="nil"/>
        </w:pBdr>
        <w:spacing w:line="240" w:lineRule="auto"/>
        <w:contextualSpacing/>
        <w:rPr>
          <w:noProof/>
        </w:rPr>
      </w:pPr>
      <w:r>
        <w:rPr>
          <w:noProof/>
        </w:rPr>
        <w:t>iskorištavanje potencijala otpadne pare,</w:t>
      </w:r>
    </w:p>
    <w:p w14:paraId="32047B0D" w14:textId="77777777" w:rsidR="00615E2D" w:rsidRDefault="00C83E46">
      <w:pPr>
        <w:numPr>
          <w:ilvl w:val="0"/>
          <w:numId w:val="161"/>
        </w:numPr>
        <w:pBdr>
          <w:top w:val="nil"/>
          <w:left w:val="nil"/>
          <w:bottom w:val="nil"/>
          <w:right w:val="nil"/>
          <w:between w:val="nil"/>
        </w:pBdr>
        <w:spacing w:line="240" w:lineRule="auto"/>
        <w:contextualSpacing/>
        <w:rPr>
          <w:noProof/>
        </w:rPr>
      </w:pPr>
      <w:r>
        <w:rPr>
          <w:noProof/>
        </w:rPr>
        <w:t xml:space="preserve">ostali projekti usmjereni na poboljšanje upravljanja vodama u industriji. </w:t>
      </w:r>
    </w:p>
    <w:p w14:paraId="70F18201" w14:textId="77777777" w:rsidR="00615E2D" w:rsidRDefault="00C83E46">
      <w:pPr>
        <w:pBdr>
          <w:top w:val="nil"/>
          <w:left w:val="nil"/>
          <w:bottom w:val="nil"/>
          <w:right w:val="nil"/>
          <w:between w:val="nil"/>
        </w:pBdr>
        <w:spacing w:line="240" w:lineRule="auto"/>
        <w:rPr>
          <w:noProof/>
        </w:rPr>
      </w:pPr>
      <w:r>
        <w:rPr>
          <w:noProof/>
        </w:rPr>
        <w:t>Očekuje se potpora za najmanje 40 poduzeća.</w:t>
      </w:r>
    </w:p>
    <w:p w14:paraId="7C1549DC" w14:textId="77777777" w:rsidR="00615E2D" w:rsidRDefault="00C83E46">
      <w:pPr>
        <w:pBdr>
          <w:top w:val="nil"/>
          <w:left w:val="nil"/>
          <w:bottom w:val="nil"/>
          <w:right w:val="nil"/>
          <w:between w:val="nil"/>
        </w:pBdr>
        <w:spacing w:line="240" w:lineRule="auto"/>
        <w:rPr>
          <w:noProof/>
        </w:rPr>
      </w:pPr>
      <w:r>
        <w:rPr>
          <w:noProof/>
        </w:rPr>
        <w:t>Ulaganje mora biti dovršeno do 31. prosinca 2025.</w:t>
      </w:r>
    </w:p>
    <w:p w14:paraId="57BF7388" w14:textId="77777777" w:rsidR="00615E2D" w:rsidRDefault="00615E2D">
      <w:pPr>
        <w:tabs>
          <w:tab w:val="left" w:pos="993"/>
        </w:tabs>
        <w:spacing w:line="240" w:lineRule="auto"/>
        <w:jc w:val="both"/>
        <w:rPr>
          <w:b/>
          <w:noProof/>
          <w:u w:val="single"/>
        </w:rPr>
        <w:sectPr w:rsidR="00615E2D" w:rsidSect="00786C7E">
          <w:headerReference w:type="even" r:id="rId222"/>
          <w:headerReference w:type="default" r:id="rId223"/>
          <w:footerReference w:type="even" r:id="rId224"/>
          <w:footerReference w:type="default" r:id="rId225"/>
          <w:headerReference w:type="first" r:id="rId226"/>
          <w:footerReference w:type="first" r:id="rId227"/>
          <w:pgSz w:w="11907" w:h="16839"/>
          <w:pgMar w:top="1134" w:right="1134" w:bottom="1134" w:left="1134" w:header="567" w:footer="567" w:gutter="0"/>
          <w:cols w:space="720"/>
          <w:docGrid w:linePitch="326"/>
        </w:sectPr>
      </w:pPr>
    </w:p>
    <w:p w14:paraId="723C58DD" w14:textId="6FE8DACB" w:rsidR="00615E2D" w:rsidRDefault="00C83E46">
      <w:pPr>
        <w:pStyle w:val="P68B1DB1-Normal5"/>
        <w:tabs>
          <w:tab w:val="left" w:pos="993"/>
        </w:tabs>
        <w:spacing w:line="240" w:lineRule="auto"/>
        <w:jc w:val="both"/>
        <w:rPr>
          <w:noProof/>
        </w:rPr>
      </w:pPr>
      <w:r>
        <w:rPr>
          <w:noProof/>
        </w:rPr>
        <w:t xml:space="preserve">N.2. Ključne etape, ciljne vrijednosti i vremenski raspored za praćenje i provedbu programa bespovratne financijske potpore </w:t>
      </w:r>
    </w:p>
    <w:tbl>
      <w:tblPr>
        <w:tblW w:w="14564" w:type="dxa"/>
        <w:jc w:val="center"/>
        <w:tblLayout w:type="fixed"/>
        <w:tblLook w:val="0400" w:firstRow="0" w:lastRow="0" w:firstColumn="0" w:lastColumn="0" w:noHBand="0" w:noVBand="1"/>
      </w:tblPr>
      <w:tblGrid>
        <w:gridCol w:w="650"/>
        <w:gridCol w:w="1245"/>
        <w:gridCol w:w="1082"/>
        <w:gridCol w:w="1378"/>
        <w:gridCol w:w="1482"/>
        <w:gridCol w:w="948"/>
        <w:gridCol w:w="1082"/>
        <w:gridCol w:w="681"/>
        <w:gridCol w:w="948"/>
        <w:gridCol w:w="681"/>
        <w:gridCol w:w="4387"/>
      </w:tblGrid>
      <w:tr w:rsidR="00615E2D" w14:paraId="186EEF92" w14:textId="77777777">
        <w:trPr>
          <w:trHeight w:val="533"/>
          <w:tblHeade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1029FD2A" w14:textId="77777777" w:rsidR="00615E2D" w:rsidRDefault="00C83E46">
            <w:pPr>
              <w:pStyle w:val="P68B1DB1-Normal9"/>
              <w:spacing w:line="240" w:lineRule="auto"/>
              <w:jc w:val="center"/>
              <w:rPr>
                <w:noProof/>
              </w:rPr>
            </w:pPr>
            <w:r>
              <w:rPr>
                <w:noProof/>
              </w:rPr>
              <w:t>Sljedeće NUM.</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5E1F6DF" w14:textId="77777777" w:rsidR="00615E2D" w:rsidRDefault="00C83E46">
            <w:pPr>
              <w:pStyle w:val="P68B1DB1-Normal9"/>
              <w:spacing w:line="240" w:lineRule="auto"/>
              <w:jc w:val="center"/>
              <w:rPr>
                <w:noProof/>
              </w:rPr>
            </w:pPr>
            <w:r>
              <w:rPr>
                <w:noProof/>
              </w:rPr>
              <w:t>Povezana mjera (reforma ili ulaganje)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8C88ED8" w14:textId="77777777" w:rsidR="00615E2D" w:rsidRDefault="00C83E46">
            <w:pPr>
              <w:pStyle w:val="P68B1DB1-Normal9"/>
              <w:spacing w:line="240" w:lineRule="auto"/>
              <w:jc w:val="center"/>
              <w:rPr>
                <w:noProof/>
              </w:rPr>
            </w:pPr>
            <w:r>
              <w:rPr>
                <w:noProof/>
              </w:rPr>
              <w:t xml:space="preserve">Ključna etapa/ciljna vrijednost </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011CD967" w14:textId="77777777" w:rsidR="00615E2D" w:rsidRDefault="00C83E46">
            <w:pPr>
              <w:pStyle w:val="P68B1DB1-Normal9"/>
              <w:spacing w:line="240" w:lineRule="auto"/>
              <w:jc w:val="center"/>
              <w:rPr>
                <w:noProof/>
              </w:rPr>
            </w:pPr>
            <w:r>
              <w:rPr>
                <w:noProof/>
              </w:rPr>
              <w:t xml:space="preserve">Ime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4ACCEB3B"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w:t>
            </w:r>
          </w:p>
        </w:tc>
        <w:tc>
          <w:tcPr>
            <w:tcW w:w="2268" w:type="dxa"/>
            <w:gridSpan w:val="3"/>
            <w:tcBorders>
              <w:top w:val="single" w:sz="8" w:space="0" w:color="000000" w:themeColor="text1"/>
              <w:left w:val="single" w:sz="4" w:space="0" w:color="auto"/>
              <w:bottom w:val="single" w:sz="8" w:space="0" w:color="000000" w:themeColor="text1"/>
              <w:right w:val="single" w:sz="8" w:space="0" w:color="000000" w:themeColor="text1"/>
            </w:tcBorders>
            <w:shd w:val="clear" w:color="auto" w:fill="BDD7EE"/>
            <w:vAlign w:val="center"/>
          </w:tcPr>
          <w:p w14:paraId="326913B9"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701" w:type="dxa"/>
            <w:gridSpan w:val="2"/>
            <w:tcBorders>
              <w:top w:val="single" w:sz="8" w:space="0" w:color="000000" w:themeColor="text1"/>
              <w:left w:val="nil"/>
              <w:bottom w:val="single" w:sz="8" w:space="0" w:color="000000" w:themeColor="text1"/>
              <w:right w:val="single" w:sz="4" w:space="0" w:color="auto"/>
            </w:tcBorders>
            <w:shd w:val="clear" w:color="auto" w:fill="BDD7EE"/>
            <w:vAlign w:val="center"/>
          </w:tcPr>
          <w:p w14:paraId="0426649F" w14:textId="77777777" w:rsidR="00615E2D" w:rsidRDefault="00C83E46">
            <w:pPr>
              <w:pStyle w:val="P68B1DB1-Normal9"/>
              <w:spacing w:line="240" w:lineRule="auto"/>
              <w:jc w:val="center"/>
              <w:rPr>
                <w:noProof/>
              </w:rPr>
            </w:pPr>
            <w:r>
              <w:rPr>
                <w:noProof/>
              </w:rPr>
              <w:t xml:space="preserve">Okvirni vremenski okvir za dovršetak </w:t>
            </w:r>
          </w:p>
        </w:tc>
        <w:tc>
          <w:tcPr>
            <w:tcW w:w="464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4FEED505"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6251875B" w14:textId="77777777">
        <w:trPr>
          <w:trHeight w:val="75"/>
          <w:tblHeader/>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72E963D7"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307" w:type="dxa"/>
            <w:vMerge/>
            <w:tcBorders>
              <w:top w:val="single" w:sz="4" w:space="0" w:color="auto"/>
              <w:left w:val="single" w:sz="4" w:space="0" w:color="auto"/>
              <w:bottom w:val="single" w:sz="4" w:space="0" w:color="auto"/>
              <w:right w:val="single" w:sz="4" w:space="0" w:color="auto"/>
            </w:tcBorders>
            <w:vAlign w:val="center"/>
          </w:tcPr>
          <w:p w14:paraId="7EA82AF5"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48502F3"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449" w:type="dxa"/>
            <w:vMerge/>
            <w:tcBorders>
              <w:top w:val="single" w:sz="4" w:space="0" w:color="auto"/>
              <w:left w:val="single" w:sz="4" w:space="0" w:color="auto"/>
              <w:bottom w:val="single" w:sz="4" w:space="0" w:color="auto"/>
              <w:right w:val="single" w:sz="4" w:space="0" w:color="auto"/>
            </w:tcBorders>
            <w:vAlign w:val="center"/>
          </w:tcPr>
          <w:p w14:paraId="4DCEE730"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587FE26"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992"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BDD7EE"/>
            <w:vAlign w:val="center"/>
          </w:tcPr>
          <w:p w14:paraId="1D2DA5E3" w14:textId="77777777" w:rsidR="00615E2D" w:rsidRDefault="00C83E46">
            <w:pPr>
              <w:pStyle w:val="P68B1DB1-Normal9"/>
              <w:spacing w:line="240" w:lineRule="auto"/>
              <w:jc w:val="center"/>
              <w:rPr>
                <w:noProof/>
              </w:rPr>
            </w:pPr>
            <w:r>
              <w:rPr>
                <w:noProof/>
              </w:rPr>
              <w:t>Jedinica mjere</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7B41C423" w14:textId="77777777" w:rsidR="00615E2D" w:rsidRDefault="00C83E46">
            <w:pPr>
              <w:pStyle w:val="P68B1DB1-Normal9"/>
              <w:spacing w:line="240" w:lineRule="auto"/>
              <w:jc w:val="center"/>
              <w:rPr>
                <w:noProof/>
              </w:rPr>
            </w:pPr>
            <w:r>
              <w:rPr>
                <w:noProof/>
              </w:rPr>
              <w:t>Osnovna vrijednost</w:t>
            </w:r>
          </w:p>
        </w:tc>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250E6848" w14:textId="77777777" w:rsidR="00615E2D" w:rsidRDefault="00C83E46">
            <w:pPr>
              <w:pStyle w:val="P68B1DB1-Normal9"/>
              <w:spacing w:line="240" w:lineRule="auto"/>
              <w:jc w:val="center"/>
              <w:rPr>
                <w:noProof/>
              </w:rPr>
            </w:pPr>
            <w:r>
              <w:rPr>
                <w:noProof/>
              </w:rPr>
              <w:t>Cilj</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34C3457C" w14:textId="77777777" w:rsidR="00615E2D" w:rsidRDefault="00C83E46">
            <w:pPr>
              <w:pStyle w:val="P68B1DB1-Normal9"/>
              <w:spacing w:line="240" w:lineRule="auto"/>
              <w:jc w:val="center"/>
              <w:rPr>
                <w:noProof/>
              </w:rPr>
            </w:pPr>
            <w:r>
              <w:rPr>
                <w:noProof/>
              </w:rPr>
              <w:t>Tromjesečje</w:t>
            </w:r>
          </w:p>
        </w:tc>
        <w:tc>
          <w:tcPr>
            <w:tcW w:w="709" w:type="dxa"/>
            <w:tcBorders>
              <w:top w:val="nil"/>
              <w:left w:val="single" w:sz="8" w:space="0" w:color="000000" w:themeColor="text1"/>
              <w:bottom w:val="single" w:sz="8" w:space="0" w:color="000000" w:themeColor="text1"/>
              <w:right w:val="single" w:sz="4" w:space="0" w:color="auto"/>
            </w:tcBorders>
            <w:shd w:val="clear" w:color="auto" w:fill="BDD7EE"/>
            <w:vAlign w:val="center"/>
          </w:tcPr>
          <w:p w14:paraId="424D69C8" w14:textId="77777777" w:rsidR="00615E2D" w:rsidRDefault="00C83E46">
            <w:pPr>
              <w:pStyle w:val="P68B1DB1-Normal9"/>
              <w:spacing w:line="240" w:lineRule="auto"/>
              <w:jc w:val="center"/>
              <w:rPr>
                <w:noProof/>
              </w:rPr>
            </w:pPr>
            <w:r>
              <w:rPr>
                <w:noProof/>
              </w:rPr>
              <w:t>Godina</w:t>
            </w:r>
          </w:p>
        </w:tc>
        <w:tc>
          <w:tcPr>
            <w:tcW w:w="4644" w:type="dxa"/>
            <w:vMerge/>
            <w:tcBorders>
              <w:bottom w:val="single" w:sz="4" w:space="0" w:color="auto"/>
              <w:right w:val="single" w:sz="4" w:space="0" w:color="auto"/>
            </w:tcBorders>
            <w:vAlign w:val="center"/>
          </w:tcPr>
          <w:p w14:paraId="2EDFFF4A"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r>
      <w:tr w:rsidR="00615E2D" w14:paraId="399215E3" w14:textId="77777777">
        <w:trPr>
          <w:trHeight w:val="945"/>
          <w:jc w:val="center"/>
        </w:trPr>
        <w:tc>
          <w:tcPr>
            <w:tcW w:w="6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6CC2A737" w14:textId="77777777" w:rsidR="00615E2D" w:rsidRDefault="00C83E46">
            <w:pPr>
              <w:pStyle w:val="P68B1DB1-Normal28"/>
              <w:spacing w:line="240" w:lineRule="auto"/>
              <w:jc w:val="center"/>
              <w:rPr>
                <w:rFonts w:eastAsia="Times New Roman"/>
                <w:noProof/>
              </w:rPr>
            </w:pPr>
            <w:r>
              <w:rPr>
                <w:noProof/>
              </w:rPr>
              <w:t>144</w:t>
            </w:r>
          </w:p>
        </w:tc>
        <w:tc>
          <w:tcPr>
            <w:tcW w:w="13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0295DE2C" w14:textId="77777777" w:rsidR="00615E2D" w:rsidRDefault="00C83E46">
            <w:pPr>
              <w:pStyle w:val="P68B1DB1-Normal28"/>
              <w:spacing w:line="240" w:lineRule="auto"/>
              <w:rPr>
                <w:rFonts w:eastAsia="Times New Roman"/>
                <w:noProof/>
              </w:rPr>
            </w:pPr>
            <w:r>
              <w:rPr>
                <w:noProof/>
              </w:rPr>
              <w:t>Reforma 1.: Provedba novog zakonodavstva o gospodarenju otpadom u Češkoj Republici</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4A78F4C2" w14:textId="77777777" w:rsidR="00615E2D" w:rsidRDefault="00C83E46">
            <w:pPr>
              <w:pStyle w:val="P68B1DB1-Normal28"/>
              <w:spacing w:line="240" w:lineRule="auto"/>
              <w:rPr>
                <w:rFonts w:eastAsia="Times New Roman"/>
                <w:noProof/>
              </w:rPr>
            </w:pPr>
            <w:r>
              <w:rPr>
                <w:noProof/>
              </w:rPr>
              <w:t>Prekretnica</w:t>
            </w:r>
          </w:p>
        </w:tc>
        <w:tc>
          <w:tcPr>
            <w:tcW w:w="144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1D5287DA" w14:textId="77777777" w:rsidR="00615E2D" w:rsidRDefault="00C83E46">
            <w:pPr>
              <w:pStyle w:val="P68B1DB1-Normal28"/>
              <w:spacing w:line="240" w:lineRule="auto"/>
              <w:rPr>
                <w:rFonts w:eastAsia="Times New Roman"/>
                <w:noProof/>
              </w:rPr>
            </w:pPr>
            <w:r>
              <w:rPr>
                <w:noProof/>
              </w:rPr>
              <w:t>Stupanje na snagu provedbenih odluka na temelju zakonodavstva o gospodarenju otpadom koje je pripremilo Ministarstvo okoliša</w:t>
            </w:r>
          </w:p>
        </w:tc>
        <w:tc>
          <w:tcPr>
            <w:tcW w:w="155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02328AB8" w14:textId="77777777" w:rsidR="00615E2D" w:rsidRDefault="00C83E46">
            <w:pPr>
              <w:pStyle w:val="P68B1DB1-Normal28"/>
              <w:spacing w:line="240" w:lineRule="auto"/>
              <w:rPr>
                <w:noProof/>
              </w:rPr>
            </w:pPr>
            <w:r>
              <w:rPr>
                <w:noProof/>
              </w:rPr>
              <w:t xml:space="preserve">Odredba u provedbenim odlukama u kojoj se navodi stupanje na snagu odgovarajućih provedbenih odluka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800641F" w14:textId="77777777" w:rsidR="00615E2D" w:rsidRDefault="00615E2D">
            <w:pPr>
              <w:spacing w:line="240" w:lineRule="auto"/>
              <w:rPr>
                <w:rFonts w:eastAsia="Times New Roman"/>
                <w:noProof/>
                <w:color w:val="006100"/>
                <w:sz w:val="18"/>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20DEAB4" w14:textId="77777777" w:rsidR="00615E2D" w:rsidRDefault="00615E2D">
            <w:pPr>
              <w:spacing w:line="240" w:lineRule="auto"/>
              <w:jc w:val="center"/>
              <w:rPr>
                <w:rFonts w:eastAsia="Times New Roman"/>
                <w:noProof/>
                <w:color w:val="006100"/>
                <w:sz w:val="18"/>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F1EC63"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E064225" w14:textId="77777777" w:rsidR="00615E2D" w:rsidRDefault="00C83E46">
            <w:pPr>
              <w:pStyle w:val="P68B1DB1-Normal11"/>
              <w:spacing w:line="240" w:lineRule="auto"/>
              <w:jc w:val="center"/>
              <w:rPr>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1245769" w14:textId="77777777" w:rsidR="00615E2D" w:rsidRDefault="00C83E46">
            <w:pPr>
              <w:pStyle w:val="P68B1DB1-Normal11"/>
              <w:spacing w:line="240" w:lineRule="auto"/>
              <w:jc w:val="center"/>
              <w:rPr>
                <w:noProof/>
              </w:rPr>
            </w:pPr>
            <w:r>
              <w:rPr>
                <w:noProof/>
              </w:rPr>
              <w:t>2023</w:t>
            </w:r>
          </w:p>
        </w:tc>
        <w:tc>
          <w:tcPr>
            <w:tcW w:w="464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4A3A4C68" w14:textId="77777777" w:rsidR="00615E2D" w:rsidRDefault="00C83E46">
            <w:pPr>
              <w:pStyle w:val="P68B1DB1-Normal28"/>
              <w:spacing w:line="240" w:lineRule="auto"/>
              <w:rPr>
                <w:rFonts w:eastAsia="Times New Roman"/>
                <w:noProof/>
              </w:rPr>
            </w:pPr>
            <w:r>
              <w:rPr>
                <w:noProof/>
              </w:rPr>
              <w:t>Te provedbene odluke uključuju Uredbu o katalogu otpada br. 8/2021 zb., Uredbu o rukovanju ambalažom br. 30/2021 zb., Uredbu o pojedinostima gospodarenja otpadom, Uredbu o nusproizvodima i kreativnom otpadu (asphaltska uredba), Uredbu o pojedinostima postupanja s otpadnim vozilima i Uredbu o pojedinostima postupanja s otpadnim proizvodima (tijesom, električnom energijom, baterijama).</w:t>
            </w:r>
          </w:p>
        </w:tc>
      </w:tr>
      <w:tr w:rsidR="00615E2D" w14:paraId="64424C22"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5E72B8" w14:textId="77777777" w:rsidR="00615E2D" w:rsidRDefault="00C83E46">
            <w:pPr>
              <w:pStyle w:val="P68B1DB1-Normal28"/>
              <w:spacing w:line="240" w:lineRule="auto"/>
              <w:jc w:val="center"/>
              <w:rPr>
                <w:rFonts w:eastAsia="Times New Roman"/>
                <w:noProof/>
              </w:rPr>
            </w:pPr>
            <w:r>
              <w:rPr>
                <w:noProof/>
              </w:rPr>
              <w:t>145</w:t>
            </w:r>
          </w:p>
        </w:tc>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663BABD" w14:textId="77777777" w:rsidR="00615E2D" w:rsidRDefault="00C83E46">
            <w:pPr>
              <w:pStyle w:val="P68B1DB1-Normal28"/>
              <w:spacing w:line="240" w:lineRule="auto"/>
              <w:rPr>
                <w:rFonts w:eastAsia="Times New Roman"/>
                <w:noProof/>
              </w:rPr>
            </w:pPr>
            <w:r>
              <w:rPr>
                <w:noProof/>
              </w:rPr>
              <w:t>Reforma 1.: Provedba novog zakonodavstva o gospodarenju otpadom u Češkoj Republici</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FF997C" w14:textId="77777777" w:rsidR="00615E2D" w:rsidRDefault="00C83E46">
            <w:pPr>
              <w:pStyle w:val="P68B1DB1-Normal28"/>
              <w:spacing w:line="240" w:lineRule="auto"/>
              <w:rPr>
                <w:rFonts w:eastAsia="Times New Roman"/>
                <w:noProof/>
              </w:rPr>
            </w:pPr>
            <w:r>
              <w:rPr>
                <w:noProof/>
              </w:rPr>
              <w:t>Prekretnica</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B00610" w14:textId="77777777" w:rsidR="00615E2D" w:rsidRDefault="00C83E46">
            <w:pPr>
              <w:pStyle w:val="P68B1DB1-Normal28"/>
              <w:spacing w:line="240" w:lineRule="auto"/>
              <w:rPr>
                <w:noProof/>
              </w:rPr>
            </w:pPr>
            <w:r>
              <w:rPr>
                <w:noProof/>
              </w:rPr>
              <w:t>Stupanje na snagu nacionalnog i regionalnog plana gospodarenja otpadom</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DE54962" w14:textId="77777777" w:rsidR="00615E2D" w:rsidRDefault="00C83E46">
            <w:pPr>
              <w:pStyle w:val="P68B1DB1-Normal28"/>
              <w:spacing w:line="240" w:lineRule="auto"/>
              <w:rPr>
                <w:rFonts w:eastAsia="Times New Roman"/>
                <w:noProof/>
              </w:rPr>
            </w:pPr>
            <w:r>
              <w:rPr>
                <w:noProof/>
              </w:rPr>
              <w:t xml:space="preserve">Zakonska odredba o stupanju na snagu nacionalnog i regionalnog plana gospodarenja otpadom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03D2FF0" w14:textId="77777777" w:rsidR="00615E2D" w:rsidRDefault="00615E2D">
            <w:pPr>
              <w:spacing w:line="240" w:lineRule="auto"/>
              <w:rPr>
                <w:rFonts w:eastAsia="Times New Roman"/>
                <w:noProof/>
                <w:color w:val="006100"/>
                <w:sz w:val="18"/>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664BD11" w14:textId="77777777" w:rsidR="00615E2D" w:rsidRDefault="00615E2D">
            <w:pPr>
              <w:spacing w:line="240" w:lineRule="auto"/>
              <w:jc w:val="center"/>
              <w:rPr>
                <w:rFonts w:eastAsia="Times New Roman"/>
                <w:noProof/>
                <w:color w:val="006100"/>
                <w:sz w:val="18"/>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1B5F577"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C96AA3A"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0D3E4D" w14:textId="77777777" w:rsidR="00615E2D" w:rsidRDefault="00C83E46">
            <w:pPr>
              <w:pStyle w:val="P68B1DB1-Normal11"/>
              <w:spacing w:line="240" w:lineRule="auto"/>
              <w:jc w:val="center"/>
              <w:rPr>
                <w:noProof/>
              </w:rPr>
            </w:pPr>
            <w:r>
              <w:rPr>
                <w:noProof/>
              </w:rPr>
              <w:t>2023</w:t>
            </w:r>
          </w:p>
        </w:tc>
        <w:tc>
          <w:tcPr>
            <w:tcW w:w="4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61BD189" w14:textId="77777777" w:rsidR="00615E2D" w:rsidRDefault="00C83E46">
            <w:pPr>
              <w:pStyle w:val="P68B1DB1-Normal28"/>
              <w:spacing w:line="240" w:lineRule="auto"/>
              <w:rPr>
                <w:rFonts w:eastAsia="Times New Roman"/>
                <w:noProof/>
              </w:rPr>
            </w:pPr>
            <w:r>
              <w:rPr>
                <w:noProof/>
              </w:rPr>
              <w:t>Izrada novog nacionalnog i regionalnog plana gospodarenja otpadom s ciljem poboljšanja pripreme za ponovnu uporabu, recikliranje, oporabu i zbrinjavanje otpada na način prihvatljiv za okoliš.</w:t>
            </w:r>
          </w:p>
        </w:tc>
      </w:tr>
      <w:tr w:rsidR="00615E2D" w14:paraId="3818500B"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6FAC9C" w14:textId="77777777" w:rsidR="00615E2D" w:rsidRDefault="00C83E46">
            <w:pPr>
              <w:pStyle w:val="P68B1DB1-Normal28"/>
              <w:spacing w:line="240" w:lineRule="auto"/>
              <w:jc w:val="center"/>
              <w:rPr>
                <w:rFonts w:eastAsia="Times New Roman"/>
                <w:noProof/>
              </w:rPr>
            </w:pPr>
            <w:r>
              <w:rPr>
                <w:noProof/>
              </w:rPr>
              <w:t>146</w:t>
            </w:r>
          </w:p>
        </w:tc>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D3DCAF7" w14:textId="77777777" w:rsidR="00615E2D" w:rsidRDefault="00C83E46">
            <w:pPr>
              <w:pStyle w:val="P68B1DB1-Normal28"/>
              <w:spacing w:line="240" w:lineRule="auto"/>
              <w:rPr>
                <w:rFonts w:eastAsia="Times New Roman"/>
                <w:noProof/>
              </w:rPr>
            </w:pPr>
            <w:r>
              <w:rPr>
                <w:noProof/>
              </w:rPr>
              <w:t>Reforma br. 2: Dovršetak i provedba kružne strategije za Češku 2040.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6A04DF5" w14:textId="77777777" w:rsidR="00615E2D" w:rsidRDefault="00C83E46">
            <w:pPr>
              <w:pStyle w:val="P68B1DB1-Normal28"/>
              <w:spacing w:line="240" w:lineRule="auto"/>
              <w:rPr>
                <w:rFonts w:eastAsia="Times New Roman"/>
                <w:noProof/>
              </w:rPr>
            </w:pPr>
            <w:r>
              <w:rPr>
                <w:noProof/>
              </w:rPr>
              <w:t>Prekretnica</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DB7CF5" w14:textId="77777777" w:rsidR="00615E2D" w:rsidRDefault="00C83E46">
            <w:pPr>
              <w:pStyle w:val="P68B1DB1-Normal28"/>
              <w:spacing w:line="240" w:lineRule="auto"/>
              <w:rPr>
                <w:rFonts w:eastAsia="Times New Roman"/>
                <w:noProof/>
              </w:rPr>
            </w:pPr>
            <w:r>
              <w:rPr>
                <w:noProof/>
              </w:rPr>
              <w:t>Dovršetak i donošenje kružne strategije za Češku 2040. u Ministarstvu okoliša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5558B63" w14:textId="77777777" w:rsidR="00615E2D" w:rsidRDefault="00C83E46">
            <w:pPr>
              <w:pStyle w:val="P68B1DB1-Normal28"/>
              <w:spacing w:line="240" w:lineRule="auto"/>
              <w:rPr>
                <w:rFonts w:eastAsia="Times New Roman"/>
                <w:noProof/>
              </w:rPr>
            </w:pPr>
            <w:r>
              <w:rPr>
                <w:noProof/>
              </w:rPr>
              <w:t>Objava kružne strategije za Češku 2040. u bazi podataka strateških dokumenata Češke Republike</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DD11A47" w14:textId="77777777" w:rsidR="00615E2D" w:rsidRDefault="00615E2D">
            <w:pPr>
              <w:spacing w:line="240" w:lineRule="auto"/>
              <w:rPr>
                <w:rFonts w:eastAsia="Times New Roman"/>
                <w:noProof/>
                <w:color w:val="006100"/>
                <w:sz w:val="18"/>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E9C9F2" w14:textId="77777777" w:rsidR="00615E2D" w:rsidRDefault="00615E2D">
            <w:pPr>
              <w:spacing w:line="240" w:lineRule="auto"/>
              <w:jc w:val="center"/>
              <w:rPr>
                <w:rFonts w:eastAsia="Times New Roman"/>
                <w:noProof/>
                <w:color w:val="006100"/>
                <w:sz w:val="18"/>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8F50C94"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BF03E11" w14:textId="77777777" w:rsidR="00615E2D" w:rsidRDefault="00C83E46">
            <w:pPr>
              <w:pStyle w:val="P68B1DB1-Normal11"/>
              <w:spacing w:line="240" w:lineRule="auto"/>
              <w:jc w:val="center"/>
              <w:rPr>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A89E3C7" w14:textId="77777777" w:rsidR="00615E2D" w:rsidRDefault="00C83E46">
            <w:pPr>
              <w:pStyle w:val="P68B1DB1-Normal11"/>
              <w:spacing w:line="240" w:lineRule="auto"/>
              <w:jc w:val="center"/>
              <w:rPr>
                <w:noProof/>
              </w:rPr>
            </w:pPr>
            <w:r>
              <w:rPr>
                <w:noProof/>
              </w:rPr>
              <w:t>2022</w:t>
            </w:r>
          </w:p>
        </w:tc>
        <w:tc>
          <w:tcPr>
            <w:tcW w:w="4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6F3F559" w14:textId="77777777" w:rsidR="00615E2D" w:rsidRDefault="00C83E46">
            <w:pPr>
              <w:pStyle w:val="P68B1DB1-Normal28"/>
              <w:spacing w:line="240" w:lineRule="auto"/>
              <w:rPr>
                <w:rFonts w:eastAsia="Times New Roman"/>
                <w:noProof/>
              </w:rPr>
            </w:pPr>
            <w:r>
              <w:rPr>
                <w:noProof/>
              </w:rPr>
              <w:t xml:space="preserve">Dovršetak i donošenje strategije za kružno gospodarstvo za Češku 2040. Strategijom se oblikuju vizija, globalni i strateški ciljevi, prioritetna područja i načela potrebna za postizanje kružnog gospodarstva u Češkoj Republici. </w:t>
            </w:r>
          </w:p>
        </w:tc>
      </w:tr>
      <w:tr w:rsidR="00615E2D" w14:paraId="7D3270EA" w14:textId="77777777">
        <w:trPr>
          <w:trHeight w:val="624"/>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C38160" w14:textId="77777777" w:rsidR="00615E2D" w:rsidRDefault="00C83E46">
            <w:pPr>
              <w:pStyle w:val="P68B1DB1-Normal28"/>
              <w:spacing w:line="240" w:lineRule="auto"/>
              <w:jc w:val="center"/>
              <w:rPr>
                <w:noProof/>
              </w:rPr>
            </w:pPr>
            <w:r>
              <w:rPr>
                <w:noProof/>
              </w:rPr>
              <w:t>147</w:t>
            </w:r>
          </w:p>
        </w:tc>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470F60" w14:textId="77777777" w:rsidR="00615E2D" w:rsidRDefault="00C83E46">
            <w:pPr>
              <w:pStyle w:val="P68B1DB1-Normal28"/>
              <w:spacing w:line="240" w:lineRule="auto"/>
              <w:rPr>
                <w:rFonts w:eastAsia="Times New Roman"/>
                <w:noProof/>
              </w:rPr>
            </w:pPr>
            <w:r>
              <w:rPr>
                <w:noProof/>
              </w:rPr>
              <w:t>Reforma br. 2: Dovršetak i provedba kružne strategije za Češku 2040.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B25A500" w14:textId="77777777" w:rsidR="00615E2D" w:rsidRDefault="00C83E46">
            <w:pPr>
              <w:pStyle w:val="P68B1DB1-Normal28"/>
              <w:spacing w:line="240" w:lineRule="auto"/>
              <w:rPr>
                <w:rFonts w:eastAsia="Times New Roman"/>
                <w:noProof/>
              </w:rPr>
            </w:pPr>
            <w:r>
              <w:rPr>
                <w:noProof/>
              </w:rPr>
              <w:t>Prekretnica</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E37C3A6" w14:textId="3FAE9185" w:rsidR="00615E2D" w:rsidRDefault="00C83E46">
            <w:pPr>
              <w:pStyle w:val="P68B1DB1-Normal28"/>
              <w:spacing w:line="240" w:lineRule="auto"/>
              <w:rPr>
                <w:rFonts w:eastAsia="Times New Roman"/>
                <w:noProof/>
              </w:rPr>
            </w:pPr>
            <w:r>
              <w:rPr>
                <w:noProof/>
              </w:rPr>
              <w:t xml:space="preserve">Dovršetak izvješća o praćenju u kojem se ocjenjuje stanje provedbe strategije za Češku 2040.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C597832" w14:textId="77777777" w:rsidR="00615E2D" w:rsidRDefault="00C83E46">
            <w:pPr>
              <w:pStyle w:val="P68B1DB1-Normal28"/>
              <w:spacing w:line="240" w:lineRule="auto"/>
              <w:rPr>
                <w:rFonts w:eastAsia="Times New Roman"/>
                <w:noProof/>
              </w:rPr>
            </w:pPr>
            <w:r>
              <w:rPr>
                <w:noProof/>
              </w:rPr>
              <w:t>Objava izvješća o praćenju u kojem se ocjenjuje stanje provedbe strategije za kružno gospodarstvo za Češku 2040.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F64D52D" w14:textId="77777777" w:rsidR="00615E2D" w:rsidRDefault="00615E2D">
            <w:pPr>
              <w:spacing w:line="240" w:lineRule="auto"/>
              <w:rPr>
                <w:rFonts w:eastAsia="Times New Roman"/>
                <w:noProof/>
                <w:color w:val="006100"/>
                <w:sz w:val="18"/>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531655" w14:textId="77777777" w:rsidR="00615E2D" w:rsidRDefault="00615E2D">
            <w:pPr>
              <w:spacing w:line="240" w:lineRule="auto"/>
              <w:jc w:val="center"/>
              <w:rPr>
                <w:rFonts w:eastAsia="Times New Roman"/>
                <w:noProof/>
                <w:color w:val="006100"/>
                <w:sz w:val="18"/>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8CA5CD"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C18B07" w14:textId="77777777" w:rsidR="00615E2D" w:rsidRDefault="00C83E46">
            <w:pPr>
              <w:pStyle w:val="P68B1DB1-Normal11"/>
              <w:spacing w:line="240" w:lineRule="auto"/>
              <w:jc w:val="center"/>
              <w:rPr>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1FF786B" w14:textId="77777777" w:rsidR="00615E2D" w:rsidRDefault="00C83E46">
            <w:pPr>
              <w:pStyle w:val="P68B1DB1-Normal11"/>
              <w:spacing w:line="240" w:lineRule="auto"/>
              <w:jc w:val="center"/>
              <w:rPr>
                <w:noProof/>
              </w:rPr>
            </w:pPr>
            <w:r>
              <w:rPr>
                <w:noProof/>
              </w:rPr>
              <w:t>2025</w:t>
            </w:r>
          </w:p>
        </w:tc>
        <w:tc>
          <w:tcPr>
            <w:tcW w:w="4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0BB5181" w14:textId="77777777" w:rsidR="00615E2D" w:rsidRDefault="00C83E46">
            <w:pPr>
              <w:pStyle w:val="P68B1DB1-Normal28"/>
              <w:spacing w:line="240" w:lineRule="auto"/>
              <w:rPr>
                <w:rFonts w:eastAsia="Times New Roman"/>
                <w:noProof/>
              </w:rPr>
            </w:pPr>
            <w:r>
              <w:rPr>
                <w:noProof/>
              </w:rPr>
              <w:t>Ministarstvo okoliša dovršava i objavljuje izvješće o praćenju u kojem ocjenjuje razvoj kružnog gospodarstva u Češkoj i napredak u provedbi elemenata strategije za Češku 2040.</w:t>
            </w:r>
          </w:p>
        </w:tc>
      </w:tr>
      <w:tr w:rsidR="00615E2D" w14:paraId="0F4B8B7E"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22C3E9" w14:textId="77777777" w:rsidR="00615E2D" w:rsidRDefault="00C83E46">
            <w:pPr>
              <w:pStyle w:val="P68B1DB1-Normal28"/>
              <w:spacing w:line="240" w:lineRule="auto"/>
              <w:jc w:val="center"/>
              <w:rPr>
                <w:rFonts w:eastAsia="Times New Roman"/>
                <w:noProof/>
              </w:rPr>
            </w:pPr>
            <w:r>
              <w:rPr>
                <w:noProof/>
              </w:rPr>
              <w:t>148</w:t>
            </w:r>
          </w:p>
        </w:tc>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7C281B6" w14:textId="77777777" w:rsidR="00615E2D" w:rsidRDefault="00C83E46">
            <w:pPr>
              <w:pStyle w:val="P68B1DB1-Normal28"/>
              <w:spacing w:line="240" w:lineRule="auto"/>
              <w:rPr>
                <w:rFonts w:eastAsia="Times New Roman"/>
                <w:noProof/>
              </w:rPr>
            </w:pPr>
            <w:r>
              <w:rPr>
                <w:noProof/>
              </w:rPr>
              <w:t>Ulaganje 1: Izgradnja infrastrukture za recikliranje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BF6E235" w14:textId="77777777" w:rsidR="00615E2D" w:rsidRDefault="00C83E46">
            <w:pPr>
              <w:pStyle w:val="P68B1DB1-Normal28"/>
              <w:spacing w:line="240" w:lineRule="auto"/>
              <w:rPr>
                <w:rFonts w:eastAsia="Times New Roman"/>
                <w:noProof/>
              </w:rPr>
            </w:pPr>
            <w:r>
              <w:rPr>
                <w:noProof/>
              </w:rPr>
              <w:t>Prekretnica</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50E2D9" w14:textId="4FB6AD08" w:rsidR="00615E2D" w:rsidRDefault="00C83E46">
            <w:pPr>
              <w:pStyle w:val="P68B1DB1-Normal28"/>
              <w:spacing w:line="240" w:lineRule="auto"/>
              <w:rPr>
                <w:rFonts w:eastAsia="Times New Roman"/>
                <w:noProof/>
              </w:rPr>
            </w:pPr>
            <w:r>
              <w:rPr>
                <w:noProof/>
              </w:rPr>
              <w:t xml:space="preserve">Ministarstvo okoliša dodjeljuje ugovore za projekte ulaganja u infrastrukturu za recikliranje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F1B5F44" w14:textId="2E18ECCA" w:rsidR="00615E2D" w:rsidRDefault="00C83E46">
            <w:pPr>
              <w:pStyle w:val="P68B1DB1-Normal28"/>
              <w:spacing w:line="240" w:lineRule="auto"/>
              <w:rPr>
                <w:rFonts w:eastAsia="Times New Roman"/>
                <w:noProof/>
              </w:rPr>
            </w:pPr>
            <w:r>
              <w:rPr>
                <w:noProof/>
              </w:rPr>
              <w:t xml:space="preserve">Obavijest Ministarstva okoliša o dodjeli ugovora za projekte ulaganja u infrastrukturu za recikliranje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822BBFF" w14:textId="77777777" w:rsidR="00615E2D" w:rsidRDefault="00615E2D">
            <w:pPr>
              <w:spacing w:line="240" w:lineRule="auto"/>
              <w:rPr>
                <w:rFonts w:eastAsia="Times New Roman"/>
                <w:noProof/>
                <w:color w:val="006100"/>
                <w:sz w:val="18"/>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7930F10" w14:textId="77777777" w:rsidR="00615E2D" w:rsidRDefault="00615E2D">
            <w:pPr>
              <w:spacing w:line="240" w:lineRule="auto"/>
              <w:jc w:val="center"/>
              <w:rPr>
                <w:rFonts w:eastAsia="Times New Roman"/>
                <w:noProof/>
                <w:color w:val="006100"/>
                <w:sz w:val="18"/>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FB5A217"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6183EEC" w14:textId="77777777" w:rsidR="00615E2D" w:rsidRDefault="00C83E46">
            <w:pPr>
              <w:pStyle w:val="P68B1DB1-Normal11"/>
              <w:spacing w:line="240" w:lineRule="auto"/>
              <w:jc w:val="center"/>
              <w:rPr>
                <w:noProof/>
              </w:rPr>
            </w:pPr>
            <w:r>
              <w:rPr>
                <w:noProof/>
              </w:rPr>
              <w:t>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B32B33D" w14:textId="0D40D5E8" w:rsidR="00615E2D" w:rsidRDefault="00C83E46">
            <w:pPr>
              <w:pStyle w:val="P68B1DB1-Normal11"/>
              <w:spacing w:line="240" w:lineRule="auto"/>
              <w:jc w:val="center"/>
              <w:rPr>
                <w:noProof/>
              </w:rPr>
            </w:pPr>
            <w:r>
              <w:rPr>
                <w:noProof/>
              </w:rPr>
              <w:t>2024</w:t>
            </w:r>
          </w:p>
        </w:tc>
        <w:tc>
          <w:tcPr>
            <w:tcW w:w="4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5AC0E26" w14:textId="5208F9AC" w:rsidR="00615E2D" w:rsidRDefault="00C83E46">
            <w:pPr>
              <w:pStyle w:val="P68B1DB1-Normal28"/>
              <w:autoSpaceDE w:val="0"/>
              <w:autoSpaceDN w:val="0"/>
              <w:spacing w:after="0" w:line="240" w:lineRule="auto"/>
              <w:rPr>
                <w:noProof/>
              </w:rPr>
            </w:pPr>
            <w:r>
              <w:rPr>
                <w:noProof/>
              </w:rPr>
              <w:t xml:space="preserve">Obavijest Ministarstva okoliša o dodjeli ugovora za projekte ulaganja u infrastrukturu za recikliranje. </w:t>
            </w:r>
          </w:p>
          <w:p w14:paraId="511F42B3" w14:textId="3E3081C1" w:rsidR="00615E2D" w:rsidRDefault="00C83E46">
            <w:pPr>
              <w:pStyle w:val="P68B1DB1-Normal28"/>
              <w:autoSpaceDE w:val="0"/>
              <w:autoSpaceDN w:val="0"/>
              <w:spacing w:after="0" w:line="240" w:lineRule="auto"/>
              <w:rPr>
                <w:noProof/>
              </w:rPr>
            </w:pPr>
            <w:r>
              <w:rPr>
                <w:noProof/>
              </w:rPr>
              <w:t xml:space="preserve">Projekti se sastoje od izgradnje i modernizacije postrojenja za kompostiranje i objekata za kompostiranje u zajednici. </w:t>
            </w:r>
          </w:p>
          <w:p w14:paraId="59CCBEC6" w14:textId="64423382" w:rsidR="00615E2D" w:rsidRDefault="00C83E46">
            <w:pPr>
              <w:pStyle w:val="P68B1DB1-Normal28"/>
              <w:autoSpaceDE w:val="0"/>
              <w:autoSpaceDN w:val="0"/>
              <w:spacing w:after="0" w:line="240" w:lineRule="auto"/>
              <w:rPr>
                <w:noProof/>
              </w:rPr>
            </w:pPr>
            <w:r>
              <w:rPr>
                <w:noProof/>
              </w:rPr>
              <w:br/>
              <w:t>Postrojenja koja primaju potporu u okviru tog ulaganja osiguravaju da se najmanje 50 % mase obrađenog odvojeno prikupljenog neopasnog otpada pretvara u sekundarne sirovine.</w:t>
            </w:r>
            <w:r>
              <w:rPr>
                <w:noProof/>
              </w:rPr>
              <w:br/>
              <w:t xml:space="preserve"> </w:t>
            </w:r>
          </w:p>
          <w:p w14:paraId="4B763697" w14:textId="6B4EB8D5" w:rsidR="00615E2D" w:rsidRDefault="00C83E46">
            <w:pPr>
              <w:pStyle w:val="P68B1DB1-Normal28"/>
              <w:spacing w:line="240" w:lineRule="auto"/>
              <w:rPr>
                <w:noProof/>
              </w:rPr>
            </w:pPr>
            <w:r>
              <w:rPr>
                <w:noProof/>
              </w:rPr>
              <w:t xml:space="preserve">Ulaganje uključuje i potporu za nabavu opreme za primjenu ukupnog iznosa od najmanje 200.000 tona godišnje komposta (digestate ili Fugate) na Fond za poljoprivredno zemljište (ALF) za poljoprivredne subjekte, operatore kompostana i postaja za bioplin. </w:t>
            </w:r>
          </w:p>
          <w:p w14:paraId="327850E8" w14:textId="33D1D085" w:rsidR="00615E2D" w:rsidRDefault="00C83E46">
            <w:pPr>
              <w:pStyle w:val="P68B1DB1-Normal28"/>
              <w:autoSpaceDE w:val="0"/>
              <w:autoSpaceDN w:val="0"/>
              <w:spacing w:after="0" w:line="240" w:lineRule="auto"/>
              <w:rPr>
                <w:rFonts w:eastAsia="Times New Roman"/>
                <w:noProof/>
              </w:rPr>
            </w:pPr>
            <w:r>
              <w:rPr>
                <w:noProof/>
              </w:rPr>
              <w:t>Primatelji potpore za nabavu opreme moraju uključiti najmanje 40 tona komposta po hektaru tijekom petogodišnjeg razdoblja.</w:t>
            </w:r>
          </w:p>
          <w:p w14:paraId="7458D761" w14:textId="67E33AF5" w:rsidR="00615E2D" w:rsidRDefault="00615E2D">
            <w:pPr>
              <w:spacing w:line="240" w:lineRule="auto"/>
              <w:rPr>
                <w:rFonts w:eastAsia="Times New Roman"/>
                <w:noProof/>
                <w:color w:val="006100"/>
                <w:sz w:val="18"/>
              </w:rPr>
            </w:pPr>
          </w:p>
        </w:tc>
      </w:tr>
      <w:tr w:rsidR="00615E2D" w14:paraId="698F9059"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0331FF0" w14:textId="77777777" w:rsidR="00615E2D" w:rsidRDefault="00C83E46">
            <w:pPr>
              <w:pStyle w:val="P68B1DB1-Normal28"/>
              <w:spacing w:line="240" w:lineRule="auto"/>
              <w:jc w:val="center"/>
              <w:rPr>
                <w:rFonts w:eastAsia="Times New Roman"/>
                <w:noProof/>
              </w:rPr>
            </w:pPr>
            <w:r>
              <w:rPr>
                <w:noProof/>
              </w:rPr>
              <w:t>149</w:t>
            </w:r>
          </w:p>
        </w:tc>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45D18C0" w14:textId="77777777" w:rsidR="00615E2D" w:rsidRDefault="00C83E46">
            <w:pPr>
              <w:pStyle w:val="P68B1DB1-Normal28"/>
              <w:spacing w:line="240" w:lineRule="auto"/>
              <w:rPr>
                <w:rFonts w:eastAsia="Times New Roman"/>
                <w:noProof/>
              </w:rPr>
            </w:pPr>
            <w:r>
              <w:rPr>
                <w:noProof/>
              </w:rPr>
              <w:t>Ulaganje 1: Izgradnja infrastrukture za recikliranje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28B3A12" w14:textId="1359B4D4" w:rsidR="00615E2D" w:rsidRDefault="00C83E46">
            <w:pPr>
              <w:pStyle w:val="P68B1DB1-Normal28"/>
              <w:spacing w:line="240" w:lineRule="auto"/>
              <w:rPr>
                <w:rFonts w:eastAsia="Times New Roman"/>
                <w:noProof/>
              </w:rPr>
            </w:pPr>
            <w:r>
              <w:rPr>
                <w:noProof/>
              </w:rPr>
              <w:t>Prekretnica</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23F807B" w14:textId="77777777" w:rsidR="00615E2D" w:rsidRDefault="00C83E46">
            <w:pPr>
              <w:pStyle w:val="P68B1DB1-Normal28"/>
              <w:spacing w:line="240" w:lineRule="auto"/>
              <w:rPr>
                <w:rFonts w:eastAsia="Times New Roman"/>
                <w:noProof/>
              </w:rPr>
            </w:pPr>
            <w:r>
              <w:rPr>
                <w:noProof/>
              </w:rPr>
              <w:t>Završetak projekata kojima se ulaže u infrastrukturu za recikliranje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930D482" w14:textId="66DCD8AD" w:rsidR="00615E2D" w:rsidRDefault="00C83E46">
            <w:pPr>
              <w:pStyle w:val="P68B1DB1-Normal11"/>
              <w:spacing w:line="240" w:lineRule="auto"/>
              <w:rPr>
                <w:noProof/>
              </w:rPr>
            </w:pPr>
            <w:r>
              <w:rPr>
                <w:noProof/>
              </w:rPr>
              <w:t>Izvješće o dovršetku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15579AA" w14:textId="737AEB19" w:rsidR="00615E2D" w:rsidRDefault="00615E2D">
            <w:pPr>
              <w:spacing w:line="240" w:lineRule="auto"/>
              <w:rPr>
                <w:rFonts w:eastAsia="Times New Roman"/>
                <w:noProof/>
                <w:color w:val="006100"/>
                <w:sz w:val="18"/>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291A98" w14:textId="4D9A263A" w:rsidR="00615E2D" w:rsidRDefault="00615E2D">
            <w:pPr>
              <w:spacing w:line="240" w:lineRule="auto"/>
              <w:jc w:val="center"/>
              <w:rPr>
                <w:rFonts w:eastAsia="Times New Roman"/>
                <w:noProof/>
                <w:color w:val="006100"/>
                <w:sz w:val="18"/>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EEDF6AA" w14:textId="2DB95A8F"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A1C8923"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3C5D218" w14:textId="77777777" w:rsidR="00615E2D" w:rsidRDefault="00C83E46">
            <w:pPr>
              <w:pStyle w:val="P68B1DB1-Normal11"/>
              <w:spacing w:line="240" w:lineRule="auto"/>
              <w:jc w:val="center"/>
              <w:rPr>
                <w:noProof/>
              </w:rPr>
            </w:pPr>
            <w:r>
              <w:rPr>
                <w:noProof/>
              </w:rPr>
              <w:t>2025</w:t>
            </w:r>
          </w:p>
        </w:tc>
        <w:tc>
          <w:tcPr>
            <w:tcW w:w="4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B776F3" w14:textId="6FE37A68" w:rsidR="00615E2D" w:rsidRDefault="00C83E46">
            <w:pPr>
              <w:pStyle w:val="P68B1DB1-Normal28"/>
              <w:autoSpaceDE w:val="0"/>
              <w:autoSpaceDN w:val="0"/>
              <w:spacing w:after="0" w:line="240" w:lineRule="auto"/>
              <w:rPr>
                <w:noProof/>
              </w:rPr>
            </w:pPr>
            <w:r>
              <w:rPr>
                <w:noProof/>
              </w:rPr>
              <w:t xml:space="preserve">Završetak projekata kojima se ulaže u infrastrukturu za recikliranje. . </w:t>
            </w:r>
          </w:p>
          <w:p w14:paraId="3257832E" w14:textId="1F6BE066" w:rsidR="00615E2D" w:rsidRDefault="00C83E46">
            <w:pPr>
              <w:pStyle w:val="P68B1DB1-Normal28"/>
              <w:autoSpaceDE w:val="0"/>
              <w:autoSpaceDN w:val="0"/>
              <w:spacing w:after="0" w:line="240" w:lineRule="auto"/>
              <w:rPr>
                <w:noProof/>
              </w:rPr>
            </w:pPr>
            <w:r>
              <w:rPr>
                <w:noProof/>
              </w:rPr>
              <w:t xml:space="preserve">Kao rezultat ulaganja, modernizacijom ili izgradnjom postrojenja za kompostiranje osigurava se povećanje obrađenog biorazgradivog komunalnog otpada za najmanje 70000 tona godišnje. </w:t>
            </w:r>
          </w:p>
          <w:p w14:paraId="2B9E0E19" w14:textId="015F5A52" w:rsidR="00615E2D" w:rsidRDefault="00C83E46">
            <w:pPr>
              <w:spacing w:line="240" w:lineRule="auto"/>
              <w:rPr>
                <w:rFonts w:eastAsia="Times New Roman"/>
                <w:noProof/>
                <w:color w:val="006100"/>
                <w:sz w:val="18"/>
              </w:rPr>
            </w:pPr>
            <w:r>
              <w:rPr>
                <w:noProof/>
              </w:rPr>
              <w:br/>
            </w:r>
          </w:p>
        </w:tc>
      </w:tr>
      <w:tr w:rsidR="00615E2D" w14:paraId="54D20C11"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3A19A2C" w14:textId="77777777" w:rsidR="00615E2D" w:rsidRDefault="00C83E46">
            <w:pPr>
              <w:pStyle w:val="P68B1DB1-Normal28"/>
              <w:spacing w:line="240" w:lineRule="auto"/>
              <w:jc w:val="center"/>
              <w:rPr>
                <w:rFonts w:eastAsia="Times New Roman"/>
                <w:noProof/>
              </w:rPr>
            </w:pPr>
            <w:r>
              <w:rPr>
                <w:noProof/>
              </w:rPr>
              <w:t>150</w:t>
            </w:r>
          </w:p>
        </w:tc>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A45CC8" w14:textId="77777777" w:rsidR="00615E2D" w:rsidRDefault="00C83E46">
            <w:pPr>
              <w:pStyle w:val="P68B1DB1-Normal28"/>
              <w:spacing w:line="240" w:lineRule="auto"/>
              <w:rPr>
                <w:rFonts w:eastAsia="Times New Roman"/>
                <w:noProof/>
              </w:rPr>
            </w:pPr>
            <w:r>
              <w:rPr>
                <w:noProof/>
              </w:rPr>
              <w:t>Ulaganje 2: Kružna rješenja u poduzećima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188337C" w14:textId="77777777" w:rsidR="00615E2D" w:rsidRDefault="00C83E46">
            <w:pPr>
              <w:pStyle w:val="P68B1DB1-Normal28"/>
              <w:spacing w:line="240" w:lineRule="auto"/>
              <w:rPr>
                <w:rFonts w:eastAsia="Times New Roman"/>
                <w:noProof/>
              </w:rPr>
            </w:pPr>
            <w:r>
              <w:rPr>
                <w:noProof/>
              </w:rPr>
              <w:t>Prekretnica</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12BD2D3" w14:textId="77777777" w:rsidR="00615E2D" w:rsidRDefault="00C83E46">
            <w:pPr>
              <w:pStyle w:val="P68B1DB1-Normal28"/>
              <w:spacing w:line="240" w:lineRule="auto"/>
              <w:rPr>
                <w:rFonts w:eastAsia="Times New Roman"/>
                <w:noProof/>
              </w:rPr>
            </w:pPr>
            <w:r>
              <w:rPr>
                <w:noProof/>
              </w:rPr>
              <w:t>Ministarstvo industrije i trgovine dodjeljuje sve ugovore o javnoj nabavi za projekte ulaganja u kružna rješenja u poduzećima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4393AA" w14:textId="77777777" w:rsidR="00615E2D" w:rsidRDefault="00C83E46">
            <w:pPr>
              <w:pStyle w:val="P68B1DB1-Normal28"/>
              <w:spacing w:line="240" w:lineRule="auto"/>
              <w:rPr>
                <w:rFonts w:eastAsia="Times New Roman"/>
                <w:noProof/>
              </w:rPr>
            </w:pPr>
            <w:r>
              <w:rPr>
                <w:noProof/>
              </w:rPr>
              <w:t xml:space="preserve">Obavijest Ministarstva industrije i trgovine o dodjeli svih ugovora o javnoj nabavi za projekte ulaganja u kružna rješenja u poduzećima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0849E48" w14:textId="77777777" w:rsidR="00615E2D" w:rsidRDefault="00615E2D">
            <w:pPr>
              <w:spacing w:line="240" w:lineRule="auto"/>
              <w:rPr>
                <w:rFonts w:eastAsia="Times New Roman"/>
                <w:noProof/>
                <w:color w:val="006100"/>
                <w:sz w:val="18"/>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B8CDA3" w14:textId="77777777" w:rsidR="00615E2D" w:rsidRDefault="00615E2D">
            <w:pPr>
              <w:spacing w:line="240" w:lineRule="auto"/>
              <w:jc w:val="center"/>
              <w:rPr>
                <w:rFonts w:eastAsia="Times New Roman"/>
                <w:noProof/>
                <w:color w:val="006100"/>
                <w:sz w:val="18"/>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EB5E57C"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33185A9"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DE18666" w14:textId="77777777" w:rsidR="00615E2D" w:rsidRDefault="00C83E46">
            <w:pPr>
              <w:pStyle w:val="P68B1DB1-Normal11"/>
              <w:spacing w:line="240" w:lineRule="auto"/>
              <w:jc w:val="center"/>
              <w:rPr>
                <w:noProof/>
              </w:rPr>
            </w:pPr>
            <w:r>
              <w:rPr>
                <w:noProof/>
              </w:rPr>
              <w:t>2022</w:t>
            </w:r>
          </w:p>
        </w:tc>
        <w:tc>
          <w:tcPr>
            <w:tcW w:w="4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FEDE760" w14:textId="77777777" w:rsidR="00615E2D" w:rsidRDefault="00C83E46">
            <w:pPr>
              <w:pStyle w:val="P68B1DB1-Normal28"/>
              <w:spacing w:line="240" w:lineRule="auto"/>
              <w:rPr>
                <w:rFonts w:eastAsia="Times New Roman"/>
                <w:noProof/>
              </w:rPr>
            </w:pPr>
            <w:r>
              <w:rPr>
                <w:noProof/>
              </w:rPr>
              <w:t>Obavijest Ministarstva industrije i trgovine o dodjeli svih ugovora o javnoj nabavi za projekte ulaganja u kružna rješenja u poduzećima. Odabiru se projekti kojima se poboljšava industrijska transformacija prema niskougljičnom, kružnom i digitalnom društvu, čime se smanjuje materijalni intenzitet proizvodnje i potrošnja primarnih resursa.</w:t>
            </w:r>
          </w:p>
        </w:tc>
      </w:tr>
      <w:tr w:rsidR="00615E2D" w14:paraId="3EAFF2FC"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925B8E0" w14:textId="77777777" w:rsidR="00615E2D" w:rsidRDefault="00C83E46">
            <w:pPr>
              <w:pStyle w:val="P68B1DB1-Normal28"/>
              <w:spacing w:line="240" w:lineRule="auto"/>
              <w:jc w:val="center"/>
              <w:rPr>
                <w:noProof/>
              </w:rPr>
            </w:pPr>
            <w:r>
              <w:rPr>
                <w:noProof/>
              </w:rPr>
              <w:t>151</w:t>
            </w:r>
          </w:p>
        </w:tc>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73234E7" w14:textId="77777777" w:rsidR="00615E2D" w:rsidRDefault="00C83E46">
            <w:pPr>
              <w:pStyle w:val="P68B1DB1-Normal28"/>
              <w:spacing w:line="240" w:lineRule="auto"/>
              <w:rPr>
                <w:rFonts w:eastAsia="Times New Roman"/>
                <w:noProof/>
              </w:rPr>
            </w:pPr>
            <w:r>
              <w:rPr>
                <w:noProof/>
              </w:rPr>
              <w:t>Ulaganje 2: Kružna rješenja u poduzećima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C245F5B" w14:textId="77777777" w:rsidR="00615E2D" w:rsidRDefault="00C83E46">
            <w:pPr>
              <w:pStyle w:val="P68B1DB1-Normal28"/>
              <w:spacing w:line="240" w:lineRule="auto"/>
              <w:rPr>
                <w:rFonts w:eastAsia="Times New Roman"/>
                <w:noProof/>
              </w:rPr>
            </w:pPr>
            <w:r>
              <w:rPr>
                <w:noProof/>
              </w:rPr>
              <w:t>Ciljna</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6AECF1" w14:textId="77777777" w:rsidR="00615E2D" w:rsidRDefault="00C83E46">
            <w:pPr>
              <w:pStyle w:val="P68B1DB1-Normal28"/>
              <w:spacing w:line="240" w:lineRule="auto"/>
              <w:rPr>
                <w:rFonts w:eastAsia="Times New Roman"/>
                <w:noProof/>
              </w:rPr>
            </w:pPr>
            <w:r>
              <w:rPr>
                <w:noProof/>
              </w:rPr>
              <w:t>Završetak projekata kojima se ulaže u kružna rješenja u poduzećima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10ACF2" w14:textId="77777777" w:rsidR="00615E2D" w:rsidRDefault="00615E2D">
            <w:pPr>
              <w:spacing w:line="240" w:lineRule="auto"/>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1C7A01F" w14:textId="77777777" w:rsidR="00615E2D" w:rsidRDefault="00C83E46">
            <w:pPr>
              <w:pStyle w:val="P68B1DB1-Normal11"/>
              <w:spacing w:line="240" w:lineRule="auto"/>
              <w:rPr>
                <w:noProof/>
              </w:rPr>
            </w:pPr>
            <w:r>
              <w:rPr>
                <w:noProof/>
              </w:rPr>
              <w:t>Broj projekata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256A7CB" w14:textId="77777777" w:rsidR="00615E2D" w:rsidRDefault="00C83E46">
            <w:pPr>
              <w:pStyle w:val="P68B1DB1-Normal11"/>
              <w:spacing w:line="240" w:lineRule="auto"/>
              <w:jc w:val="center"/>
              <w:rPr>
                <w:noProof/>
              </w:rPr>
            </w:pPr>
            <w:r>
              <w:rPr>
                <w:noProof/>
              </w:rPr>
              <w:t>0</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6FEB1D" w14:textId="77777777" w:rsidR="00615E2D" w:rsidRDefault="00C83E46">
            <w:pPr>
              <w:pStyle w:val="P68B1DB1-Normal11"/>
              <w:spacing w:line="240" w:lineRule="auto"/>
              <w:jc w:val="center"/>
              <w:rPr>
                <w:noProof/>
              </w:rPr>
            </w:pPr>
            <w:r>
              <w:rPr>
                <w:noProof/>
              </w:rPr>
              <w:t>60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D9BA59A"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72CFEB5" w14:textId="77777777" w:rsidR="00615E2D" w:rsidRDefault="00C83E46">
            <w:pPr>
              <w:pStyle w:val="P68B1DB1-Normal11"/>
              <w:spacing w:line="240" w:lineRule="auto"/>
              <w:jc w:val="center"/>
              <w:rPr>
                <w:noProof/>
              </w:rPr>
            </w:pPr>
            <w:r>
              <w:rPr>
                <w:noProof/>
              </w:rPr>
              <w:t>2025</w:t>
            </w:r>
          </w:p>
        </w:tc>
        <w:tc>
          <w:tcPr>
            <w:tcW w:w="4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341FAC" w14:textId="77777777" w:rsidR="00615E2D" w:rsidRDefault="00C83E46">
            <w:pPr>
              <w:pStyle w:val="P68B1DB1-Normal28"/>
              <w:spacing w:line="240" w:lineRule="auto"/>
              <w:rPr>
                <w:rFonts w:eastAsia="Times New Roman"/>
                <w:noProof/>
              </w:rPr>
            </w:pPr>
            <w:r>
              <w:rPr>
                <w:noProof/>
              </w:rPr>
              <w:t>Dovršavaju se projekti kojima se podupire razvoj kružnih rješenja u industrijskim poduzećima, povećava upotreba sekundarnih sirovina kao zamjene za primarne resurse, smanjuje intenzitet materijala u proizvodnji, optimizira ekološki dizajn materijala kako bi se olakšalo recikliranje i ponovna uporaba, provodi industrijska simbioza i potiče prelazak na kružno gospodarstvo. Ukupni proračun izvršen u tu svrhu tijekom trajanja mjere iznosi najmanje 39 000 000 EUR.</w:t>
            </w:r>
          </w:p>
        </w:tc>
      </w:tr>
      <w:tr w:rsidR="00615E2D" w14:paraId="0642FF7F"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F097DCB" w14:textId="77777777" w:rsidR="00615E2D" w:rsidRDefault="00C83E46">
            <w:pPr>
              <w:pStyle w:val="P68B1DB1-Normal28"/>
              <w:spacing w:line="240" w:lineRule="auto"/>
              <w:jc w:val="center"/>
              <w:rPr>
                <w:rFonts w:eastAsia="Times New Roman"/>
                <w:noProof/>
              </w:rPr>
            </w:pPr>
            <w:r>
              <w:rPr>
                <w:noProof/>
              </w:rPr>
              <w:t>152</w:t>
            </w:r>
          </w:p>
        </w:tc>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A2BC331" w14:textId="77777777" w:rsidR="00615E2D" w:rsidRDefault="00C83E46">
            <w:pPr>
              <w:pStyle w:val="P68B1DB1-Normal28"/>
              <w:spacing w:line="240" w:lineRule="auto"/>
              <w:rPr>
                <w:rFonts w:eastAsia="Times New Roman"/>
                <w:noProof/>
              </w:rPr>
            </w:pPr>
            <w:r>
              <w:rPr>
                <w:noProof/>
              </w:rPr>
              <w:t>Ulaganje 3: Ušteda vode u industriji</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BEBFEBF" w14:textId="77777777" w:rsidR="00615E2D" w:rsidRDefault="00C83E46">
            <w:pPr>
              <w:pStyle w:val="P68B1DB1-Normal28"/>
              <w:spacing w:line="240" w:lineRule="auto"/>
              <w:rPr>
                <w:rFonts w:eastAsia="Times New Roman"/>
                <w:noProof/>
              </w:rPr>
            </w:pPr>
            <w:r>
              <w:rPr>
                <w:noProof/>
              </w:rPr>
              <w:t>Prekretnica</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798DE52" w14:textId="77777777" w:rsidR="00615E2D" w:rsidRDefault="00C83E46">
            <w:pPr>
              <w:pStyle w:val="P68B1DB1-Normal28"/>
              <w:spacing w:line="240" w:lineRule="auto"/>
              <w:rPr>
                <w:rFonts w:eastAsia="Times New Roman"/>
                <w:noProof/>
              </w:rPr>
            </w:pPr>
            <w:r>
              <w:rPr>
                <w:noProof/>
              </w:rPr>
              <w:t>Ministarstvo industrije i trgovine dodjeljuje sve ugovore o javnoj nabavi za projekte za uštedu i optimizaciju vode u industriji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E95D039" w14:textId="77777777" w:rsidR="00615E2D" w:rsidRDefault="00C83E46">
            <w:pPr>
              <w:pStyle w:val="P68B1DB1-Normal28"/>
              <w:spacing w:line="240" w:lineRule="auto"/>
              <w:rPr>
                <w:rFonts w:eastAsia="Times New Roman"/>
                <w:noProof/>
              </w:rPr>
            </w:pPr>
            <w:r>
              <w:rPr>
                <w:noProof/>
              </w:rPr>
              <w:t>Obavijest Ministarstva industrije i trgovine o dodjeli svih ugovora o javnoj nabavi za projekte uštede i optimizacije vode u industriji</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461EBC7" w14:textId="77777777" w:rsidR="00615E2D" w:rsidRDefault="00615E2D">
            <w:pPr>
              <w:spacing w:line="240" w:lineRule="auto"/>
              <w:rPr>
                <w:rFonts w:eastAsia="Times New Roman"/>
                <w:noProof/>
                <w:color w:val="006100"/>
                <w:sz w:val="18"/>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B9F1FA9" w14:textId="77777777" w:rsidR="00615E2D" w:rsidRDefault="00615E2D">
            <w:pPr>
              <w:spacing w:line="240" w:lineRule="auto"/>
              <w:jc w:val="center"/>
              <w:rPr>
                <w:rFonts w:eastAsia="Times New Roman"/>
                <w:noProof/>
                <w:color w:val="006100"/>
                <w:sz w:val="18"/>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28E85AA"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AA9A8F"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BF82495" w14:textId="77777777" w:rsidR="00615E2D" w:rsidRDefault="00C83E46">
            <w:pPr>
              <w:pStyle w:val="P68B1DB1-Normal11"/>
              <w:spacing w:line="240" w:lineRule="auto"/>
              <w:jc w:val="center"/>
              <w:rPr>
                <w:noProof/>
              </w:rPr>
            </w:pPr>
            <w:r>
              <w:rPr>
                <w:noProof/>
              </w:rPr>
              <w:t>2022</w:t>
            </w:r>
          </w:p>
        </w:tc>
        <w:tc>
          <w:tcPr>
            <w:tcW w:w="4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A050A8" w14:textId="77777777" w:rsidR="00615E2D" w:rsidRDefault="00C83E46">
            <w:pPr>
              <w:pStyle w:val="P68B1DB1-Normal28"/>
              <w:spacing w:line="240" w:lineRule="auto"/>
              <w:rPr>
                <w:rFonts w:eastAsia="Times New Roman"/>
                <w:noProof/>
              </w:rPr>
            </w:pPr>
            <w:r>
              <w:rPr>
                <w:noProof/>
              </w:rPr>
              <w:t>Obavijest Ministarstva industrije i trgovine o dodjeli svih ugovora o javnoj nabavi za projekte za uštedu i optimizaciju vode u industriji. Odabiru se projekti kojima se optimizira potrošnja vode u proizvodnom procesu ugradnjom novih tehnologija i opreme za uštedu vode, izravnim recikliranjem vode u industrijama s velikom potrošnjom vode, ponovnom uporabom onečišćene/korištene vode u drugim procesima, optimizacijom upotrebe vode u komunalnim postrojenjima, smanjenjem gubitaka vode u zatvorenim krugovima ili optimizacijom upotrebe pare ili njezina distribucijskog potencijala.</w:t>
            </w:r>
          </w:p>
        </w:tc>
      </w:tr>
      <w:tr w:rsidR="00615E2D" w14:paraId="396ED4C3"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506308" w14:textId="77777777" w:rsidR="00615E2D" w:rsidRDefault="00C83E46">
            <w:pPr>
              <w:pStyle w:val="P68B1DB1-Normal28"/>
              <w:spacing w:line="240" w:lineRule="auto"/>
              <w:jc w:val="center"/>
              <w:rPr>
                <w:noProof/>
              </w:rPr>
            </w:pPr>
            <w:r>
              <w:rPr>
                <w:noProof/>
              </w:rPr>
              <w:t>153</w:t>
            </w:r>
          </w:p>
        </w:tc>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DF41714" w14:textId="77777777" w:rsidR="00615E2D" w:rsidRDefault="00C83E46">
            <w:pPr>
              <w:pStyle w:val="P68B1DB1-Normal28"/>
              <w:spacing w:line="240" w:lineRule="auto"/>
              <w:rPr>
                <w:rFonts w:eastAsia="Times New Roman"/>
                <w:noProof/>
              </w:rPr>
            </w:pPr>
            <w:r>
              <w:rPr>
                <w:noProof/>
              </w:rPr>
              <w:t>Ulaganje 3: Ušteda vode u industriji</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2626B2" w14:textId="77777777" w:rsidR="00615E2D" w:rsidRDefault="00C83E46">
            <w:pPr>
              <w:pStyle w:val="P68B1DB1-Normal28"/>
              <w:spacing w:line="240" w:lineRule="auto"/>
              <w:rPr>
                <w:rFonts w:eastAsia="Times New Roman"/>
                <w:noProof/>
              </w:rPr>
            </w:pPr>
            <w:r>
              <w:rPr>
                <w:noProof/>
              </w:rPr>
              <w:t>Ciljna</w:t>
            </w:r>
          </w:p>
        </w:tc>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A738A1" w14:textId="77777777" w:rsidR="00615E2D" w:rsidRDefault="00C83E46">
            <w:pPr>
              <w:pStyle w:val="P68B1DB1-Normal28"/>
              <w:spacing w:line="240" w:lineRule="auto"/>
              <w:rPr>
                <w:rFonts w:eastAsia="Times New Roman"/>
                <w:noProof/>
              </w:rPr>
            </w:pPr>
            <w:r>
              <w:rPr>
                <w:noProof/>
              </w:rPr>
              <w:t>Završetak projekata za uštedu i optimizaciju vode u industriji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C345AA5" w14:textId="77777777" w:rsidR="00615E2D" w:rsidRDefault="00615E2D">
            <w:pPr>
              <w:spacing w:line="240" w:lineRule="auto"/>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8643D5" w14:textId="77777777" w:rsidR="00615E2D" w:rsidRDefault="00C83E46">
            <w:pPr>
              <w:pStyle w:val="P68B1DB1-Normal11"/>
              <w:spacing w:line="240" w:lineRule="auto"/>
              <w:rPr>
                <w:noProof/>
              </w:rPr>
            </w:pPr>
            <w:r>
              <w:rPr>
                <w:noProof/>
              </w:rPr>
              <w:t>Broj projekata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CE51EB1" w14:textId="77777777" w:rsidR="00615E2D" w:rsidRDefault="00C83E46">
            <w:pPr>
              <w:pStyle w:val="P68B1DB1-Normal11"/>
              <w:spacing w:line="240" w:lineRule="auto"/>
              <w:jc w:val="center"/>
              <w:rPr>
                <w:noProof/>
              </w:rPr>
            </w:pPr>
            <w:r>
              <w:rPr>
                <w:noProof/>
              </w:rPr>
              <w:t>0</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CD73DC0" w14:textId="77777777" w:rsidR="00615E2D" w:rsidRDefault="00C83E46">
            <w:pPr>
              <w:pStyle w:val="P68B1DB1-Normal11"/>
              <w:spacing w:line="240" w:lineRule="auto"/>
              <w:jc w:val="center"/>
              <w:rPr>
                <w:noProof/>
              </w:rPr>
            </w:pPr>
            <w:r>
              <w:rPr>
                <w:noProof/>
              </w:rPr>
              <w:t>40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68B33C"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B0DF62" w14:textId="77777777" w:rsidR="00615E2D" w:rsidRDefault="00C83E46">
            <w:pPr>
              <w:pStyle w:val="P68B1DB1-Normal11"/>
              <w:spacing w:line="240" w:lineRule="auto"/>
              <w:jc w:val="center"/>
              <w:rPr>
                <w:noProof/>
              </w:rPr>
            </w:pPr>
            <w:r>
              <w:rPr>
                <w:noProof/>
              </w:rPr>
              <w:t>2025</w:t>
            </w:r>
          </w:p>
        </w:tc>
        <w:tc>
          <w:tcPr>
            <w:tcW w:w="46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376A398" w14:textId="4218A992" w:rsidR="00615E2D" w:rsidRDefault="00C83E46">
            <w:pPr>
              <w:pStyle w:val="P68B1DB1-Normal28"/>
              <w:spacing w:line="240" w:lineRule="auto"/>
              <w:rPr>
                <w:rFonts w:eastAsia="Times New Roman"/>
                <w:noProof/>
              </w:rPr>
            </w:pPr>
            <w:r>
              <w:rPr>
                <w:noProof/>
              </w:rPr>
              <w:t xml:space="preserve">Dovršavaju se projekti kojima se optimizira potrošnja vode u proizvodnom procesu ugradnjom novih tehnologija i opreme za uštedu vode, izravnim recikliranjem vode u industrijama s velikom potrošnjom vode, ponovnom uporabom onečišćene/korištene vode u drugim procesima, optimizacijom upotrebe vode u komunalnim postrojenjima, smanjenjem gubitaka vode u zatvorenim krugovima ili optimizacijom upotrebe pare ili njezina distribucijskog potencijala. </w:t>
            </w:r>
          </w:p>
        </w:tc>
      </w:tr>
    </w:tbl>
    <w:p w14:paraId="6BE50ECF" w14:textId="77777777" w:rsidR="00615E2D" w:rsidRDefault="00615E2D">
      <w:pPr>
        <w:spacing w:line="240" w:lineRule="auto"/>
        <w:ind w:left="850"/>
        <w:jc w:val="both"/>
        <w:rPr>
          <w:b/>
          <w:noProof/>
          <w:highlight w:val="red"/>
          <w:u w:val="single"/>
        </w:rPr>
      </w:pPr>
    </w:p>
    <w:p w14:paraId="4D761076" w14:textId="77777777" w:rsidR="00615E2D" w:rsidRDefault="00615E2D">
      <w:pPr>
        <w:spacing w:line="240" w:lineRule="auto"/>
        <w:rPr>
          <w:b/>
          <w:smallCaps/>
          <w:noProof/>
        </w:rPr>
        <w:sectPr w:rsidR="00615E2D" w:rsidSect="00786C7E">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1134" w:right="1134" w:bottom="1134" w:left="1134" w:header="567" w:footer="567" w:gutter="0"/>
          <w:cols w:space="720"/>
          <w:docGrid w:linePitch="326"/>
        </w:sectPr>
      </w:pPr>
    </w:p>
    <w:p w14:paraId="4562630C" w14:textId="223FA374" w:rsidR="00615E2D" w:rsidRDefault="00C83E46">
      <w:pPr>
        <w:pStyle w:val="P68B1DB1-Normal2"/>
        <w:keepNext/>
        <w:tabs>
          <w:tab w:val="left" w:pos="850"/>
        </w:tabs>
        <w:spacing w:line="240" w:lineRule="auto"/>
        <w:jc w:val="both"/>
        <w:outlineLvl w:val="0"/>
        <w:rPr>
          <w:noProof/>
        </w:rPr>
      </w:pPr>
      <w:r>
        <w:rPr>
          <w:noProof/>
        </w:rPr>
        <w:t>O. SASTAVNI DIO 2.8.: Oživljavanje napuštenih područja</w:t>
      </w:r>
    </w:p>
    <w:p w14:paraId="6A7E9794" w14:textId="77777777" w:rsidR="00615E2D" w:rsidRDefault="00C83E46">
      <w:pPr>
        <w:spacing w:line="240" w:lineRule="auto"/>
        <w:jc w:val="both"/>
        <w:rPr>
          <w:noProof/>
        </w:rPr>
      </w:pPr>
      <w:r>
        <w:rPr>
          <w:noProof/>
        </w:rPr>
        <w:t xml:space="preserve">Tom komponentom </w:t>
      </w:r>
      <w:r>
        <w:rPr>
          <w:rFonts w:eastAsia="Times New Roman"/>
          <w:noProof/>
        </w:rPr>
        <w:t>češkog plana za oporavak i otpornost pridonosi se suočavanju s</w:t>
      </w:r>
      <w:r>
        <w:rPr>
          <w:noProof/>
        </w:rPr>
        <w:t xml:space="preserve"> izazovom podupiranja revitalizacije bivših industrijskih ili neiskorištenih lokacija u urbanim područjima (dalje u tekstu napuštena industrijska i industrijska područja) s krajnjim ciljevima:</w:t>
      </w:r>
    </w:p>
    <w:p w14:paraId="1589E8E7" w14:textId="77777777" w:rsidR="00615E2D" w:rsidRDefault="00C83E46">
      <w:pPr>
        <w:numPr>
          <w:ilvl w:val="0"/>
          <w:numId w:val="166"/>
        </w:numPr>
        <w:spacing w:line="240" w:lineRule="auto"/>
        <w:contextualSpacing/>
        <w:jc w:val="both"/>
        <w:rPr>
          <w:noProof/>
        </w:rPr>
      </w:pPr>
      <w:r>
        <w:rPr>
          <w:noProof/>
        </w:rPr>
        <w:t>poboljšati energetsku učinkovitost obnovljenih ili obnovljenih zgrada;</w:t>
      </w:r>
    </w:p>
    <w:p w14:paraId="66B89B1D" w14:textId="77777777" w:rsidR="00615E2D" w:rsidRDefault="00C83E46">
      <w:pPr>
        <w:numPr>
          <w:ilvl w:val="0"/>
          <w:numId w:val="166"/>
        </w:numPr>
        <w:spacing w:line="240" w:lineRule="auto"/>
        <w:contextualSpacing/>
        <w:jc w:val="both"/>
        <w:rPr>
          <w:noProof/>
        </w:rPr>
      </w:pPr>
      <w:r>
        <w:rPr>
          <w:noProof/>
        </w:rPr>
        <w:t>izgradnja novih energetski učinkovitih zgrada u kojima obnova ne bi bila ni moguća ni učinkovita;</w:t>
      </w:r>
    </w:p>
    <w:p w14:paraId="5323A663" w14:textId="77777777" w:rsidR="00615E2D" w:rsidRDefault="00C83E46">
      <w:pPr>
        <w:numPr>
          <w:ilvl w:val="0"/>
          <w:numId w:val="166"/>
        </w:numPr>
        <w:spacing w:line="240" w:lineRule="auto"/>
        <w:contextualSpacing/>
        <w:jc w:val="both"/>
        <w:rPr>
          <w:noProof/>
        </w:rPr>
      </w:pPr>
      <w:r>
        <w:rPr>
          <w:noProof/>
        </w:rPr>
        <w:t>stvaranje prirodnih ponora ugljika.</w:t>
      </w:r>
    </w:p>
    <w:p w14:paraId="19B311AA" w14:textId="77777777" w:rsidR="00615E2D" w:rsidRDefault="00C83E46">
      <w:pPr>
        <w:spacing w:line="240" w:lineRule="auto"/>
        <w:jc w:val="both"/>
        <w:rPr>
          <w:noProof/>
        </w:rPr>
      </w:pPr>
      <w:r>
        <w:rPr>
          <w:noProof/>
        </w:rPr>
        <w:t xml:space="preserve">Komponentom se pokreće sveobuhvatna prenamjena područja i poboljšava ekološka stabilnost krajobraza stvaranjem novih zelenih površina bez utjecaja na poljoprivredno zemljište. Očekuje se da će revitalizacija teritorija doprinijeti učinkovitijoj upotrebi tehničke i prometne infrastrukture, smanjenju potrošnje energije i većoj energetskoj učinkovitosti.  </w:t>
      </w:r>
    </w:p>
    <w:p w14:paraId="05B9573E" w14:textId="77777777" w:rsidR="00615E2D" w:rsidRDefault="00C83E46">
      <w:pPr>
        <w:spacing w:line="240" w:lineRule="auto"/>
        <w:jc w:val="both"/>
        <w:rPr>
          <w:noProof/>
          <w:color w:val="000000"/>
        </w:rPr>
      </w:pPr>
      <w:r>
        <w:rPr>
          <w:noProof/>
        </w:rPr>
        <w:t>Komponentom se podupire odgovor na preporuku za Češku, u skladu s kojom će se Češka</w:t>
      </w:r>
      <w:r>
        <w:rPr>
          <w:noProof/>
          <w:highlight w:val="white"/>
        </w:rPr>
        <w:t xml:space="preserve"> </w:t>
      </w:r>
      <w:r>
        <w:rPr>
          <w:noProof/>
          <w:color w:val="000000"/>
          <w:highlight w:val="white"/>
        </w:rPr>
        <w:t xml:space="preserve">usredotočiti na niskougljičnu i energetsku tranziciju, uključujući energetsku učinkovitost (preporuka za pojedinu zemlju br. 3 2019.), i </w:t>
      </w:r>
      <w:r>
        <w:rPr>
          <w:noProof/>
        </w:rPr>
        <w:t>na preporuku za pojedinu zemlju, u skladu s kojom Češka podupire čistu i učinkovitu proizvodnju i uporabu energije (preporuka za pojedinu zemlju br. 3 2020.).</w:t>
      </w:r>
      <w:r>
        <w:rPr>
          <w:noProof/>
          <w:color w:val="000000"/>
        </w:rPr>
        <w:t xml:space="preserve"> </w:t>
      </w:r>
      <w:r>
        <w:rPr>
          <w:noProof/>
          <w:color w:val="000000"/>
          <w:highlight w:val="white"/>
        </w:rPr>
        <w:t xml:space="preserve"> </w:t>
      </w:r>
    </w:p>
    <w:p w14:paraId="325486A5" w14:textId="4F6FF90A" w:rsidR="00615E2D" w:rsidRDefault="00C83E46">
      <w:pPr>
        <w:pStyle w:val="P68B1DB1-Normal4"/>
        <w:spacing w:after="160" w:line="259" w:lineRule="auto"/>
        <w:contextualSpacing/>
        <w:jc w:val="both"/>
        <w:rPr>
          <w:noProof/>
        </w:rPr>
      </w:pPr>
      <w:r>
        <w:rPr>
          <w:noProof/>
        </w:rPr>
        <w:t>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 </w:t>
      </w:r>
    </w:p>
    <w:p w14:paraId="6FBE265B" w14:textId="77777777" w:rsidR="00615E2D" w:rsidRDefault="00615E2D">
      <w:pPr>
        <w:spacing w:line="240" w:lineRule="auto"/>
        <w:jc w:val="both"/>
        <w:rPr>
          <w:noProof/>
          <w:sz w:val="22"/>
        </w:rPr>
      </w:pPr>
    </w:p>
    <w:p w14:paraId="6CD256A9" w14:textId="52D4EF9E" w:rsidR="00615E2D" w:rsidRDefault="00C83E46">
      <w:pPr>
        <w:pStyle w:val="P68B1DB1-Normal5"/>
        <w:spacing w:line="240" w:lineRule="auto"/>
        <w:jc w:val="both"/>
        <w:rPr>
          <w:noProof/>
        </w:rPr>
      </w:pPr>
      <w:r>
        <w:rPr>
          <w:noProof/>
        </w:rPr>
        <w:t>O.1. Opis reformi i ulaganja za programe bespovratne financijske potpore</w:t>
      </w:r>
    </w:p>
    <w:p w14:paraId="5C5376EC" w14:textId="77777777" w:rsidR="00615E2D" w:rsidRDefault="00C83E46">
      <w:pPr>
        <w:pStyle w:val="P68B1DB1-Normal7"/>
        <w:spacing w:line="240" w:lineRule="auto"/>
        <w:jc w:val="both"/>
        <w:rPr>
          <w:noProof/>
        </w:rPr>
      </w:pPr>
      <w:r>
        <w:rPr>
          <w:noProof/>
        </w:rPr>
        <w:t xml:space="preserve">Ulaganje 1: Potpore za ulaganje u obnovu određenih napuštenih industrijskih područja </w:t>
      </w:r>
    </w:p>
    <w:p w14:paraId="09061A5F" w14:textId="15B1C4BC" w:rsidR="00615E2D" w:rsidRDefault="00C83E46">
      <w:pPr>
        <w:spacing w:line="240" w:lineRule="auto"/>
        <w:jc w:val="both"/>
        <w:rPr>
          <w:noProof/>
        </w:rPr>
      </w:pPr>
      <w:r>
        <w:rPr>
          <w:noProof/>
        </w:rPr>
        <w:t>Ulaganjem se podupiru projekti obnove napuštenih i neiskorištenih industrijskih područja čiji je cilj pripremanje područja za daljnju višenamjensku uporabu (uključujući obnovu i izgradnju infrastrukture ili rušenje zgrada). Ministarstvo regionalnog razvoja u suradnji s češkom agencijom za</w:t>
      </w:r>
      <w:r>
        <w:rPr>
          <w:rFonts w:eastAsia="Times New Roman"/>
          <w:noProof/>
        </w:rPr>
        <w:t xml:space="preserve">ulaganja i razvoj poslovanja, koja je podređena Ministarstvu industrije i trgovine, utvrdilo je posebna napuštena industrijska područja u suradnji s češkom agencijom za ulaganja i </w:t>
      </w:r>
      <w:r>
        <w:rPr>
          <w:noProof/>
        </w:rPr>
        <w:t xml:space="preserve">razvoj poslovanja na temelju veličine lokacije, očekivane veličine ulaganja i usklađenosti projekta s europskim ambicijama u pogledu zelene tranzicije. </w:t>
      </w:r>
      <w:r>
        <w:rPr>
          <w:rFonts w:eastAsia="Times New Roman"/>
          <w:noProof/>
        </w:rPr>
        <w:t xml:space="preserve">Mjera se sastoji od uspostave programa subvencija kojim se pruža potpora </w:t>
      </w:r>
      <w:r>
        <w:rPr>
          <w:noProof/>
        </w:rPr>
        <w:t>za pripremu zemljišta za buduća ulaganja i za same projekte ulaganja. Ulaganjem se podupire najmanje 10 projekata obnove napuštenih i neiskorištenih industrijskih područja.</w:t>
      </w:r>
    </w:p>
    <w:p w14:paraId="4A2E71CC" w14:textId="77777777" w:rsidR="00615E2D" w:rsidRDefault="00C83E46">
      <w:pPr>
        <w:spacing w:line="240" w:lineRule="auto"/>
        <w:jc w:val="both"/>
        <w:rPr>
          <w:noProof/>
        </w:rPr>
      </w:pPr>
      <w:r>
        <w:rPr>
          <w:noProof/>
        </w:rPr>
        <w:t xml:space="preserve">Ulaganje mora biti dovršeno do 31. prosinca 2025. </w:t>
      </w:r>
    </w:p>
    <w:p w14:paraId="72D07D4B" w14:textId="77777777" w:rsidR="00615E2D" w:rsidRDefault="00C83E46">
      <w:pPr>
        <w:pStyle w:val="P68B1DB1-Normal7"/>
        <w:spacing w:line="240" w:lineRule="auto"/>
        <w:rPr>
          <w:noProof/>
        </w:rPr>
      </w:pPr>
      <w:r>
        <w:rPr>
          <w:noProof/>
        </w:rPr>
        <w:t>Ulaganje 2: Potpore za ulaganje u obnovu napuštenih ili neiskorištenih industrijskih područja u vlasništvu općina i regija za neposlovnu uporabu</w:t>
      </w:r>
    </w:p>
    <w:p w14:paraId="43638C73" w14:textId="5FD51A71" w:rsidR="00615E2D" w:rsidRDefault="00C83E46">
      <w:pPr>
        <w:spacing w:line="240" w:lineRule="auto"/>
        <w:jc w:val="both"/>
        <w:rPr>
          <w:noProof/>
        </w:rPr>
      </w:pPr>
      <w:r>
        <w:rPr>
          <w:noProof/>
        </w:rPr>
        <w:t>Ulaganjem se podupire obnova napuštenih ili neiskorištenih industrijskih područja u vlasništvu lokalnih i regionalnih vlasti koja će se pretvoriti u dvorište ili javnu ustanovu, kao što su škola, kulturni centar, sportski teren, općinsko tijelo ili javno dostupan park. Potpora se dodjeljuje isključivo projektima koji se obvezuju na energetski učinkovitu obnovu ili stvaranje prirodnih ponora ugljika, uključujući stvaranje trajnih travnjaka ili sadnju stabala. Ulaganjem se podupire najmanje 30 neposlovnih projekata obnove neiskorištenih industrijskih područja.</w:t>
      </w:r>
    </w:p>
    <w:p w14:paraId="5D0FE853" w14:textId="77777777" w:rsidR="00615E2D" w:rsidRDefault="00C83E46">
      <w:pPr>
        <w:spacing w:line="240" w:lineRule="auto"/>
        <w:jc w:val="both"/>
        <w:rPr>
          <w:noProof/>
        </w:rPr>
      </w:pPr>
      <w:r>
        <w:rPr>
          <w:noProof/>
        </w:rPr>
        <w:t xml:space="preserve">Ulaganje mora biti dovršeno do 31. prosinca 2025. </w:t>
      </w:r>
    </w:p>
    <w:p w14:paraId="46509C1B" w14:textId="77777777" w:rsidR="00615E2D" w:rsidRDefault="00C83E46">
      <w:pPr>
        <w:pStyle w:val="P68B1DB1-Normal7"/>
        <w:spacing w:line="240" w:lineRule="auto"/>
        <w:rPr>
          <w:noProof/>
        </w:rPr>
      </w:pPr>
      <w:r>
        <w:rPr>
          <w:noProof/>
        </w:rPr>
        <w:t xml:space="preserve">Ulaganje 3: Potpore za ulaganje u obnovu napuštenih ili neiskorištenih industrijskih područja u vlasništvu općina i regija za poslovnu uporabu </w:t>
      </w:r>
    </w:p>
    <w:p w14:paraId="1D819D7D" w14:textId="0D643918" w:rsidR="00615E2D" w:rsidRDefault="00C83E46">
      <w:pPr>
        <w:spacing w:line="240" w:lineRule="auto"/>
        <w:jc w:val="both"/>
        <w:rPr>
          <w:noProof/>
        </w:rPr>
      </w:pPr>
      <w:r>
        <w:rPr>
          <w:noProof/>
        </w:rPr>
        <w:t>Ulaganje će pomoći u revitalizaciji napuštenih industrijskih područja, uključujući uklanjanje malih prepreka na površini, koje su u vlasništvu općina, posebno za poslovnu uporabu i, u ograničenoj mjeri, za neposlovnu uporabu. Te se prepreke odnose na dijelove građevina označene kao opasni otpad, kao što su materijali koji sadrže azbest ili malo curenje nafte. Poseban naglasak stavlja se na strogo poštovanje načela plave i zelene infrastrukture i energetske učinkovitosti, što podrazumijeva da se prednost daje projektima kojima se provodi gospodarenje kišnicom u skladu sa Zakonom 254/2001 („Zakon o vodama”) i, u slučaju novih zgrada, mjerama uštede energije koje nadilaze zakonske zahtjeve Zakona 406/2000 („Zakon o gospodarenju energijom”). Obnovljenim lokacijama po mogućnosti se koriste mala i srednja poduzeća i lokalna poduzeća. Ulaganjem se podupiru projekti za revitalizaciju neiskorištenih industrijskih područja za poslovnu uporabu u skladu s ciljem od najmanje 76 000 m³ izgrađenog prostora.</w:t>
      </w:r>
    </w:p>
    <w:p w14:paraId="10838A8C" w14:textId="77777777" w:rsidR="00615E2D" w:rsidRDefault="00C83E46">
      <w:pPr>
        <w:spacing w:line="240" w:lineRule="auto"/>
        <w:jc w:val="both"/>
        <w:rPr>
          <w:noProof/>
        </w:rPr>
      </w:pPr>
      <w:r>
        <w:rPr>
          <w:noProof/>
        </w:rPr>
        <w:t xml:space="preserve">Ulaganje mora biti dovršeno do 31. prosinca 2025. </w:t>
      </w:r>
    </w:p>
    <w:p w14:paraId="2166D0F0" w14:textId="77777777" w:rsidR="00615E2D" w:rsidRDefault="00615E2D">
      <w:pPr>
        <w:spacing w:line="240" w:lineRule="auto"/>
        <w:jc w:val="both"/>
        <w:rPr>
          <w:rFonts w:eastAsia="Times New Roman"/>
          <w:noProof/>
          <w:color w:val="000000"/>
        </w:rPr>
        <w:sectPr w:rsidR="00615E2D" w:rsidSect="00786C7E">
          <w:headerReference w:type="even" r:id="rId234"/>
          <w:headerReference w:type="default" r:id="rId235"/>
          <w:footerReference w:type="even" r:id="rId236"/>
          <w:footerReference w:type="default" r:id="rId237"/>
          <w:headerReference w:type="first" r:id="rId238"/>
          <w:footerReference w:type="first" r:id="rId239"/>
          <w:pgSz w:w="11907" w:h="16839"/>
          <w:pgMar w:top="1134" w:right="1134" w:bottom="1134" w:left="1134" w:header="567" w:footer="567" w:gutter="0"/>
          <w:cols w:space="720"/>
          <w:docGrid w:linePitch="326"/>
        </w:sectPr>
      </w:pPr>
    </w:p>
    <w:p w14:paraId="07BAED87" w14:textId="5D387FD7" w:rsidR="00615E2D" w:rsidRDefault="00C83E46">
      <w:pPr>
        <w:pStyle w:val="P68B1DB1-Normal8"/>
        <w:pBdr>
          <w:top w:val="nil"/>
          <w:left w:val="nil"/>
          <w:bottom w:val="nil"/>
          <w:right w:val="nil"/>
          <w:between w:val="nil"/>
        </w:pBdr>
        <w:tabs>
          <w:tab w:val="left" w:pos="993"/>
        </w:tabs>
        <w:spacing w:line="240" w:lineRule="auto"/>
        <w:rPr>
          <w:noProof/>
        </w:rPr>
      </w:pPr>
      <w:r>
        <w:rPr>
          <w:noProof/>
        </w:rPr>
        <w:t xml:space="preserve">O.2. Ključne etape, ciljne vrijednosti i vremenski raspored za praćenje i provedbu programa bespovratne financijske potpore </w:t>
      </w:r>
    </w:p>
    <w:tbl>
      <w:tblPr>
        <w:tblW w:w="14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
        <w:gridCol w:w="1143"/>
        <w:gridCol w:w="1089"/>
        <w:gridCol w:w="1267"/>
        <w:gridCol w:w="1121"/>
        <w:gridCol w:w="1013"/>
        <w:gridCol w:w="951"/>
        <w:gridCol w:w="759"/>
        <w:gridCol w:w="987"/>
        <w:gridCol w:w="1035"/>
        <w:gridCol w:w="4708"/>
      </w:tblGrid>
      <w:tr w:rsidR="00615E2D" w14:paraId="3975394D" w14:textId="77777777">
        <w:trPr>
          <w:trHeight w:val="75"/>
          <w:tblHeader/>
          <w:jc w:val="center"/>
        </w:trPr>
        <w:tc>
          <w:tcPr>
            <w:tcW w:w="665"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2936FEE8" w14:textId="77777777" w:rsidR="00615E2D" w:rsidRDefault="00C83E46">
            <w:pPr>
              <w:pStyle w:val="P68B1DB1-Normal9"/>
              <w:spacing w:line="240" w:lineRule="auto"/>
              <w:jc w:val="center"/>
              <w:rPr>
                <w:noProof/>
              </w:rPr>
            </w:pPr>
            <w:r>
              <w:rPr>
                <w:noProof/>
              </w:rPr>
              <w:t>Sljedeće NUM.</w:t>
            </w:r>
          </w:p>
        </w:tc>
        <w:tc>
          <w:tcPr>
            <w:tcW w:w="1191"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3DDDC55D" w14:textId="77777777" w:rsidR="00615E2D" w:rsidRDefault="00C83E46">
            <w:pPr>
              <w:pStyle w:val="P68B1DB1-Normal9"/>
              <w:spacing w:line="240" w:lineRule="auto"/>
              <w:jc w:val="center"/>
              <w:rPr>
                <w:noProof/>
              </w:rPr>
            </w:pPr>
            <w:r>
              <w:rPr>
                <w:noProof/>
              </w:rPr>
              <w:t>Povezana mjera (reforma ili ulaganje)</w:t>
            </w:r>
          </w:p>
        </w:tc>
        <w:tc>
          <w:tcPr>
            <w:tcW w:w="1134"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7FE95005" w14:textId="77777777" w:rsidR="00615E2D" w:rsidRDefault="00C83E46">
            <w:pPr>
              <w:pStyle w:val="P68B1DB1-Normal9"/>
              <w:spacing w:line="240" w:lineRule="auto"/>
              <w:jc w:val="center"/>
              <w:rPr>
                <w:noProof/>
              </w:rPr>
            </w:pPr>
            <w:r>
              <w:rPr>
                <w:noProof/>
              </w:rPr>
              <w:t>Ključna etapa/ciljna vrijednost</w:t>
            </w:r>
          </w:p>
        </w:tc>
        <w:tc>
          <w:tcPr>
            <w:tcW w:w="1321"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34AFC00F" w14:textId="77777777" w:rsidR="00615E2D" w:rsidRDefault="00C83E46">
            <w:pPr>
              <w:pStyle w:val="P68B1DB1-Normal9"/>
              <w:spacing w:line="240" w:lineRule="auto"/>
              <w:jc w:val="center"/>
              <w:rPr>
                <w:noProof/>
              </w:rPr>
            </w:pPr>
            <w:r>
              <w:rPr>
                <w:noProof/>
              </w:rPr>
              <w:t>Ime</w:t>
            </w:r>
          </w:p>
        </w:tc>
        <w:tc>
          <w:tcPr>
            <w:tcW w:w="1167"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5567DD2F"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 </w:t>
            </w:r>
          </w:p>
        </w:tc>
        <w:tc>
          <w:tcPr>
            <w:tcW w:w="28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0C9D36D5"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585" w:type="dxa"/>
            <w:gridSpan w:val="2"/>
            <w:tcBorders>
              <w:top w:val="single" w:sz="8" w:space="0" w:color="000000" w:themeColor="text1"/>
              <w:left w:val="nil"/>
              <w:bottom w:val="single" w:sz="8" w:space="0" w:color="000000" w:themeColor="text1"/>
              <w:right w:val="single" w:sz="8" w:space="0" w:color="000000" w:themeColor="text1"/>
            </w:tcBorders>
            <w:shd w:val="clear" w:color="auto" w:fill="BDD7EE"/>
            <w:vAlign w:val="center"/>
          </w:tcPr>
          <w:p w14:paraId="064D4C4B" w14:textId="77777777" w:rsidR="00615E2D" w:rsidRDefault="00C83E46">
            <w:pPr>
              <w:pStyle w:val="P68B1DB1-Normal9"/>
              <w:spacing w:line="240" w:lineRule="auto"/>
              <w:jc w:val="center"/>
              <w:rPr>
                <w:noProof/>
              </w:rPr>
            </w:pPr>
            <w:r>
              <w:rPr>
                <w:noProof/>
              </w:rPr>
              <w:t xml:space="preserve">Okvirni vremenski okvir za dovršetak </w:t>
            </w:r>
          </w:p>
        </w:tc>
        <w:tc>
          <w:tcPr>
            <w:tcW w:w="4943" w:type="dxa"/>
            <w:vMerge w:val="restart"/>
            <w:tcBorders>
              <w:top w:val="single" w:sz="8" w:space="0" w:color="000000" w:themeColor="text1"/>
              <w:left w:val="nil"/>
              <w:right w:val="single" w:sz="8" w:space="0" w:color="000000" w:themeColor="text1"/>
            </w:tcBorders>
            <w:shd w:val="clear" w:color="auto" w:fill="BDD7EE"/>
            <w:vAlign w:val="center"/>
          </w:tcPr>
          <w:p w14:paraId="5E749496"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7B39FF3B" w14:textId="77777777">
        <w:trPr>
          <w:trHeight w:val="600"/>
          <w:tblHeader/>
          <w:jc w:val="center"/>
        </w:trPr>
        <w:tc>
          <w:tcPr>
            <w:tcW w:w="665" w:type="dxa"/>
            <w:vMerge/>
            <w:vAlign w:val="center"/>
          </w:tcPr>
          <w:p w14:paraId="61240DA5"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91" w:type="dxa"/>
            <w:vMerge/>
            <w:vAlign w:val="center"/>
          </w:tcPr>
          <w:p w14:paraId="3F2C6881"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34" w:type="dxa"/>
            <w:vMerge/>
            <w:vAlign w:val="center"/>
          </w:tcPr>
          <w:p w14:paraId="25B1F67B"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321" w:type="dxa"/>
            <w:vMerge/>
            <w:vAlign w:val="center"/>
          </w:tcPr>
          <w:p w14:paraId="37498974"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67" w:type="dxa"/>
            <w:vMerge/>
            <w:vAlign w:val="center"/>
          </w:tcPr>
          <w:p w14:paraId="1B2AE688"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57DABC82" w14:textId="50179FE0" w:rsidR="00615E2D" w:rsidRDefault="00C83E46">
            <w:pPr>
              <w:pStyle w:val="P68B1DB1-Normal9"/>
              <w:spacing w:line="240" w:lineRule="auto"/>
              <w:jc w:val="center"/>
              <w:rPr>
                <w:noProof/>
              </w:rPr>
            </w:pPr>
            <w:r>
              <w:rPr>
                <w:noProof/>
              </w:rPr>
              <w:t>Jedinica mjere</w:t>
            </w:r>
          </w:p>
        </w:tc>
        <w:tc>
          <w:tcPr>
            <w:tcW w:w="989"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7D7E9D8A" w14:textId="77777777" w:rsidR="00615E2D" w:rsidRDefault="00C83E46">
            <w:pPr>
              <w:pStyle w:val="P68B1DB1-Normal9"/>
              <w:spacing w:line="240" w:lineRule="auto"/>
              <w:jc w:val="center"/>
              <w:rPr>
                <w:noProof/>
              </w:rPr>
            </w:pPr>
            <w:r>
              <w:rPr>
                <w:noProof/>
              </w:rPr>
              <w:t>Osnovna vrijednost</w:t>
            </w:r>
          </w:p>
        </w:tc>
        <w:tc>
          <w:tcPr>
            <w:tcW w:w="786"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7D6EC0EC" w14:textId="77777777" w:rsidR="00615E2D" w:rsidRDefault="00C83E46">
            <w:pPr>
              <w:pStyle w:val="P68B1DB1-Normal9"/>
              <w:spacing w:line="240" w:lineRule="auto"/>
              <w:jc w:val="center"/>
              <w:rPr>
                <w:noProof/>
              </w:rPr>
            </w:pPr>
            <w:r>
              <w:rPr>
                <w:noProof/>
              </w:rPr>
              <w:t>Cilj</w:t>
            </w:r>
          </w:p>
        </w:tc>
        <w:tc>
          <w:tcPr>
            <w:tcW w:w="10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1CEC1F70" w14:textId="77777777" w:rsidR="00615E2D" w:rsidRDefault="00C83E46">
            <w:pPr>
              <w:pStyle w:val="P68B1DB1-Normal9"/>
              <w:spacing w:line="240" w:lineRule="auto"/>
              <w:jc w:val="center"/>
              <w:rPr>
                <w:noProof/>
              </w:rPr>
            </w:pPr>
            <w:r>
              <w:rPr>
                <w:noProof/>
              </w:rPr>
              <w:t>Tromjesečje</w:t>
            </w:r>
          </w:p>
        </w:tc>
        <w:tc>
          <w:tcPr>
            <w:tcW w:w="10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297ECF59" w14:textId="77777777" w:rsidR="00615E2D" w:rsidRDefault="00C83E46">
            <w:pPr>
              <w:pStyle w:val="P68B1DB1-Normal9"/>
              <w:spacing w:line="240" w:lineRule="auto"/>
              <w:jc w:val="center"/>
              <w:rPr>
                <w:noProof/>
              </w:rPr>
            </w:pPr>
            <w:r>
              <w:rPr>
                <w:noProof/>
              </w:rPr>
              <w:t>Godina</w:t>
            </w:r>
          </w:p>
        </w:tc>
        <w:tc>
          <w:tcPr>
            <w:tcW w:w="4943" w:type="dxa"/>
            <w:vMerge/>
            <w:vAlign w:val="center"/>
          </w:tcPr>
          <w:p w14:paraId="00E56400"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r>
      <w:tr w:rsidR="00615E2D" w14:paraId="25976D2F" w14:textId="77777777">
        <w:trPr>
          <w:trHeight w:val="945"/>
          <w:jc w:val="center"/>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B017337" w14:textId="77777777" w:rsidR="00615E2D" w:rsidRDefault="00C83E46">
            <w:pPr>
              <w:pStyle w:val="P68B1DB1-Normal15"/>
              <w:spacing w:line="240" w:lineRule="auto"/>
              <w:jc w:val="center"/>
              <w:rPr>
                <w:noProof/>
              </w:rPr>
            </w:pPr>
            <w:r>
              <w:rPr>
                <w:noProof/>
              </w:rPr>
              <w:t xml:space="preserve"> 154</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1AE093C" w14:textId="77777777" w:rsidR="00615E2D" w:rsidRDefault="00C83E46">
            <w:pPr>
              <w:pStyle w:val="P68B1DB1-Normal15"/>
              <w:spacing w:line="240" w:lineRule="auto"/>
              <w:rPr>
                <w:noProof/>
              </w:rPr>
            </w:pPr>
            <w:r>
              <w:rPr>
                <w:noProof/>
              </w:rPr>
              <w:t>Ulaganje 1: Potpora za revitalizaciju određenih područja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CA4E6D7" w14:textId="58EF119A" w:rsidR="00615E2D" w:rsidRDefault="00C83E46">
            <w:pPr>
              <w:pStyle w:val="P68B1DB1-Normal15"/>
              <w:spacing w:line="240" w:lineRule="auto"/>
              <w:rPr>
                <w:noProof/>
              </w:rPr>
            </w:pPr>
            <w:r>
              <w:rPr>
                <w:noProof/>
              </w:rPr>
              <w:t>Ciljna</w:t>
            </w:r>
          </w:p>
        </w:tc>
        <w:tc>
          <w:tcPr>
            <w:tcW w:w="13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D3887BF" w14:textId="51E8FD30" w:rsidR="00615E2D" w:rsidRDefault="00C83E46">
            <w:pPr>
              <w:pStyle w:val="P68B1DB1-Normal15"/>
              <w:spacing w:line="240" w:lineRule="auto"/>
              <w:rPr>
                <w:noProof/>
              </w:rPr>
            </w:pPr>
            <w:r>
              <w:rPr>
                <w:noProof/>
              </w:rPr>
              <w:t>Stupanje na snagu svih ugovora o subvenciji između Državnog investicijskog fonda i odabranih nositelja napuštenih ili neiskorištenih industrijskih projekata</w:t>
            </w:r>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CBC7959" w14:textId="7FC7A453" w:rsidR="00615E2D" w:rsidRDefault="00615E2D">
            <w:pPr>
              <w:spacing w:line="240" w:lineRule="auto"/>
              <w:rPr>
                <w:noProof/>
                <w:color w:val="004300"/>
                <w:sz w:val="18"/>
              </w:rPr>
            </w:pPr>
          </w:p>
        </w:tc>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5884D86" w14:textId="76F3EEC1" w:rsidR="00615E2D" w:rsidRDefault="00C83E46">
            <w:pPr>
              <w:pStyle w:val="P68B1DB1-Normal15"/>
              <w:spacing w:line="240" w:lineRule="auto"/>
              <w:rPr>
                <w:noProof/>
              </w:rPr>
            </w:pPr>
            <w:r>
              <w:rPr>
                <w:noProof/>
              </w:rPr>
              <w:t>Broj projekata</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12C50E" w14:textId="77777777" w:rsidR="00615E2D" w:rsidRDefault="00615E2D">
            <w:pPr>
              <w:spacing w:line="240" w:lineRule="auto"/>
              <w:jc w:val="center"/>
              <w:rPr>
                <w:rFonts w:eastAsia="Times New Roman"/>
                <w:noProof/>
                <w:color w:val="004300"/>
                <w:sz w:val="18"/>
              </w:rPr>
            </w:pP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1E667A" w14:textId="58A47C3C" w:rsidR="00615E2D" w:rsidRDefault="00C83E46">
            <w:pPr>
              <w:pStyle w:val="P68B1DB1-Normal15"/>
              <w:spacing w:line="240" w:lineRule="auto"/>
              <w:jc w:val="center"/>
              <w:rPr>
                <w:noProof/>
              </w:rPr>
            </w:pPr>
            <w:r>
              <w:rPr>
                <w:noProof/>
              </w:rPr>
              <w:t>10</w:t>
            </w:r>
          </w:p>
        </w:tc>
        <w:tc>
          <w:tcPr>
            <w:tcW w:w="10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94E3F98" w14:textId="77777777" w:rsidR="00615E2D" w:rsidRDefault="00C83E46">
            <w:pPr>
              <w:pStyle w:val="P68B1DB1-Normal15"/>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EA8BEE" w14:textId="77777777" w:rsidR="00615E2D" w:rsidRDefault="00C83E46">
            <w:pPr>
              <w:pStyle w:val="P68B1DB1-Normal15"/>
              <w:spacing w:line="240" w:lineRule="auto"/>
              <w:jc w:val="center"/>
              <w:rPr>
                <w:noProof/>
              </w:rPr>
            </w:pPr>
            <w:r>
              <w:rPr>
                <w:noProof/>
              </w:rPr>
              <w:t>2023</w:t>
            </w:r>
          </w:p>
        </w:tc>
        <w:tc>
          <w:tcPr>
            <w:tcW w:w="4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788A7C7" w14:textId="53B2C569" w:rsidR="00615E2D" w:rsidRDefault="00C83E46">
            <w:pPr>
              <w:pStyle w:val="P68B1DB1-Normal15"/>
              <w:spacing w:line="240" w:lineRule="auto"/>
              <w:rPr>
                <w:noProof/>
              </w:rPr>
            </w:pPr>
            <w:r>
              <w:rPr>
                <w:noProof/>
              </w:rPr>
              <w:t>Stupanje na snagu svih ugovora o subvenciji između Državnog investicijskog fonda i odabranih nositelja projekta za određenu obnovu napuštenog područja (priprema projekta, priprema zemljišta, investicijski projekti) nakon pripreme programa subvencija. Projekti koji primaju potporu iz programa subvencija usmjereni su na provedbu rušenja i energetski učinkovite izgradnje ili energetski učinkovite obnove. Ugovara se ukupno najmanje 10 projekata, a najmanje 60 % ulaganja predviđenih u okviru ove mjere namijenjeno je projektima energetski učinkovite obnove.</w:t>
            </w:r>
          </w:p>
          <w:p w14:paraId="2BE6DD9C" w14:textId="3A06CE47" w:rsidR="00615E2D" w:rsidRDefault="00C83E46">
            <w:pPr>
              <w:pStyle w:val="P68B1DB1-Normal15"/>
              <w:spacing w:after="200" w:line="276" w:lineRule="auto"/>
              <w:rPr>
                <w:noProof/>
              </w:rPr>
            </w:pPr>
            <w:r>
              <w:rPr>
                <w:noProof/>
              </w:rPr>
              <w:t>Kad je riječ o financiranju rušenja i energetski učinkovite gradnje, osigurava se da odabrani projekti budu takvi da i. nove zgrade imaju potražnju primarne energije (PED) koja je najmanje 20 % niža od zahtjeva za zgrade gotovo nulte energije; ii. dubinska obnova nije moguća zbog tehničkih, zdravstvenih/sigurnosnih ili svrsishodnih razloga; (III) ukupna izgrađena površina novih zgrada ne može biti veća od ukupne izgrađene površine svih nekadašnjih srušenih zgrada napuštenom području, pri čemu se najmanje 80 % izgrađenog područja novih zgrada nalazi izravno na izgrađenom dijelu prethodno razgrađenih zgrada. Isključuje se prenamjena vrijednih zelenih površina (koje imaju veliku vrijednost u pogledu biološke raznolikosti).</w:t>
            </w:r>
          </w:p>
          <w:p w14:paraId="3EAABEF5" w14:textId="5BCCC2CD" w:rsidR="00615E2D" w:rsidRDefault="00C83E46">
            <w:pPr>
              <w:pStyle w:val="P68B1DB1-Normal15"/>
              <w:spacing w:after="200" w:line="276" w:lineRule="auto"/>
              <w:rPr>
                <w:noProof/>
              </w:rPr>
            </w:pPr>
            <w:r>
              <w:rPr>
                <w:noProof/>
              </w:rPr>
              <w:t>Kad je riječ o potpori aktivnostima obnove, u pozivu se navodi da se najmanje 90 % troškova podupire energetski učinkovite obnove.</w:t>
            </w:r>
          </w:p>
          <w:p w14:paraId="0CE8586E" w14:textId="0D925A24" w:rsidR="00615E2D" w:rsidRDefault="00C83E46">
            <w:pPr>
              <w:pStyle w:val="P68B1DB1-Normal15"/>
              <w:spacing w:line="259" w:lineRule="auto"/>
              <w:rPr>
                <w:noProof/>
              </w:rPr>
            </w:pPr>
            <w:r>
              <w:rPr>
                <w:noProof/>
              </w:rPr>
              <w:t>Zahtjevima poziva na podnošenje projekata osigurava se da se najmanje 70 % nastalog građevinskog otpada i otpada od rušenja pripremi za ponovnu uporabu i recikliranje.</w:t>
            </w:r>
          </w:p>
          <w:p w14:paraId="4F87BE2C" w14:textId="18B8CF79" w:rsidR="00615E2D" w:rsidRDefault="00C83E46">
            <w:pPr>
              <w:pStyle w:val="P68B1DB1-Normal15"/>
              <w:spacing w:line="240" w:lineRule="auto"/>
              <w:rPr>
                <w:noProof/>
              </w:rPr>
            </w:pPr>
            <w:r>
              <w:rPr>
                <w:noProof/>
              </w:rPr>
              <w:t>Upravljanje pozivom, ocjenjivanje projektnih prijava, odabir i potpisivanje ugovora s nositeljima projekta, kao i plaćanja tijekom realizacije projekta (izgradnja) i završna kontrola povjeravaju se državnom investicijskom fondu.</w:t>
            </w:r>
          </w:p>
        </w:tc>
      </w:tr>
      <w:tr w:rsidR="00615E2D" w14:paraId="5477F68B" w14:textId="77777777">
        <w:trPr>
          <w:trHeight w:val="945"/>
          <w:jc w:val="center"/>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D447DB0" w14:textId="77777777" w:rsidR="00615E2D" w:rsidRDefault="00C83E46">
            <w:pPr>
              <w:pStyle w:val="P68B1DB1-Normal15"/>
              <w:spacing w:line="240" w:lineRule="auto"/>
              <w:jc w:val="center"/>
              <w:rPr>
                <w:noProof/>
              </w:rPr>
            </w:pPr>
            <w:r>
              <w:rPr>
                <w:noProof/>
              </w:rPr>
              <w:t xml:space="preserve"> 155</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796AC12" w14:textId="77777777" w:rsidR="00615E2D" w:rsidRDefault="00C83E46">
            <w:pPr>
              <w:pStyle w:val="P68B1DB1-Normal15"/>
              <w:spacing w:line="240" w:lineRule="auto"/>
              <w:rPr>
                <w:noProof/>
              </w:rPr>
            </w:pPr>
            <w:r>
              <w:rPr>
                <w:noProof/>
              </w:rPr>
              <w:t>Ulaganje 1: Potpora za revitalizaciju određenih područja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53EDEE" w14:textId="77777777" w:rsidR="00615E2D" w:rsidRDefault="00C83E46">
            <w:pPr>
              <w:pStyle w:val="P68B1DB1-Normal15"/>
              <w:spacing w:line="240" w:lineRule="auto"/>
              <w:rPr>
                <w:noProof/>
              </w:rPr>
            </w:pPr>
            <w:r>
              <w:rPr>
                <w:noProof/>
              </w:rPr>
              <w:t>Ciljna</w:t>
            </w:r>
          </w:p>
        </w:tc>
        <w:tc>
          <w:tcPr>
            <w:tcW w:w="13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DB9090" w14:textId="56020396" w:rsidR="00615E2D" w:rsidRDefault="00C83E46">
            <w:pPr>
              <w:pStyle w:val="P68B1DB1-Normal15"/>
              <w:spacing w:line="240" w:lineRule="auto"/>
              <w:rPr>
                <w:noProof/>
              </w:rPr>
            </w:pPr>
            <w:r>
              <w:rPr>
                <w:noProof/>
              </w:rPr>
              <w:t>Završetak projekata energetski učinkovite revitalizacije određenih napuštenih područja</w:t>
            </w:r>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45BAA1" w14:textId="77777777" w:rsidR="00615E2D" w:rsidRDefault="00615E2D">
            <w:pPr>
              <w:spacing w:line="240" w:lineRule="auto"/>
              <w:rPr>
                <w:rFonts w:eastAsia="Times New Roman"/>
                <w:noProof/>
                <w:color w:val="004300"/>
                <w:sz w:val="18"/>
              </w:rPr>
            </w:pPr>
          </w:p>
        </w:tc>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81595EC" w14:textId="77777777" w:rsidR="00615E2D" w:rsidRDefault="00C83E46">
            <w:pPr>
              <w:pStyle w:val="P68B1DB1-Normal15"/>
              <w:spacing w:line="240" w:lineRule="auto"/>
              <w:rPr>
                <w:noProof/>
              </w:rPr>
            </w:pPr>
            <w:r>
              <w:rPr>
                <w:noProof/>
              </w:rPr>
              <w:t>Broj projekata</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F2533A2" w14:textId="77777777" w:rsidR="00615E2D" w:rsidRDefault="00C83E46">
            <w:pPr>
              <w:pStyle w:val="P68B1DB1-Normal15"/>
              <w:spacing w:line="240" w:lineRule="auto"/>
              <w:jc w:val="center"/>
              <w:rPr>
                <w:noProof/>
              </w:rPr>
            </w:pPr>
            <w:r>
              <w:rPr>
                <w:noProof/>
              </w:rPr>
              <w:t>0</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13AB0D6" w14:textId="04FC0DD5" w:rsidR="00615E2D" w:rsidRDefault="00C83E46">
            <w:pPr>
              <w:pStyle w:val="P68B1DB1-Normal15"/>
              <w:spacing w:line="240" w:lineRule="auto"/>
              <w:jc w:val="center"/>
              <w:rPr>
                <w:noProof/>
              </w:rPr>
            </w:pPr>
            <w:r>
              <w:rPr>
                <w:noProof/>
              </w:rPr>
              <w:t>10</w:t>
            </w:r>
          </w:p>
        </w:tc>
        <w:tc>
          <w:tcPr>
            <w:tcW w:w="10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9EB333" w14:textId="77777777" w:rsidR="00615E2D" w:rsidRDefault="00C83E46">
            <w:pPr>
              <w:pStyle w:val="P68B1DB1-Normal15"/>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A4D5A82" w14:textId="77777777" w:rsidR="00615E2D" w:rsidRDefault="00C83E46">
            <w:pPr>
              <w:pStyle w:val="P68B1DB1-Normal15"/>
              <w:spacing w:line="240" w:lineRule="auto"/>
              <w:jc w:val="center"/>
              <w:rPr>
                <w:noProof/>
              </w:rPr>
            </w:pPr>
            <w:r>
              <w:rPr>
                <w:noProof/>
              </w:rPr>
              <w:t>2025</w:t>
            </w:r>
          </w:p>
        </w:tc>
        <w:tc>
          <w:tcPr>
            <w:tcW w:w="4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5A5CB60" w14:textId="4F5FBB9D" w:rsidR="00615E2D" w:rsidRDefault="00C83E46">
            <w:pPr>
              <w:pStyle w:val="P68B1DB1-Normal15"/>
              <w:spacing w:line="240" w:lineRule="auto"/>
              <w:rPr>
                <w:noProof/>
              </w:rPr>
            </w:pPr>
            <w:r>
              <w:rPr>
                <w:noProof/>
              </w:rPr>
              <w:t>Mora se dovršiti najmanje 10 projekata za revitalizaciju određenih neiskorištenih industrijskih područja u području energetske učinkovitosti. Najmanje 60 % ulaganja namijenjeno je projektima energetski učinkovite obnove.</w:t>
            </w:r>
          </w:p>
        </w:tc>
      </w:tr>
      <w:tr w:rsidR="00615E2D" w14:paraId="41F0F6DA" w14:textId="77777777">
        <w:trPr>
          <w:trHeight w:val="945"/>
          <w:jc w:val="center"/>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93A1614" w14:textId="77777777" w:rsidR="00615E2D" w:rsidRDefault="00C83E46">
            <w:pPr>
              <w:pStyle w:val="P68B1DB1-Normal15"/>
              <w:spacing w:line="240" w:lineRule="auto"/>
              <w:jc w:val="center"/>
              <w:rPr>
                <w:noProof/>
              </w:rPr>
            </w:pPr>
            <w:r>
              <w:rPr>
                <w:noProof/>
              </w:rPr>
              <w:t>156</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6DC01A" w14:textId="77777777" w:rsidR="00615E2D" w:rsidRDefault="00C83E46">
            <w:pPr>
              <w:pStyle w:val="P68B1DB1-Normal15"/>
              <w:spacing w:line="240" w:lineRule="auto"/>
              <w:rPr>
                <w:noProof/>
              </w:rPr>
            </w:pPr>
            <w:r>
              <w:rPr>
                <w:noProof/>
              </w:rPr>
              <w:t>Ulaganje 2: Potpora revitalizaciji područja u javnom vlasništvu za neposlovnu uporabu</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16F802F" w14:textId="26AD4469" w:rsidR="00615E2D" w:rsidRDefault="00C83E46">
            <w:pPr>
              <w:pStyle w:val="P68B1DB1-Normal15"/>
              <w:spacing w:line="240" w:lineRule="auto"/>
              <w:rPr>
                <w:noProof/>
              </w:rPr>
            </w:pPr>
            <w:r>
              <w:rPr>
                <w:noProof/>
              </w:rPr>
              <w:t>Ciljna</w:t>
            </w:r>
          </w:p>
        </w:tc>
        <w:tc>
          <w:tcPr>
            <w:tcW w:w="13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D9563A5" w14:textId="37EB5A7A" w:rsidR="00615E2D" w:rsidRDefault="00C83E46">
            <w:pPr>
              <w:pStyle w:val="P68B1DB1-Normal15"/>
              <w:spacing w:line="240" w:lineRule="auto"/>
              <w:rPr>
                <w:noProof/>
              </w:rPr>
            </w:pPr>
            <w:r>
              <w:rPr>
                <w:noProof/>
              </w:rPr>
              <w:t>Stupanje na snagu svih ugovora između Državnog investicijskog fonda i odabranih nositelja neiskorištenih industrijskih projekata</w:t>
            </w:r>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71C58E1" w14:textId="57996AB1" w:rsidR="00615E2D" w:rsidRDefault="00615E2D">
            <w:pPr>
              <w:spacing w:line="240" w:lineRule="auto"/>
              <w:rPr>
                <w:rFonts w:eastAsia="Times New Roman"/>
                <w:noProof/>
                <w:color w:val="004300"/>
                <w:sz w:val="18"/>
              </w:rPr>
            </w:pPr>
          </w:p>
        </w:tc>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58A8275" w14:textId="704AC184" w:rsidR="00615E2D" w:rsidRDefault="00C83E46">
            <w:pPr>
              <w:pStyle w:val="P68B1DB1-Normal15"/>
              <w:spacing w:line="240" w:lineRule="auto"/>
              <w:rPr>
                <w:noProof/>
              </w:rPr>
            </w:pPr>
            <w:r>
              <w:rPr>
                <w:noProof/>
              </w:rPr>
              <w:t>Broj projekata</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DBBB0B9" w14:textId="77777777" w:rsidR="00615E2D" w:rsidRDefault="00615E2D">
            <w:pPr>
              <w:spacing w:line="240" w:lineRule="auto"/>
              <w:jc w:val="center"/>
              <w:rPr>
                <w:rFonts w:eastAsia="Times New Roman"/>
                <w:noProof/>
                <w:color w:val="004300"/>
                <w:sz w:val="18"/>
              </w:rPr>
            </w:pP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778A76" w14:textId="03826A61" w:rsidR="00615E2D" w:rsidRDefault="00C83E46">
            <w:pPr>
              <w:pStyle w:val="P68B1DB1-Normal15"/>
              <w:spacing w:line="240" w:lineRule="auto"/>
              <w:jc w:val="center"/>
              <w:rPr>
                <w:noProof/>
              </w:rPr>
            </w:pPr>
            <w:r>
              <w:rPr>
                <w:noProof/>
              </w:rPr>
              <w:t>30</w:t>
            </w:r>
          </w:p>
        </w:tc>
        <w:tc>
          <w:tcPr>
            <w:tcW w:w="10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907C83A" w14:textId="77777777" w:rsidR="00615E2D" w:rsidRDefault="00C83E46">
            <w:pPr>
              <w:pStyle w:val="P68B1DB1-Normal15"/>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994079" w14:textId="77777777" w:rsidR="00615E2D" w:rsidRDefault="00C83E46">
            <w:pPr>
              <w:pStyle w:val="P68B1DB1-Normal15"/>
              <w:spacing w:line="240" w:lineRule="auto"/>
              <w:jc w:val="center"/>
              <w:rPr>
                <w:noProof/>
              </w:rPr>
            </w:pPr>
            <w:r>
              <w:rPr>
                <w:noProof/>
              </w:rPr>
              <w:t>2023</w:t>
            </w:r>
          </w:p>
        </w:tc>
        <w:tc>
          <w:tcPr>
            <w:tcW w:w="4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44B2EEA" w14:textId="077CCABD" w:rsidR="00615E2D" w:rsidRDefault="00C83E46">
            <w:pPr>
              <w:pStyle w:val="P68B1DB1-Normal15"/>
              <w:spacing w:line="240" w:lineRule="auto"/>
              <w:rPr>
                <w:noProof/>
              </w:rPr>
            </w:pPr>
            <w:r>
              <w:rPr>
                <w:noProof/>
              </w:rPr>
              <w:t>Stupanje na snagu svih ugovora za obnovu napuštenih industrijskih područja u javnom vlasništvu za neposlovnu uporabu nakon pripreme programa subvencija. Projekti koji se podupiru programom subvencija usmjereni su na provedbu energetski učinkovitih obnova ili pretvaranje napuštenih industrijskih područja u prirodne ponore ugljika.</w:t>
            </w:r>
          </w:p>
          <w:p w14:paraId="64B20FB6" w14:textId="518473B7" w:rsidR="00615E2D" w:rsidRDefault="00C83E46">
            <w:pPr>
              <w:pStyle w:val="P68B1DB1-Normal15"/>
              <w:spacing w:line="259" w:lineRule="auto"/>
              <w:rPr>
                <w:noProof/>
              </w:rPr>
            </w:pPr>
            <w:r>
              <w:rPr>
                <w:noProof/>
              </w:rPr>
              <w:t>Kad je riječ o potpori aktivnostima obnove, u pozivu se navodi da se najmanje 90 % troškova podupire energetski učinkovite obnove.</w:t>
            </w:r>
          </w:p>
          <w:p w14:paraId="19204DDD" w14:textId="17C4CD40" w:rsidR="00615E2D" w:rsidRDefault="00C83E46">
            <w:pPr>
              <w:pStyle w:val="P68B1DB1-Normal15"/>
              <w:spacing w:line="259" w:lineRule="auto"/>
              <w:rPr>
                <w:noProof/>
              </w:rPr>
            </w:pPr>
            <w:r>
              <w:rPr>
                <w:noProof/>
              </w:rPr>
              <w:t>Zahtjevima poziva na podnošenje projekata osigurava se da se najmanje 70 % nastalog građevinskog otpada i otpada od rušenja pripremi za ponovnu uporabu i recikliranje.</w:t>
            </w:r>
          </w:p>
          <w:p w14:paraId="53536906" w14:textId="2EF4745E" w:rsidR="00615E2D" w:rsidRDefault="00C83E46">
            <w:pPr>
              <w:pStyle w:val="P68B1DB1-Normal15"/>
              <w:spacing w:line="240" w:lineRule="auto"/>
              <w:rPr>
                <w:noProof/>
              </w:rPr>
            </w:pPr>
            <w:r>
              <w:rPr>
                <w:noProof/>
              </w:rPr>
              <w:t>Ukupno se ugovara najmanje 30 projekata, a najmanje 20 % ulaganja namijenjeno je projektima čiji je cilj prenamijeniti napuštena područja u prirodne ponore ugljika.</w:t>
            </w:r>
          </w:p>
        </w:tc>
      </w:tr>
      <w:tr w:rsidR="00615E2D" w14:paraId="3A2D16CD" w14:textId="77777777">
        <w:trPr>
          <w:trHeight w:val="945"/>
          <w:jc w:val="center"/>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43AE3B5" w14:textId="77777777" w:rsidR="00615E2D" w:rsidRDefault="00C83E46">
            <w:pPr>
              <w:pStyle w:val="P68B1DB1-Normal15"/>
              <w:spacing w:line="240" w:lineRule="auto"/>
              <w:jc w:val="center"/>
              <w:rPr>
                <w:noProof/>
              </w:rPr>
            </w:pPr>
            <w:r>
              <w:rPr>
                <w:noProof/>
              </w:rPr>
              <w:t xml:space="preserve"> 157</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23E80C6" w14:textId="77777777" w:rsidR="00615E2D" w:rsidRDefault="00C83E46">
            <w:pPr>
              <w:pStyle w:val="P68B1DB1-Normal15"/>
              <w:spacing w:line="240" w:lineRule="auto"/>
              <w:rPr>
                <w:noProof/>
              </w:rPr>
            </w:pPr>
            <w:r>
              <w:rPr>
                <w:noProof/>
              </w:rPr>
              <w:t>Ulaganje 2: Potpora revitalizaciji područja u javnom vlasništvu za neposlovnu uporabu</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2DF2CF4" w14:textId="77777777" w:rsidR="00615E2D" w:rsidRDefault="00C83E46">
            <w:pPr>
              <w:pStyle w:val="P68B1DB1-Normal15"/>
              <w:spacing w:line="240" w:lineRule="auto"/>
              <w:rPr>
                <w:noProof/>
              </w:rPr>
            </w:pPr>
            <w:r>
              <w:rPr>
                <w:noProof/>
              </w:rPr>
              <w:t>Ciljna</w:t>
            </w:r>
          </w:p>
        </w:tc>
        <w:tc>
          <w:tcPr>
            <w:tcW w:w="13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6CC84C1" w14:textId="77777777" w:rsidR="00615E2D" w:rsidRDefault="00C83E46">
            <w:pPr>
              <w:pStyle w:val="P68B1DB1-Normal15"/>
              <w:spacing w:line="240" w:lineRule="auto"/>
              <w:rPr>
                <w:noProof/>
              </w:rPr>
            </w:pPr>
            <w:r>
              <w:rPr>
                <w:noProof/>
              </w:rPr>
              <w:t>Završetak projekata energetski učinkovite revitalizacije neiskorištenih industrijskih područja u vlasništvu općina i regija za neposlovnu uporabu</w:t>
            </w:r>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F0D9A1C" w14:textId="77777777" w:rsidR="00615E2D" w:rsidRDefault="00615E2D">
            <w:pPr>
              <w:spacing w:line="240" w:lineRule="auto"/>
              <w:rPr>
                <w:rFonts w:eastAsia="Times New Roman"/>
                <w:noProof/>
                <w:color w:val="004300"/>
                <w:sz w:val="18"/>
              </w:rPr>
            </w:pPr>
          </w:p>
        </w:tc>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DDEE47" w14:textId="008EE41E" w:rsidR="00615E2D" w:rsidRDefault="00C83E46">
            <w:pPr>
              <w:pStyle w:val="P68B1DB1-Normal15"/>
              <w:spacing w:line="240" w:lineRule="auto"/>
              <w:rPr>
                <w:noProof/>
              </w:rPr>
            </w:pPr>
            <w:r>
              <w:rPr>
                <w:noProof/>
              </w:rPr>
              <w:t>Broj mm revitaliziranog izgrađenog područja</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80AE5EC" w14:textId="77777777" w:rsidR="00615E2D" w:rsidRDefault="00C83E46">
            <w:pPr>
              <w:pStyle w:val="P68B1DB1-Normal15"/>
              <w:spacing w:line="240" w:lineRule="auto"/>
              <w:jc w:val="center"/>
              <w:rPr>
                <w:noProof/>
              </w:rPr>
            </w:pPr>
            <w:r>
              <w:rPr>
                <w:noProof/>
              </w:rPr>
              <w:t>0</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5235731" w14:textId="06DB731B" w:rsidR="00615E2D" w:rsidRDefault="00C83E46">
            <w:pPr>
              <w:pStyle w:val="P68B1DB1-Normal15"/>
              <w:spacing w:line="240" w:lineRule="auto"/>
              <w:jc w:val="center"/>
              <w:rPr>
                <w:noProof/>
              </w:rPr>
            </w:pPr>
            <w:r>
              <w:rPr>
                <w:noProof/>
              </w:rPr>
              <w:t>  41 000</w:t>
            </w:r>
          </w:p>
        </w:tc>
        <w:tc>
          <w:tcPr>
            <w:tcW w:w="10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7D4BF15" w14:textId="77777777" w:rsidR="00615E2D" w:rsidRDefault="00C83E46">
            <w:pPr>
              <w:pStyle w:val="P68B1DB1-Normal15"/>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7B338A9" w14:textId="77777777" w:rsidR="00615E2D" w:rsidRDefault="00C83E46">
            <w:pPr>
              <w:pStyle w:val="P68B1DB1-Normal15"/>
              <w:spacing w:line="240" w:lineRule="auto"/>
              <w:jc w:val="center"/>
              <w:rPr>
                <w:noProof/>
              </w:rPr>
            </w:pPr>
            <w:r>
              <w:rPr>
                <w:noProof/>
              </w:rPr>
              <w:t>2025</w:t>
            </w:r>
          </w:p>
        </w:tc>
        <w:tc>
          <w:tcPr>
            <w:tcW w:w="4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36CA61A" w14:textId="61E10B3E" w:rsidR="00615E2D" w:rsidRDefault="00C83E46">
            <w:pPr>
              <w:pStyle w:val="P68B1DB1-Normal15"/>
              <w:spacing w:line="259" w:lineRule="auto"/>
              <w:rPr>
                <w:noProof/>
              </w:rPr>
            </w:pPr>
            <w:r>
              <w:rPr>
                <w:noProof/>
              </w:rPr>
              <w:t>Najmanje 20 % ulaganja namijenjeno je projektima usmjerenima na pretvaranje napuštenih industrijskih područja u prirodne ponore ugljika. Ukupno se mora dovršiti najmanje 30 projekata i revitalizirati 41 000 m² izgrađenog područja.</w:t>
            </w:r>
          </w:p>
        </w:tc>
      </w:tr>
      <w:tr w:rsidR="00615E2D" w14:paraId="0EB16378" w14:textId="77777777">
        <w:trPr>
          <w:trHeight w:val="369"/>
          <w:jc w:val="center"/>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ED0963A" w14:textId="77777777" w:rsidR="00615E2D" w:rsidRDefault="00C83E46">
            <w:pPr>
              <w:pStyle w:val="P68B1DB1-Normal15"/>
              <w:spacing w:line="240" w:lineRule="auto"/>
              <w:jc w:val="center"/>
              <w:rPr>
                <w:noProof/>
              </w:rPr>
            </w:pPr>
            <w:r>
              <w:rPr>
                <w:noProof/>
              </w:rPr>
              <w:t>158</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203484" w14:textId="77777777" w:rsidR="00615E2D" w:rsidRDefault="00C83E46">
            <w:pPr>
              <w:pStyle w:val="P68B1DB1-Normal15"/>
              <w:spacing w:line="240" w:lineRule="auto"/>
              <w:rPr>
                <w:noProof/>
              </w:rPr>
            </w:pPr>
            <w:r>
              <w:rPr>
                <w:noProof/>
              </w:rPr>
              <w:t>Ulaganje 3: Potpora za revitalizaciju područja u javnom vlasništvu za poslovnu uporabu</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58B9920" w14:textId="117924CA" w:rsidR="00615E2D" w:rsidRDefault="00C83E46">
            <w:pPr>
              <w:pStyle w:val="P68B1DB1-Normal15"/>
              <w:spacing w:line="240" w:lineRule="auto"/>
              <w:rPr>
                <w:noProof/>
              </w:rPr>
            </w:pPr>
            <w:r>
              <w:rPr>
                <w:noProof/>
              </w:rPr>
              <w:t>Ciljna</w:t>
            </w:r>
          </w:p>
        </w:tc>
        <w:tc>
          <w:tcPr>
            <w:tcW w:w="13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77E2D0E" w14:textId="6F8515FF" w:rsidR="00615E2D" w:rsidRDefault="00C83E46">
            <w:pPr>
              <w:pStyle w:val="P68B1DB1-Normal15"/>
              <w:spacing w:line="240" w:lineRule="auto"/>
              <w:rPr>
                <w:noProof/>
              </w:rPr>
            </w:pPr>
            <w:r>
              <w:rPr>
                <w:noProof/>
              </w:rPr>
              <w:t>Stupanje na snagu svih ugovora o javnoj nabavi za obnovu napuštenih industrijskih područja u javnom vlasništvu za poslovnu uporabu</w:t>
            </w:r>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E93300E" w14:textId="117C8846" w:rsidR="00615E2D" w:rsidRDefault="00615E2D">
            <w:pPr>
              <w:spacing w:line="240" w:lineRule="auto"/>
              <w:rPr>
                <w:rFonts w:eastAsia="Times New Roman"/>
                <w:noProof/>
                <w:color w:val="004300"/>
                <w:sz w:val="18"/>
              </w:rPr>
            </w:pPr>
          </w:p>
        </w:tc>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A744E1" w14:textId="77D9F9CA" w:rsidR="00615E2D" w:rsidRDefault="00C83E46">
            <w:pPr>
              <w:pStyle w:val="P68B1DB1-Normal15"/>
              <w:spacing w:line="240" w:lineRule="auto"/>
              <w:rPr>
                <w:noProof/>
              </w:rPr>
            </w:pPr>
            <w:r>
              <w:rPr>
                <w:noProof/>
              </w:rPr>
              <w:t>Broj projekata</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F0A43A1" w14:textId="77777777" w:rsidR="00615E2D" w:rsidRDefault="00615E2D">
            <w:pPr>
              <w:spacing w:line="240" w:lineRule="auto"/>
              <w:jc w:val="center"/>
              <w:rPr>
                <w:rFonts w:eastAsia="Times New Roman"/>
                <w:noProof/>
                <w:color w:val="004300"/>
                <w:sz w:val="18"/>
              </w:rPr>
            </w:pP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7D153CD" w14:textId="6C3AB7C3" w:rsidR="00615E2D" w:rsidRDefault="00C83E46">
            <w:pPr>
              <w:pStyle w:val="P68B1DB1-Normal15"/>
              <w:spacing w:line="240" w:lineRule="auto"/>
              <w:jc w:val="center"/>
              <w:rPr>
                <w:noProof/>
              </w:rPr>
            </w:pPr>
            <w:r>
              <w:rPr>
                <w:noProof/>
              </w:rPr>
              <w:t>20</w:t>
            </w:r>
          </w:p>
        </w:tc>
        <w:tc>
          <w:tcPr>
            <w:tcW w:w="10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488B0EB" w14:textId="77777777" w:rsidR="00615E2D" w:rsidRDefault="00C83E46">
            <w:pPr>
              <w:pStyle w:val="P68B1DB1-Normal15"/>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F81238" w14:textId="77777777" w:rsidR="00615E2D" w:rsidRDefault="00C83E46">
            <w:pPr>
              <w:pStyle w:val="P68B1DB1-Normal15"/>
              <w:spacing w:line="240" w:lineRule="auto"/>
              <w:jc w:val="center"/>
              <w:rPr>
                <w:noProof/>
              </w:rPr>
            </w:pPr>
            <w:r>
              <w:rPr>
                <w:noProof/>
              </w:rPr>
              <w:t>2023</w:t>
            </w:r>
          </w:p>
        </w:tc>
        <w:tc>
          <w:tcPr>
            <w:tcW w:w="4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8D0D7F" w14:textId="46282D56" w:rsidR="00615E2D" w:rsidRDefault="00C83E46">
            <w:pPr>
              <w:pStyle w:val="P68B1DB1-Normal16"/>
              <w:spacing w:line="257" w:lineRule="auto"/>
              <w:rPr>
                <w:noProof/>
              </w:rPr>
            </w:pPr>
            <w:r>
              <w:rPr>
                <w:noProof/>
              </w:rPr>
              <w:t xml:space="preserve">Stupanje na snagu svih ugovora za obnovu napuštenih industrijskih područja u javnom vlasništvu za poslovnu uporabu nakon pripreme programa subvencija. Odabrani projekti usmjereni su na potporu rušenju i energetski učinkovitoj izgradnji ili energetski učinkovitoj obnovi.  </w:t>
            </w:r>
          </w:p>
          <w:p w14:paraId="0E8FDB6D" w14:textId="1EB5A493" w:rsidR="00615E2D" w:rsidRDefault="00C83E46">
            <w:pPr>
              <w:pStyle w:val="P68B1DB1-Normal16"/>
              <w:spacing w:line="257" w:lineRule="auto"/>
              <w:rPr>
                <w:noProof/>
              </w:rPr>
            </w:pPr>
            <w:r>
              <w:rPr>
                <w:noProof/>
              </w:rPr>
              <w:t>Kad je riječ o financiranju rušenja i energetski učinkovite gradnje, osigurava se da odabrani projekti budu takvi da i. nove zgrade imaju potražnju primarne energije (PED) koja je najmanje 20 % niža od zahtjeva za zgrade gotovo nulte energije; ii. dubinska obnova nije moguća zbog tehničkih, zdravstvenih/sigurnosnih ili svrsishodnih razloga; iii. na mjestu gdje se nalazio bivši objekt upotrebljava se najviše 5 % novog zemljišta. To isključuje mogućnost rušenja zgrada na jednom mjestu i izgradnje druge zgrade na drugom mjestu.</w:t>
            </w:r>
          </w:p>
          <w:p w14:paraId="5ABD958C" w14:textId="5B663E61" w:rsidR="00615E2D" w:rsidRDefault="00C83E46">
            <w:pPr>
              <w:pStyle w:val="P68B1DB1-Normal16"/>
              <w:spacing w:line="240" w:lineRule="auto"/>
              <w:rPr>
                <w:noProof/>
              </w:rPr>
            </w:pPr>
            <w:r>
              <w:rPr>
                <w:noProof/>
              </w:rPr>
              <w:t>Kad je riječ o potpori aktivnostima obnove, osigurava se da se najmanje 90 % troškova podupire energetski učinkovite obnove.</w:t>
            </w:r>
          </w:p>
          <w:p w14:paraId="59DFC915" w14:textId="066E1202" w:rsidR="00615E2D" w:rsidRDefault="00C83E46">
            <w:pPr>
              <w:pStyle w:val="P68B1DB1-Normal16"/>
              <w:spacing w:line="259" w:lineRule="auto"/>
              <w:rPr>
                <w:noProof/>
              </w:rPr>
            </w:pPr>
            <w:r>
              <w:rPr>
                <w:noProof/>
              </w:rPr>
              <w:t>Zahtjevima poziva na podnošenje projekata osigurava se da se najmanje 70 % nastalog građevinskog otpada i otpada od rušenja pripremi za ponovnu uporabu i recikliranje.</w:t>
            </w:r>
          </w:p>
          <w:p w14:paraId="79320331" w14:textId="52353ACA" w:rsidR="00615E2D" w:rsidRDefault="00C83E46">
            <w:pPr>
              <w:pStyle w:val="P68B1DB1-Normal16"/>
              <w:spacing w:line="240" w:lineRule="auto"/>
              <w:rPr>
                <w:noProof/>
              </w:rPr>
            </w:pPr>
            <w:r>
              <w:rPr>
                <w:noProof/>
              </w:rPr>
              <w:t>Ukupno se sklapa ugovor za najmanje 20 projekata.</w:t>
            </w:r>
          </w:p>
        </w:tc>
      </w:tr>
      <w:tr w:rsidR="00615E2D" w14:paraId="69707173" w14:textId="77777777">
        <w:trPr>
          <w:trHeight w:val="945"/>
          <w:jc w:val="center"/>
        </w:trPr>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6419F07" w14:textId="77777777" w:rsidR="00615E2D" w:rsidRDefault="00C83E46">
            <w:pPr>
              <w:pStyle w:val="P68B1DB1-Normal15"/>
              <w:spacing w:line="240" w:lineRule="auto"/>
              <w:jc w:val="center"/>
              <w:rPr>
                <w:noProof/>
              </w:rPr>
            </w:pPr>
            <w:r>
              <w:rPr>
                <w:noProof/>
              </w:rPr>
              <w:t xml:space="preserve"> 159</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E7E9E5E" w14:textId="77777777" w:rsidR="00615E2D" w:rsidRDefault="00C83E46">
            <w:pPr>
              <w:pStyle w:val="P68B1DB1-Normal15"/>
              <w:spacing w:line="240" w:lineRule="auto"/>
              <w:rPr>
                <w:noProof/>
              </w:rPr>
            </w:pPr>
            <w:r>
              <w:rPr>
                <w:noProof/>
              </w:rPr>
              <w:t>Ulaganje 3: Potpora za revitalizaciju područja u javnom vlasništvu za poslovnu uporabu</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8E5949" w14:textId="77777777" w:rsidR="00615E2D" w:rsidRDefault="00C83E46">
            <w:pPr>
              <w:pStyle w:val="P68B1DB1-Normal15"/>
              <w:spacing w:line="240" w:lineRule="auto"/>
              <w:rPr>
                <w:noProof/>
              </w:rPr>
            </w:pPr>
            <w:r>
              <w:rPr>
                <w:noProof/>
              </w:rPr>
              <w:t>Ciljna</w:t>
            </w:r>
          </w:p>
        </w:tc>
        <w:tc>
          <w:tcPr>
            <w:tcW w:w="13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20416E5" w14:textId="77777777" w:rsidR="00615E2D" w:rsidRDefault="00C83E46">
            <w:pPr>
              <w:pStyle w:val="P68B1DB1-Normal15"/>
              <w:spacing w:line="240" w:lineRule="auto"/>
              <w:rPr>
                <w:noProof/>
              </w:rPr>
            </w:pPr>
            <w:r>
              <w:rPr>
                <w:noProof/>
              </w:rPr>
              <w:t>Završetak projekata energetski učinkovite revitalizacije napuštenih i neiskorištenih industrijskih područja u vlasništvu općina i regija za poslovnu uporabu</w:t>
            </w:r>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EF0CB4" w14:textId="77777777" w:rsidR="00615E2D" w:rsidRDefault="00615E2D">
            <w:pPr>
              <w:spacing w:line="240" w:lineRule="auto"/>
              <w:rPr>
                <w:rFonts w:eastAsia="Times New Roman"/>
                <w:noProof/>
                <w:color w:val="004300"/>
                <w:sz w:val="18"/>
              </w:rPr>
            </w:pPr>
          </w:p>
        </w:tc>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AC75A76" w14:textId="77777777" w:rsidR="00615E2D" w:rsidRDefault="00C83E46">
            <w:pPr>
              <w:pStyle w:val="P68B1DB1-Normal15"/>
              <w:spacing w:line="240" w:lineRule="auto"/>
              <w:rPr>
                <w:noProof/>
              </w:rPr>
            </w:pPr>
            <w:r>
              <w:rPr>
                <w:noProof/>
              </w:rPr>
              <w:t>Broj m³ izgrađenog prostora</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CE66890" w14:textId="77777777" w:rsidR="00615E2D" w:rsidRDefault="00C83E46">
            <w:pPr>
              <w:pStyle w:val="P68B1DB1-Normal15"/>
              <w:spacing w:line="240" w:lineRule="auto"/>
              <w:jc w:val="center"/>
              <w:rPr>
                <w:noProof/>
              </w:rPr>
            </w:pPr>
            <w:r>
              <w:rPr>
                <w:noProof/>
              </w:rPr>
              <w:t>0</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E46345B" w14:textId="77777777" w:rsidR="00615E2D" w:rsidRDefault="00C83E46">
            <w:pPr>
              <w:pStyle w:val="P68B1DB1-Normal15"/>
              <w:spacing w:line="240" w:lineRule="auto"/>
              <w:jc w:val="center"/>
              <w:rPr>
                <w:noProof/>
              </w:rPr>
            </w:pPr>
            <w:r>
              <w:rPr>
                <w:noProof/>
              </w:rPr>
              <w:t>76 000</w:t>
            </w:r>
          </w:p>
        </w:tc>
        <w:tc>
          <w:tcPr>
            <w:tcW w:w="10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6534AF2" w14:textId="77777777" w:rsidR="00615E2D" w:rsidRDefault="00C83E46">
            <w:pPr>
              <w:pStyle w:val="P68B1DB1-Normal15"/>
              <w:spacing w:line="240" w:lineRule="auto"/>
              <w:jc w:val="center"/>
              <w:rPr>
                <w:noProof/>
              </w:rPr>
            </w:pPr>
            <w:r>
              <w:rPr>
                <w:noProof/>
              </w:rPr>
              <w:t>ČETVRTO TROMJESEČJE</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6EEF1E" w14:textId="77777777" w:rsidR="00615E2D" w:rsidRDefault="00C83E46">
            <w:pPr>
              <w:pStyle w:val="P68B1DB1-Normal15"/>
              <w:spacing w:line="240" w:lineRule="auto"/>
              <w:jc w:val="center"/>
              <w:rPr>
                <w:noProof/>
              </w:rPr>
            </w:pPr>
            <w:r>
              <w:rPr>
                <w:noProof/>
              </w:rPr>
              <w:t>2025</w:t>
            </w:r>
          </w:p>
        </w:tc>
        <w:tc>
          <w:tcPr>
            <w:tcW w:w="4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D83D80" w14:textId="197ADB70" w:rsidR="00615E2D" w:rsidRDefault="00C83E46">
            <w:pPr>
              <w:pStyle w:val="P68B1DB1-Normal16"/>
              <w:spacing w:line="240" w:lineRule="auto"/>
              <w:rPr>
                <w:noProof/>
              </w:rPr>
            </w:pPr>
            <w:r>
              <w:rPr>
                <w:noProof/>
              </w:rPr>
              <w:t>Najmanje 60 % ulaganja namijenjeno je projektima energetski učinkovite obnove zgrada na napuštenim industrijskim područjima. Ukupno je revitalizirano najmanje 76 000 m³ izgrađenog prostora.</w:t>
            </w:r>
          </w:p>
          <w:p w14:paraId="78FEFE58" w14:textId="2216E77F" w:rsidR="00615E2D" w:rsidRDefault="00615E2D">
            <w:pPr>
              <w:spacing w:line="240" w:lineRule="auto"/>
              <w:rPr>
                <w:noProof/>
                <w:color w:val="004300"/>
                <w:sz w:val="18"/>
              </w:rPr>
            </w:pPr>
          </w:p>
        </w:tc>
      </w:tr>
    </w:tbl>
    <w:p w14:paraId="19BD3D98" w14:textId="77777777" w:rsidR="00615E2D" w:rsidRDefault="00615E2D">
      <w:pPr>
        <w:pBdr>
          <w:top w:val="nil"/>
          <w:left w:val="nil"/>
          <w:bottom w:val="nil"/>
          <w:right w:val="nil"/>
          <w:between w:val="nil"/>
        </w:pBdr>
        <w:tabs>
          <w:tab w:val="left" w:pos="993"/>
        </w:tabs>
        <w:spacing w:line="240" w:lineRule="auto"/>
        <w:rPr>
          <w:b/>
          <w:noProof/>
          <w:color w:val="000000"/>
          <w:u w:val="single"/>
        </w:rPr>
      </w:pPr>
    </w:p>
    <w:p w14:paraId="0BF0AA84" w14:textId="19411E7F" w:rsidR="00615E2D" w:rsidRDefault="00615E2D">
      <w:pPr>
        <w:pBdr>
          <w:top w:val="nil"/>
          <w:left w:val="nil"/>
          <w:bottom w:val="nil"/>
          <w:right w:val="nil"/>
          <w:between w:val="nil"/>
        </w:pBdr>
        <w:spacing w:line="240" w:lineRule="auto"/>
        <w:rPr>
          <w:rFonts w:ascii="Calibri" w:hAnsi="Calibri"/>
          <w:noProof/>
          <w:color w:val="000000"/>
          <w:sz w:val="22"/>
        </w:rPr>
        <w:sectPr w:rsidR="00615E2D" w:rsidSect="00786C7E">
          <w:headerReference w:type="even" r:id="rId240"/>
          <w:headerReference w:type="default" r:id="rId241"/>
          <w:footerReference w:type="even" r:id="rId242"/>
          <w:footerReference w:type="default" r:id="rId243"/>
          <w:headerReference w:type="first" r:id="rId244"/>
          <w:footerReference w:type="first" r:id="rId245"/>
          <w:pgSz w:w="16839" w:h="11907" w:orient="landscape"/>
          <w:pgMar w:top="1134" w:right="1134" w:bottom="1134" w:left="1134" w:header="567" w:footer="567" w:gutter="0"/>
          <w:cols w:space="720"/>
          <w:docGrid w:linePitch="326"/>
        </w:sectPr>
      </w:pPr>
    </w:p>
    <w:p w14:paraId="2ACA4992" w14:textId="19C37A3D" w:rsidR="00615E2D" w:rsidRDefault="00C83E46">
      <w:pPr>
        <w:pStyle w:val="P68B1DB1-Normal2"/>
        <w:keepNext/>
        <w:tabs>
          <w:tab w:val="left" w:pos="850"/>
        </w:tabs>
        <w:spacing w:line="240" w:lineRule="auto"/>
        <w:jc w:val="both"/>
        <w:outlineLvl w:val="0"/>
        <w:rPr>
          <w:noProof/>
        </w:rPr>
      </w:pPr>
      <w:r>
        <w:rPr>
          <w:noProof/>
        </w:rPr>
        <w:t>P. SASTAVNI DIO 2.9.: Promicanje biološke raznolikosti i borbe protiv suše</w:t>
      </w:r>
    </w:p>
    <w:p w14:paraId="2D7521AF"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Ta komponenta češkog plana za oporavak i otpornost pridonosi svladavanju izazova koji proizlaze iz niskog zadržavanja vode i učinka klimatskih promjena u Češkoj. Cilj je komponente poboljšati zaštitu od suša i poplava povećanjem zadržavanja vode u krajobrazu i urbanim područjima. Planiraju se i ulaganja u zaštitu područja mreže Natura 2000 i posebno zaštićenih područja. </w:t>
      </w:r>
    </w:p>
    <w:p w14:paraId="019A0088" w14:textId="77777777" w:rsidR="00615E2D" w:rsidRDefault="00C83E46">
      <w:pPr>
        <w:pStyle w:val="P68B1DB1-Normal3"/>
        <w:pBdr>
          <w:top w:val="nil"/>
          <w:left w:val="nil"/>
          <w:bottom w:val="nil"/>
          <w:right w:val="nil"/>
          <w:between w:val="nil"/>
        </w:pBdr>
        <w:spacing w:line="240" w:lineRule="auto"/>
        <w:jc w:val="both"/>
        <w:rPr>
          <w:noProof/>
        </w:rPr>
      </w:pPr>
      <w:r>
        <w:rPr>
          <w:noProof/>
        </w:rPr>
        <w:t xml:space="preserve">Očekuje se da se nijednom mjerom u ovoj komponenti ne nanosi znatna šteta okolišnim ciljevima u smislu članka 17. Uredbe (EU) 2020/852, uzimajući u obzir opis mjera i korake ublažavanja utvrđene u planu za oporavak i otpornost u skladu s Tehničkim smjernicama DNSH-a (2021/C58/01). </w:t>
      </w:r>
    </w:p>
    <w:p w14:paraId="54B00148" w14:textId="77777777" w:rsidR="00615E2D" w:rsidRDefault="00615E2D">
      <w:pPr>
        <w:pBdr>
          <w:top w:val="nil"/>
          <w:left w:val="nil"/>
          <w:bottom w:val="nil"/>
          <w:right w:val="nil"/>
          <w:between w:val="nil"/>
        </w:pBdr>
        <w:spacing w:line="240" w:lineRule="auto"/>
        <w:jc w:val="both"/>
        <w:rPr>
          <w:rFonts w:eastAsia="Times New Roman"/>
          <w:noProof/>
          <w:color w:val="000000"/>
        </w:rPr>
      </w:pPr>
    </w:p>
    <w:p w14:paraId="7F2DFE2F" w14:textId="784884C7" w:rsidR="00615E2D" w:rsidRDefault="00C83E46">
      <w:pPr>
        <w:pStyle w:val="P68B1DB1-Normal33"/>
        <w:pBdr>
          <w:top w:val="nil"/>
          <w:left w:val="nil"/>
          <w:bottom w:val="nil"/>
          <w:right w:val="nil"/>
          <w:between w:val="nil"/>
        </w:pBdr>
        <w:spacing w:line="240" w:lineRule="auto"/>
        <w:jc w:val="both"/>
        <w:rPr>
          <w:i/>
          <w:noProof/>
        </w:rPr>
      </w:pPr>
      <w:r>
        <w:rPr>
          <w:noProof/>
        </w:rPr>
        <w:t>P.1. Opis reformi i ulaganja za programe bespovratne financijske potpore</w:t>
      </w:r>
    </w:p>
    <w:p w14:paraId="227D3D1F" w14:textId="77777777" w:rsidR="00615E2D" w:rsidRDefault="00C83E46">
      <w:pPr>
        <w:pStyle w:val="P68B1DB1-Normal18"/>
        <w:pBdr>
          <w:top w:val="nil"/>
          <w:left w:val="nil"/>
          <w:bottom w:val="nil"/>
          <w:right w:val="nil"/>
          <w:between w:val="nil"/>
        </w:pBdr>
        <w:spacing w:line="240" w:lineRule="auto"/>
        <w:jc w:val="both"/>
        <w:rPr>
          <w:i/>
          <w:noProof/>
        </w:rPr>
      </w:pPr>
      <w:r>
        <w:rPr>
          <w:noProof/>
        </w:rPr>
        <w:t>Reforma 1.: Izmjena i dopuna Zakona o gospodarenju vodama</w:t>
      </w:r>
    </w:p>
    <w:p w14:paraId="399EA567" w14:textId="77777777" w:rsidR="00615E2D" w:rsidRDefault="00C83E46">
      <w:pPr>
        <w:pStyle w:val="P68B1DB1-Normal3"/>
        <w:pBdr>
          <w:top w:val="nil"/>
          <w:left w:val="nil"/>
          <w:bottom w:val="nil"/>
          <w:right w:val="nil"/>
          <w:between w:val="nil"/>
        </w:pBdr>
        <w:spacing w:line="240" w:lineRule="auto"/>
        <w:jc w:val="both"/>
        <w:rPr>
          <w:noProof/>
          <w:color w:val="000000"/>
        </w:rPr>
      </w:pPr>
      <w:r>
        <w:rPr>
          <w:noProof/>
          <w:color w:val="000000"/>
        </w:rPr>
        <w:t>Cilj je reforme izmijeniti Zakon o gospodarenju vodama kako bi se sustavnije odgovorilo na suše i nestašicu vode. Izmjenom se utvrđuje okvir za sprečavanje i praćenje suša, odgovornosti relevantnih tijela i</w:t>
      </w:r>
      <w:r>
        <w:rPr>
          <w:noProof/>
        </w:rPr>
        <w:t xml:space="preserve"> </w:t>
      </w:r>
      <w:r>
        <w:rPr>
          <w:noProof/>
          <w:color w:val="000000"/>
        </w:rPr>
        <w:t>kontrolni mehanizmi</w:t>
      </w:r>
      <w:r>
        <w:rPr>
          <w:noProof/>
        </w:rPr>
        <w:t xml:space="preserve">. </w:t>
      </w:r>
      <w:r>
        <w:rPr>
          <w:noProof/>
          <w:color w:val="000000"/>
        </w:rPr>
        <w:t>Cilj mu je osnivanje regionalnih povjerenstava s mandatom za izdavanje izjave o „stanju nestašice vode” i primjenu odgovarajućih ograničenja na korištenje vode u regiji, u skladu s planovima upravljanja sušama.</w:t>
      </w:r>
    </w:p>
    <w:p w14:paraId="163C43C7" w14:textId="77777777" w:rsidR="00615E2D" w:rsidRDefault="00C83E46">
      <w:pPr>
        <w:pBdr>
          <w:top w:val="nil"/>
          <w:left w:val="nil"/>
          <w:bottom w:val="nil"/>
          <w:right w:val="nil"/>
          <w:between w:val="nil"/>
        </w:pBdr>
        <w:spacing w:line="240" w:lineRule="auto"/>
        <w:jc w:val="both"/>
        <w:rPr>
          <w:rFonts w:eastAsia="Times New Roman"/>
          <w:noProof/>
          <w:color w:val="000000"/>
        </w:rPr>
      </w:pPr>
      <w:r>
        <w:rPr>
          <w:rFonts w:eastAsia="Times New Roman"/>
          <w:noProof/>
          <w:color w:val="000000"/>
        </w:rPr>
        <w:t>Provedba</w:t>
      </w:r>
      <w:r>
        <w:rPr>
          <w:rFonts w:ascii="Calibri" w:hAnsi="Calibri"/>
          <w:noProof/>
          <w:sz w:val="22"/>
        </w:rPr>
        <w:t xml:space="preserve"> </w:t>
      </w:r>
      <w:r>
        <w:rPr>
          <w:rFonts w:eastAsia="Times New Roman"/>
          <w:noProof/>
          <w:color w:val="000000"/>
        </w:rPr>
        <w:t xml:space="preserve">reforme mora biti dovršena do 31. prosinca 2024. </w:t>
      </w:r>
    </w:p>
    <w:p w14:paraId="2100D73A"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Ulaganje 1: Zaštita od suša i poplava grada Brna</w:t>
      </w:r>
    </w:p>
    <w:p w14:paraId="384D8CCF" w14:textId="7D81F037" w:rsidR="00615E2D" w:rsidRDefault="00C83E46">
      <w:pPr>
        <w:pStyle w:val="P68B1DB1-Normal3"/>
        <w:pBdr>
          <w:top w:val="nil"/>
          <w:left w:val="nil"/>
          <w:bottom w:val="nil"/>
          <w:right w:val="nil"/>
          <w:between w:val="nil"/>
        </w:pBdr>
        <w:spacing w:line="240" w:lineRule="auto"/>
        <w:jc w:val="both"/>
        <w:rPr>
          <w:rFonts w:ascii="Calibri" w:hAnsi="Calibri" w:cs="Calibri"/>
          <w:noProof/>
          <w:sz w:val="22"/>
        </w:rPr>
      </w:pPr>
      <w:r>
        <w:rPr>
          <w:noProof/>
        </w:rPr>
        <w:t>Cilj je tog</w:t>
      </w:r>
      <w:r>
        <w:rPr>
          <w:noProof/>
          <w:color w:val="000000" w:themeColor="text1"/>
        </w:rPr>
        <w:t xml:space="preserve">ulaganja ojačati obranu od poplava grada Brna i revitalizirati rijeku Svratka. Realizacija projekta uključuje:  prirodna rješenja kao što su prirodno izlijevanje povećane razine vode u slivovima na livadama, uspostava prirodnih bazena, livada, poplavnih područja i stvaranje močvarnih područja. </w:t>
      </w:r>
      <w:r>
        <w:rPr>
          <w:noProof/>
        </w:rPr>
        <w:t>Rješenja se provode na rijeci Svratka.</w:t>
      </w:r>
    </w:p>
    <w:p w14:paraId="121FB8A5"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Realizacija ulaganja mora biti dovršena do 31. prosinca 2025. </w:t>
      </w:r>
    </w:p>
    <w:p w14:paraId="65FB4471"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 xml:space="preserve">Ulaganje 2: Upravljanje kišnicom u gradskim aglomeracijama </w:t>
      </w:r>
    </w:p>
    <w:p w14:paraId="737D8D39" w14:textId="77777777" w:rsidR="00615E2D" w:rsidRDefault="00C83E46">
      <w:pPr>
        <w:pStyle w:val="P68B1DB1-Normal3"/>
        <w:pBdr>
          <w:top w:val="nil"/>
          <w:left w:val="nil"/>
          <w:bottom w:val="nil"/>
          <w:right w:val="nil"/>
          <w:between w:val="nil"/>
        </w:pBdr>
        <w:spacing w:line="240" w:lineRule="auto"/>
        <w:jc w:val="both"/>
        <w:rPr>
          <w:noProof/>
          <w:color w:val="000000"/>
        </w:rPr>
      </w:pPr>
      <w:r>
        <w:rPr>
          <w:noProof/>
          <w:color w:val="000000"/>
        </w:rPr>
        <w:t>Cilj je tog ulaganja usporavanje otjecanja te zadržavanje i akumulacija vode u gradskim aglomeracijama putem</w:t>
      </w:r>
      <w:r>
        <w:rPr>
          <w:noProof/>
        </w:rPr>
        <w:t xml:space="preserve"> </w:t>
      </w:r>
      <w:r>
        <w:rPr>
          <w:noProof/>
          <w:color w:val="000000"/>
        </w:rPr>
        <w:t xml:space="preserve">površinskog uvijanja, apsorpcijskih pojaseva i spremnika, kišnih vrtova, podzemnih zamki, drenaže, podzemnih spremnika i zelenih krovova. </w:t>
      </w:r>
    </w:p>
    <w:p w14:paraId="329FAC4F" w14:textId="52B32B6A" w:rsidR="00615E2D" w:rsidRDefault="00C83E46">
      <w:pPr>
        <w:pStyle w:val="P68B1DB1-Normal4"/>
        <w:pBdr>
          <w:top w:val="nil"/>
          <w:left w:val="nil"/>
          <w:bottom w:val="nil"/>
          <w:right w:val="nil"/>
          <w:between w:val="nil"/>
        </w:pBdr>
        <w:tabs>
          <w:tab w:val="right" w:pos="9639"/>
        </w:tabs>
        <w:spacing w:line="240" w:lineRule="auto"/>
        <w:jc w:val="both"/>
        <w:rPr>
          <w:noProof/>
        </w:rPr>
      </w:pPr>
      <w:r>
        <w:rPr>
          <w:noProof/>
        </w:rPr>
        <w:t xml:space="preserve">Realizacija ulaganja mora biti dovršena do 31. prosinca 2025. </w:t>
      </w:r>
    </w:p>
    <w:p w14:paraId="32A21C0E"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 xml:space="preserve">Ulaganje 3: Upravljanje područjima mreže Natura 2000 i zaštićenim vrstama bilja i životinja </w:t>
      </w:r>
    </w:p>
    <w:p w14:paraId="101B1842" w14:textId="0E525E13" w:rsidR="00615E2D" w:rsidRDefault="00C83E46">
      <w:pPr>
        <w:pStyle w:val="P68B1DB1-Normal4"/>
        <w:pBdr>
          <w:top w:val="nil"/>
          <w:left w:val="nil"/>
          <w:bottom w:val="nil"/>
          <w:right w:val="nil"/>
          <w:between w:val="nil"/>
        </w:pBdr>
        <w:spacing w:line="240" w:lineRule="auto"/>
        <w:jc w:val="both"/>
        <w:rPr>
          <w:noProof/>
        </w:rPr>
      </w:pPr>
      <w:r>
        <w:rPr>
          <w:noProof/>
        </w:rPr>
        <w:t xml:space="preserve">Opći je cilj ulaganja poboljšati ekološku stabilnost krajolika i bioraznolikosti u Češkoj. Sastoji se od provedbe mjera utvrđenih u planovima upravljanja za obnovu i revitalizaciju područja mreže Natura 2000 (posebna zaštićena područja i područja </w:t>
      </w:r>
      <w:r>
        <w:rPr>
          <w:noProof/>
          <w:highlight w:val="white"/>
        </w:rPr>
        <w:t>od značaja za Zajednicu)</w:t>
      </w:r>
      <w:r>
        <w:rPr>
          <w:noProof/>
        </w:rPr>
        <w:t xml:space="preserve"> te područja zaštićenih na nacionalnoj razini. Ulaganjem se postiže povoljno stanje očuvanosti provedbom mjera očuvanja utvrđenih u planovima upravljanja prirodom. </w:t>
      </w:r>
    </w:p>
    <w:p w14:paraId="7A7E6747" w14:textId="77777777" w:rsidR="00615E2D" w:rsidRDefault="00C83E46">
      <w:pPr>
        <w:pStyle w:val="P68B1DB1-Normal4"/>
        <w:pBdr>
          <w:top w:val="nil"/>
          <w:left w:val="nil"/>
          <w:bottom w:val="nil"/>
          <w:right w:val="nil"/>
          <w:between w:val="nil"/>
        </w:pBdr>
        <w:spacing w:line="240" w:lineRule="auto"/>
        <w:jc w:val="both"/>
        <w:rPr>
          <w:noProof/>
        </w:rPr>
      </w:pPr>
      <w:r>
        <w:rPr>
          <w:noProof/>
        </w:rPr>
        <w:t xml:space="preserve">Realizacija ulaganja mora biti dovršena do 31. prosinca 2025. </w:t>
      </w:r>
    </w:p>
    <w:p w14:paraId="5E4CFDAF" w14:textId="77777777" w:rsidR="00615E2D" w:rsidRDefault="00C83E46">
      <w:pPr>
        <w:pStyle w:val="P68B1DB1-Normal18"/>
        <w:pBdr>
          <w:top w:val="nil"/>
          <w:left w:val="nil"/>
          <w:bottom w:val="nil"/>
          <w:right w:val="nil"/>
          <w:between w:val="nil"/>
        </w:pBdr>
        <w:spacing w:line="240" w:lineRule="auto"/>
        <w:jc w:val="both"/>
        <w:rPr>
          <w:noProof/>
          <w:color w:val="000000"/>
        </w:rPr>
      </w:pPr>
      <w:r>
        <w:rPr>
          <w:noProof/>
        </w:rPr>
        <w:t>Ulaganje 4: Prilagodba vodnih, nešumskih i šumskih ekosustava klimatskim promjenama</w:t>
      </w:r>
    </w:p>
    <w:p w14:paraId="4AAD1C2F" w14:textId="02E5478E" w:rsidR="00615E2D" w:rsidRDefault="00C83E46">
      <w:pPr>
        <w:pStyle w:val="P68B1DB1-Normal4"/>
        <w:pBdr>
          <w:top w:val="nil"/>
          <w:left w:val="nil"/>
          <w:bottom w:val="nil"/>
          <w:right w:val="nil"/>
          <w:between w:val="nil"/>
        </w:pBdr>
        <w:spacing w:line="240" w:lineRule="auto"/>
        <w:jc w:val="both"/>
        <w:rPr>
          <w:noProof/>
        </w:rPr>
      </w:pPr>
      <w:r>
        <w:rPr>
          <w:noProof/>
        </w:rPr>
        <w:t xml:space="preserve">Cilj je tog ulaganja omogućiti sustavno zadržavanje vode u krajobrazu (na temelju procjene potencijala zadržavanja vode). Sastoji se od provedbe mjera kao što su poboljšanje vrsta i prostornog sastava šuma; zaštiti nešumskih staništa; pri stvaranju ili obnovi močvarnih područja i ribnjaka; pri revitalizaciji vodotoka, obnova elemenata krajobraza (uz druge kako bi se podijelile velike parcele poljoprivrednog zemljišta), sadnja stabala izvan pošumljenih područja i druge povezane mjere. </w:t>
      </w:r>
    </w:p>
    <w:p w14:paraId="1594D4B4" w14:textId="0A3BDDCC" w:rsidR="00615E2D" w:rsidRDefault="00C83E46">
      <w:pPr>
        <w:pStyle w:val="P68B1DB1-Normal4"/>
        <w:pBdr>
          <w:top w:val="nil"/>
          <w:left w:val="nil"/>
          <w:bottom w:val="nil"/>
          <w:right w:val="nil"/>
          <w:between w:val="nil"/>
        </w:pBdr>
        <w:spacing w:line="240" w:lineRule="auto"/>
        <w:jc w:val="both"/>
        <w:rPr>
          <w:noProof/>
        </w:rPr>
      </w:pPr>
      <w:r>
        <w:rPr>
          <w:noProof/>
        </w:rPr>
        <w:t xml:space="preserve">Realizacija ulaganja mora biti dovršena do 31. prosinca 2025. </w:t>
      </w:r>
    </w:p>
    <w:p w14:paraId="26B6D8AD" w14:textId="08EFAFAF" w:rsidR="00615E2D" w:rsidRDefault="00C83E46">
      <w:pPr>
        <w:pStyle w:val="P68B1DB1-Normal7"/>
        <w:spacing w:line="240" w:lineRule="auto"/>
        <w:rPr>
          <w:noProof/>
        </w:rPr>
      </w:pPr>
      <w:r>
        <w:rPr>
          <w:rFonts w:eastAsia="Times New Roman"/>
          <w:noProof/>
          <w:color w:val="000000"/>
        </w:rPr>
        <w:t xml:space="preserve">Reforma br. 2: </w:t>
      </w:r>
      <w:r>
        <w:rPr>
          <w:noProof/>
        </w:rPr>
        <w:t xml:space="preserve">Uspostava krajobrazne politike i planiranja </w:t>
      </w:r>
    </w:p>
    <w:p w14:paraId="08CB03A6" w14:textId="179A0184" w:rsidR="00615E2D" w:rsidRDefault="00C83E46">
      <w:pPr>
        <w:spacing w:line="240" w:lineRule="auto"/>
        <w:jc w:val="both"/>
        <w:rPr>
          <w:noProof/>
        </w:rPr>
      </w:pPr>
      <w:r>
        <w:rPr>
          <w:noProof/>
        </w:rPr>
        <w:t xml:space="preserve">Reformom se nastoji uspostaviti integrirano upravljanje krajobrazom i planiranje, čime se osigurava međusektorska koordinacija i uključenost više dionika. Njezin je krajnji cilj promicanje očuvanja i održivog korištenja prirodnih resursa, kao što su šume, vodna tijela i bioraznolikost, kako bi se osigurale dugoročne ekološke i društveno-gospodarske koristi.  </w:t>
      </w:r>
    </w:p>
    <w:p w14:paraId="72D3DC63" w14:textId="26BBDCE7" w:rsidR="00615E2D" w:rsidRDefault="00C83E46">
      <w:pPr>
        <w:spacing w:line="240" w:lineRule="auto"/>
        <w:jc w:val="both"/>
        <w:rPr>
          <w:noProof/>
        </w:rPr>
      </w:pPr>
      <w:r>
        <w:rPr>
          <w:noProof/>
        </w:rPr>
        <w:t>Vlada donosi dokument o integriranoj politici krajobraza. Dokument o politici stvara poticajno okruženje za održivo upravljanje zemljištem u javnom i privatnom sektoru.  Na temelju tog dokumenta politike metodologija kojom se opisuje pristup očuvanju krajolika i upravljanju krajobrazom na nacionalnoj, regionalnoj i lokalnoj razini objavljuje se na internetskoj platformi dostupnoj javnosti i javnim službenicima.  Uspostavljaju se alati za praćenje primjene znanja u praksi i dovršavaju tri pilot-projekta.</w:t>
      </w:r>
    </w:p>
    <w:p w14:paraId="30525A77" w14:textId="1213B6C9" w:rsidR="00615E2D" w:rsidRDefault="00C83E46">
      <w:pPr>
        <w:spacing w:line="240" w:lineRule="auto"/>
        <w:jc w:val="both"/>
        <w:rPr>
          <w:rFonts w:eastAsia="Times New Roman"/>
          <w:noProof/>
          <w:color w:val="000000"/>
        </w:rPr>
      </w:pPr>
      <w:r>
        <w:rPr>
          <w:noProof/>
        </w:rPr>
        <w:t>Mjera mora biti dovršena do 31. ožujka 2026.</w:t>
      </w:r>
    </w:p>
    <w:p w14:paraId="37B65FBE" w14:textId="77777777" w:rsidR="00615E2D" w:rsidRDefault="00C83E46">
      <w:pPr>
        <w:pStyle w:val="P68B1DB1-Normal3"/>
        <w:pBdr>
          <w:top w:val="nil"/>
          <w:left w:val="nil"/>
          <w:bottom w:val="nil"/>
          <w:right w:val="nil"/>
          <w:between w:val="nil"/>
        </w:pBdr>
        <w:spacing w:line="240" w:lineRule="auto"/>
        <w:jc w:val="both"/>
        <w:rPr>
          <w:noProof/>
          <w:color w:val="000000"/>
        </w:rPr>
      </w:pPr>
      <w:r>
        <w:rPr>
          <w:noProof/>
        </w:rPr>
        <w:t xml:space="preserve"> </w:t>
      </w:r>
    </w:p>
    <w:p w14:paraId="6A83CFB7" w14:textId="77777777" w:rsidR="00615E2D" w:rsidRDefault="00615E2D">
      <w:pPr>
        <w:pBdr>
          <w:top w:val="nil"/>
          <w:left w:val="nil"/>
          <w:bottom w:val="nil"/>
          <w:right w:val="nil"/>
          <w:between w:val="nil"/>
        </w:pBdr>
        <w:spacing w:line="240" w:lineRule="auto"/>
        <w:jc w:val="both"/>
        <w:rPr>
          <w:rFonts w:eastAsia="Times New Roman"/>
          <w:b/>
          <w:noProof/>
          <w:color w:val="000000"/>
          <w:u w:val="single"/>
        </w:rPr>
        <w:sectPr w:rsidR="00615E2D" w:rsidSect="00786C7E">
          <w:headerReference w:type="even" r:id="rId246"/>
          <w:headerReference w:type="default" r:id="rId247"/>
          <w:footerReference w:type="even" r:id="rId248"/>
          <w:footerReference w:type="default" r:id="rId249"/>
          <w:headerReference w:type="first" r:id="rId250"/>
          <w:footerReference w:type="first" r:id="rId251"/>
          <w:pgSz w:w="11907" w:h="16839"/>
          <w:pgMar w:top="1134" w:right="1134" w:bottom="1134" w:left="1134" w:header="567" w:footer="567" w:gutter="0"/>
          <w:cols w:space="708"/>
          <w:docGrid w:linePitch="326"/>
        </w:sectPr>
      </w:pPr>
    </w:p>
    <w:p w14:paraId="5A90B55C" w14:textId="033E7444" w:rsidR="00615E2D" w:rsidRDefault="00C83E46">
      <w:pPr>
        <w:pStyle w:val="P68B1DB1-Normal33"/>
        <w:pBdr>
          <w:top w:val="nil"/>
          <w:left w:val="nil"/>
          <w:bottom w:val="nil"/>
          <w:right w:val="nil"/>
          <w:between w:val="nil"/>
        </w:pBdr>
        <w:spacing w:line="240" w:lineRule="auto"/>
        <w:jc w:val="both"/>
        <w:rPr>
          <w:noProof/>
          <w:color w:val="000000"/>
        </w:rPr>
      </w:pPr>
      <w:r>
        <w:rPr>
          <w:noProof/>
        </w:rPr>
        <w:t>P.2. Ključne etape, ciljne vrijednosti i vremenski raspored za praćenje i provedbu programa bespovratne financijske potpore</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3"/>
        <w:gridCol w:w="1313"/>
        <w:gridCol w:w="1110"/>
        <w:gridCol w:w="1313"/>
        <w:gridCol w:w="1183"/>
        <w:gridCol w:w="926"/>
        <w:gridCol w:w="1003"/>
        <w:gridCol w:w="800"/>
        <w:gridCol w:w="1055"/>
        <w:gridCol w:w="661"/>
        <w:gridCol w:w="4290"/>
      </w:tblGrid>
      <w:tr w:rsidR="00615E2D" w14:paraId="5F662165" w14:textId="77777777">
        <w:trPr>
          <w:trHeight w:val="513"/>
          <w:tblHeader/>
        </w:trPr>
        <w:tc>
          <w:tcPr>
            <w:tcW w:w="674" w:type="dxa"/>
            <w:vMerge w:val="restart"/>
            <w:shd w:val="clear" w:color="auto" w:fill="BDD7EE"/>
            <w:vAlign w:val="center"/>
          </w:tcPr>
          <w:p w14:paraId="7C8A6049" w14:textId="77777777" w:rsidR="00615E2D" w:rsidRDefault="00C83E46">
            <w:pPr>
              <w:pStyle w:val="P68B1DB1-Normal9"/>
              <w:spacing w:after="0" w:line="240" w:lineRule="auto"/>
              <w:jc w:val="center"/>
              <w:rPr>
                <w:noProof/>
              </w:rPr>
            </w:pPr>
            <w:r>
              <w:rPr>
                <w:noProof/>
              </w:rPr>
              <w:t>Sljedeće NUM.</w:t>
            </w:r>
          </w:p>
        </w:tc>
        <w:tc>
          <w:tcPr>
            <w:tcW w:w="1343" w:type="dxa"/>
            <w:vMerge w:val="restart"/>
            <w:shd w:val="clear" w:color="auto" w:fill="BDD7EE"/>
            <w:vAlign w:val="center"/>
          </w:tcPr>
          <w:p w14:paraId="639CD6DD" w14:textId="77777777" w:rsidR="00615E2D" w:rsidRDefault="00C83E46">
            <w:pPr>
              <w:pStyle w:val="P68B1DB1-Normal9"/>
              <w:spacing w:after="0" w:line="240" w:lineRule="auto"/>
              <w:jc w:val="center"/>
              <w:rPr>
                <w:noProof/>
              </w:rPr>
            </w:pPr>
            <w:r>
              <w:rPr>
                <w:noProof/>
              </w:rPr>
              <w:t>Povezana mjera (reforma ili ulaganje)</w:t>
            </w:r>
          </w:p>
        </w:tc>
        <w:tc>
          <w:tcPr>
            <w:tcW w:w="1134" w:type="dxa"/>
            <w:vMerge w:val="restart"/>
            <w:shd w:val="clear" w:color="auto" w:fill="BDD7EE"/>
            <w:vAlign w:val="center"/>
          </w:tcPr>
          <w:p w14:paraId="12EBD05A" w14:textId="77777777" w:rsidR="00615E2D" w:rsidRDefault="00C83E46">
            <w:pPr>
              <w:pStyle w:val="P68B1DB1-Normal9"/>
              <w:spacing w:after="0" w:line="240" w:lineRule="auto"/>
              <w:jc w:val="center"/>
              <w:rPr>
                <w:noProof/>
              </w:rPr>
            </w:pPr>
            <w:r>
              <w:rPr>
                <w:noProof/>
              </w:rPr>
              <w:t>Ključna etapa/ciljna vrijednost</w:t>
            </w:r>
          </w:p>
        </w:tc>
        <w:tc>
          <w:tcPr>
            <w:tcW w:w="1343" w:type="dxa"/>
            <w:vMerge w:val="restart"/>
            <w:shd w:val="clear" w:color="auto" w:fill="BDD7EE"/>
            <w:vAlign w:val="center"/>
          </w:tcPr>
          <w:p w14:paraId="7BA4CE08" w14:textId="77777777" w:rsidR="00615E2D" w:rsidRDefault="00C83E46">
            <w:pPr>
              <w:pStyle w:val="P68B1DB1-Normal9"/>
              <w:spacing w:after="0" w:line="240" w:lineRule="auto"/>
              <w:jc w:val="center"/>
              <w:rPr>
                <w:noProof/>
              </w:rPr>
            </w:pPr>
            <w:r>
              <w:rPr>
                <w:noProof/>
              </w:rPr>
              <w:t>Ime</w:t>
            </w:r>
          </w:p>
        </w:tc>
        <w:tc>
          <w:tcPr>
            <w:tcW w:w="1209" w:type="dxa"/>
            <w:vMerge w:val="restart"/>
            <w:shd w:val="clear" w:color="auto" w:fill="BDD7EE"/>
            <w:vAlign w:val="center"/>
          </w:tcPr>
          <w:p w14:paraId="7C80F1BA" w14:textId="77777777" w:rsidR="00615E2D" w:rsidRDefault="00C83E46">
            <w:pPr>
              <w:pStyle w:val="P68B1DB1-Normal9"/>
              <w:spacing w:after="0" w:line="240" w:lineRule="auto"/>
              <w:jc w:val="center"/>
              <w:rPr>
                <w:noProof/>
              </w:rPr>
            </w:pPr>
            <w:r>
              <w:rPr>
                <w:noProof/>
              </w:rPr>
              <w:t xml:space="preserve">Kvalitativni pokazatelji </w:t>
            </w:r>
            <w:r>
              <w:rPr>
                <w:noProof/>
              </w:rPr>
              <w:br/>
              <w:t>(za ključne etape)</w:t>
            </w:r>
          </w:p>
        </w:tc>
        <w:tc>
          <w:tcPr>
            <w:tcW w:w="2785" w:type="dxa"/>
            <w:gridSpan w:val="3"/>
            <w:shd w:val="clear" w:color="auto" w:fill="BDD7EE"/>
            <w:vAlign w:val="center"/>
          </w:tcPr>
          <w:p w14:paraId="79C67144" w14:textId="77777777" w:rsidR="00615E2D" w:rsidRDefault="00C83E46">
            <w:pPr>
              <w:pStyle w:val="P68B1DB1-Normal9"/>
              <w:spacing w:after="0" w:line="240" w:lineRule="auto"/>
              <w:jc w:val="center"/>
              <w:rPr>
                <w:noProof/>
              </w:rPr>
            </w:pPr>
            <w:r>
              <w:rPr>
                <w:noProof/>
              </w:rPr>
              <w:t xml:space="preserve">Kvantitativni pokazatelji </w:t>
            </w:r>
            <w:r>
              <w:rPr>
                <w:noProof/>
              </w:rPr>
              <w:br/>
              <w:t>(za ciljeve)</w:t>
            </w:r>
          </w:p>
        </w:tc>
        <w:tc>
          <w:tcPr>
            <w:tcW w:w="1485" w:type="dxa"/>
            <w:gridSpan w:val="2"/>
            <w:shd w:val="clear" w:color="auto" w:fill="BDD7EE"/>
            <w:vAlign w:val="center"/>
          </w:tcPr>
          <w:p w14:paraId="4CF431EB" w14:textId="77777777" w:rsidR="00615E2D" w:rsidRDefault="00C83E46">
            <w:pPr>
              <w:pStyle w:val="P68B1DB1-Normal9"/>
              <w:spacing w:after="0" w:line="240" w:lineRule="auto"/>
              <w:jc w:val="center"/>
              <w:rPr>
                <w:noProof/>
              </w:rPr>
            </w:pPr>
            <w:r>
              <w:rPr>
                <w:noProof/>
              </w:rPr>
              <w:t xml:space="preserve">Okvirni vremenski okvir za dovršetak </w:t>
            </w:r>
          </w:p>
        </w:tc>
        <w:tc>
          <w:tcPr>
            <w:tcW w:w="4401" w:type="dxa"/>
            <w:vMerge w:val="restart"/>
            <w:shd w:val="clear" w:color="auto" w:fill="BDD7EE"/>
            <w:vAlign w:val="center"/>
          </w:tcPr>
          <w:p w14:paraId="4F2BD3B8" w14:textId="77777777" w:rsidR="00615E2D" w:rsidRDefault="00C83E46">
            <w:pPr>
              <w:pStyle w:val="P68B1DB1-Normal9"/>
              <w:spacing w:after="0" w:line="240" w:lineRule="auto"/>
              <w:jc w:val="center"/>
              <w:rPr>
                <w:noProof/>
              </w:rPr>
            </w:pPr>
            <w:r>
              <w:rPr>
                <w:noProof/>
              </w:rPr>
              <w:t>Opis svake ključne etape i ciljne vrijednosti</w:t>
            </w:r>
          </w:p>
        </w:tc>
      </w:tr>
      <w:tr w:rsidR="00615E2D" w14:paraId="39D9AA99" w14:textId="77777777">
        <w:trPr>
          <w:trHeight w:val="564"/>
          <w:tblHeader/>
        </w:trPr>
        <w:tc>
          <w:tcPr>
            <w:tcW w:w="674" w:type="dxa"/>
            <w:vMerge/>
            <w:vAlign w:val="center"/>
          </w:tcPr>
          <w:p w14:paraId="6C1BFA94" w14:textId="77777777" w:rsidR="00615E2D" w:rsidRDefault="00615E2D">
            <w:pPr>
              <w:widowControl w:val="0"/>
              <w:pBdr>
                <w:top w:val="nil"/>
                <w:left w:val="nil"/>
                <w:bottom w:val="nil"/>
                <w:right w:val="nil"/>
                <w:between w:val="nil"/>
              </w:pBdr>
              <w:spacing w:before="0" w:after="0" w:line="276" w:lineRule="auto"/>
              <w:rPr>
                <w:rFonts w:eastAsia="Times New Roman"/>
                <w:b/>
                <w:noProof/>
                <w:sz w:val="18"/>
              </w:rPr>
            </w:pPr>
          </w:p>
        </w:tc>
        <w:tc>
          <w:tcPr>
            <w:tcW w:w="1343" w:type="dxa"/>
            <w:vMerge/>
            <w:vAlign w:val="center"/>
          </w:tcPr>
          <w:p w14:paraId="0868E645" w14:textId="77777777" w:rsidR="00615E2D" w:rsidRDefault="00615E2D">
            <w:pPr>
              <w:widowControl w:val="0"/>
              <w:pBdr>
                <w:top w:val="nil"/>
                <w:left w:val="nil"/>
                <w:bottom w:val="nil"/>
                <w:right w:val="nil"/>
                <w:between w:val="nil"/>
              </w:pBdr>
              <w:spacing w:before="0" w:after="0" w:line="276" w:lineRule="auto"/>
              <w:rPr>
                <w:rFonts w:eastAsia="Times New Roman"/>
                <w:b/>
                <w:noProof/>
                <w:sz w:val="18"/>
              </w:rPr>
            </w:pPr>
          </w:p>
        </w:tc>
        <w:tc>
          <w:tcPr>
            <w:tcW w:w="1134" w:type="dxa"/>
            <w:vMerge/>
            <w:vAlign w:val="center"/>
          </w:tcPr>
          <w:p w14:paraId="3B56AB20" w14:textId="77777777" w:rsidR="00615E2D" w:rsidRDefault="00615E2D">
            <w:pPr>
              <w:widowControl w:val="0"/>
              <w:pBdr>
                <w:top w:val="nil"/>
                <w:left w:val="nil"/>
                <w:bottom w:val="nil"/>
                <w:right w:val="nil"/>
                <w:between w:val="nil"/>
              </w:pBdr>
              <w:spacing w:before="0" w:after="0" w:line="276" w:lineRule="auto"/>
              <w:rPr>
                <w:rFonts w:eastAsia="Times New Roman"/>
                <w:b/>
                <w:noProof/>
                <w:sz w:val="18"/>
              </w:rPr>
            </w:pPr>
          </w:p>
        </w:tc>
        <w:tc>
          <w:tcPr>
            <w:tcW w:w="1343" w:type="dxa"/>
            <w:vMerge/>
            <w:vAlign w:val="center"/>
          </w:tcPr>
          <w:p w14:paraId="06EFBE19" w14:textId="77777777" w:rsidR="00615E2D" w:rsidRDefault="00615E2D">
            <w:pPr>
              <w:widowControl w:val="0"/>
              <w:pBdr>
                <w:top w:val="nil"/>
                <w:left w:val="nil"/>
                <w:bottom w:val="nil"/>
                <w:right w:val="nil"/>
                <w:between w:val="nil"/>
              </w:pBdr>
              <w:spacing w:before="0" w:after="0" w:line="276" w:lineRule="auto"/>
              <w:rPr>
                <w:rFonts w:eastAsia="Times New Roman"/>
                <w:b/>
                <w:noProof/>
                <w:sz w:val="18"/>
              </w:rPr>
            </w:pPr>
          </w:p>
        </w:tc>
        <w:tc>
          <w:tcPr>
            <w:tcW w:w="1209" w:type="dxa"/>
            <w:vMerge/>
            <w:vAlign w:val="center"/>
          </w:tcPr>
          <w:p w14:paraId="365C85E5" w14:textId="77777777" w:rsidR="00615E2D" w:rsidRDefault="00615E2D">
            <w:pPr>
              <w:widowControl w:val="0"/>
              <w:pBdr>
                <w:top w:val="nil"/>
                <w:left w:val="nil"/>
                <w:bottom w:val="nil"/>
                <w:right w:val="nil"/>
                <w:between w:val="nil"/>
              </w:pBdr>
              <w:spacing w:before="0" w:after="0" w:line="276" w:lineRule="auto"/>
              <w:rPr>
                <w:rFonts w:eastAsia="Times New Roman"/>
                <w:b/>
                <w:noProof/>
                <w:sz w:val="18"/>
              </w:rPr>
            </w:pPr>
          </w:p>
        </w:tc>
        <w:tc>
          <w:tcPr>
            <w:tcW w:w="945" w:type="dxa"/>
            <w:shd w:val="clear" w:color="auto" w:fill="BDD7EE"/>
            <w:vAlign w:val="center"/>
          </w:tcPr>
          <w:p w14:paraId="1689809B" w14:textId="77777777" w:rsidR="00615E2D" w:rsidRDefault="00C83E46">
            <w:pPr>
              <w:pStyle w:val="P68B1DB1-Normal9"/>
              <w:spacing w:after="0" w:line="240" w:lineRule="auto"/>
              <w:jc w:val="center"/>
              <w:rPr>
                <w:noProof/>
              </w:rPr>
            </w:pPr>
            <w:r>
              <w:rPr>
                <w:noProof/>
              </w:rPr>
              <w:t>Jedinica mjere</w:t>
            </w:r>
          </w:p>
        </w:tc>
        <w:tc>
          <w:tcPr>
            <w:tcW w:w="1024" w:type="dxa"/>
            <w:shd w:val="clear" w:color="auto" w:fill="BDD7EE"/>
            <w:vAlign w:val="center"/>
          </w:tcPr>
          <w:p w14:paraId="341768B1" w14:textId="77777777" w:rsidR="00615E2D" w:rsidRDefault="00C83E46">
            <w:pPr>
              <w:pStyle w:val="P68B1DB1-Normal9"/>
              <w:spacing w:after="0" w:line="240" w:lineRule="auto"/>
              <w:jc w:val="center"/>
              <w:rPr>
                <w:noProof/>
              </w:rPr>
            </w:pPr>
            <w:r>
              <w:rPr>
                <w:noProof/>
              </w:rPr>
              <w:t xml:space="preserve">Osnovna vrijednost </w:t>
            </w:r>
          </w:p>
        </w:tc>
        <w:tc>
          <w:tcPr>
            <w:tcW w:w="816" w:type="dxa"/>
            <w:shd w:val="clear" w:color="auto" w:fill="BDD7EE"/>
            <w:vAlign w:val="center"/>
          </w:tcPr>
          <w:p w14:paraId="0118127D" w14:textId="77777777" w:rsidR="00615E2D" w:rsidRDefault="00C83E46">
            <w:pPr>
              <w:pStyle w:val="P68B1DB1-Normal9"/>
              <w:spacing w:after="0" w:line="240" w:lineRule="auto"/>
              <w:jc w:val="center"/>
              <w:rPr>
                <w:noProof/>
              </w:rPr>
            </w:pPr>
            <w:r>
              <w:rPr>
                <w:noProof/>
              </w:rPr>
              <w:t xml:space="preserve">Cilj </w:t>
            </w:r>
          </w:p>
        </w:tc>
        <w:tc>
          <w:tcPr>
            <w:tcW w:w="1077" w:type="dxa"/>
            <w:shd w:val="clear" w:color="auto" w:fill="BDD7EE"/>
            <w:vAlign w:val="center"/>
          </w:tcPr>
          <w:p w14:paraId="138A0421" w14:textId="77777777" w:rsidR="00615E2D" w:rsidRDefault="00C83E46">
            <w:pPr>
              <w:pStyle w:val="P68B1DB1-Normal9"/>
              <w:spacing w:after="0" w:line="240" w:lineRule="auto"/>
              <w:jc w:val="center"/>
              <w:rPr>
                <w:noProof/>
              </w:rPr>
            </w:pPr>
            <w:r>
              <w:rPr>
                <w:noProof/>
              </w:rPr>
              <w:t>Tromjesečje</w:t>
            </w:r>
          </w:p>
        </w:tc>
        <w:tc>
          <w:tcPr>
            <w:tcW w:w="673" w:type="dxa"/>
            <w:shd w:val="clear" w:color="auto" w:fill="BDD7EE"/>
            <w:vAlign w:val="center"/>
          </w:tcPr>
          <w:p w14:paraId="30CD1ABD" w14:textId="77777777" w:rsidR="00615E2D" w:rsidRDefault="00C83E46">
            <w:pPr>
              <w:pStyle w:val="P68B1DB1-Normal9"/>
              <w:spacing w:after="0" w:line="240" w:lineRule="auto"/>
              <w:jc w:val="center"/>
              <w:rPr>
                <w:noProof/>
              </w:rPr>
            </w:pPr>
            <w:r>
              <w:rPr>
                <w:noProof/>
              </w:rPr>
              <w:t>Godina</w:t>
            </w:r>
          </w:p>
        </w:tc>
        <w:tc>
          <w:tcPr>
            <w:tcW w:w="4401" w:type="dxa"/>
            <w:vMerge/>
            <w:vAlign w:val="center"/>
          </w:tcPr>
          <w:p w14:paraId="4787A535" w14:textId="77777777" w:rsidR="00615E2D" w:rsidRDefault="00615E2D">
            <w:pPr>
              <w:widowControl w:val="0"/>
              <w:pBdr>
                <w:top w:val="nil"/>
                <w:left w:val="nil"/>
                <w:bottom w:val="nil"/>
                <w:right w:val="nil"/>
                <w:between w:val="nil"/>
              </w:pBdr>
              <w:spacing w:before="0" w:after="0" w:line="276" w:lineRule="auto"/>
              <w:rPr>
                <w:rFonts w:eastAsia="Times New Roman"/>
                <w:b/>
                <w:noProof/>
                <w:sz w:val="18"/>
              </w:rPr>
            </w:pPr>
          </w:p>
        </w:tc>
      </w:tr>
      <w:tr w:rsidR="00615E2D" w14:paraId="6D6B9AF7" w14:textId="77777777">
        <w:trPr>
          <w:trHeight w:val="320"/>
        </w:trPr>
        <w:tc>
          <w:tcPr>
            <w:tcW w:w="674" w:type="dxa"/>
            <w:shd w:val="clear" w:color="auto" w:fill="C6EFCE"/>
            <w:vAlign w:val="center"/>
          </w:tcPr>
          <w:p w14:paraId="6E72848C" w14:textId="77777777" w:rsidR="00615E2D" w:rsidRDefault="00C83E46">
            <w:pPr>
              <w:pStyle w:val="P68B1DB1-Normal15"/>
              <w:spacing w:after="0" w:line="240" w:lineRule="auto"/>
              <w:jc w:val="center"/>
              <w:rPr>
                <w:noProof/>
              </w:rPr>
            </w:pPr>
            <w:r>
              <w:rPr>
                <w:noProof/>
              </w:rPr>
              <w:t>160</w:t>
            </w:r>
          </w:p>
        </w:tc>
        <w:tc>
          <w:tcPr>
            <w:tcW w:w="1343" w:type="dxa"/>
            <w:shd w:val="clear" w:color="auto" w:fill="C6EFCE"/>
            <w:vAlign w:val="center"/>
          </w:tcPr>
          <w:p w14:paraId="3A53EE50" w14:textId="77777777" w:rsidR="00615E2D" w:rsidRDefault="00C83E46">
            <w:pPr>
              <w:pStyle w:val="P68B1DB1-Normal15"/>
              <w:spacing w:after="0" w:line="240" w:lineRule="auto"/>
              <w:rPr>
                <w:noProof/>
              </w:rPr>
            </w:pPr>
            <w:r>
              <w:rPr>
                <w:noProof/>
              </w:rPr>
              <w:t>Reforma 1.: Izmjena i dopuna Zakona o gospodarenju vodama</w:t>
            </w:r>
          </w:p>
        </w:tc>
        <w:tc>
          <w:tcPr>
            <w:tcW w:w="1134" w:type="dxa"/>
            <w:shd w:val="clear" w:color="auto" w:fill="C6EFCE"/>
            <w:vAlign w:val="center"/>
          </w:tcPr>
          <w:p w14:paraId="40EA4BDA" w14:textId="77777777" w:rsidR="00615E2D" w:rsidRDefault="00C83E46">
            <w:pPr>
              <w:pStyle w:val="P68B1DB1-Normal15"/>
              <w:spacing w:after="0" w:line="240" w:lineRule="auto"/>
              <w:rPr>
                <w:noProof/>
              </w:rPr>
            </w:pPr>
            <w:r>
              <w:rPr>
                <w:noProof/>
              </w:rPr>
              <w:t>Prekretnica</w:t>
            </w:r>
          </w:p>
        </w:tc>
        <w:tc>
          <w:tcPr>
            <w:tcW w:w="1343" w:type="dxa"/>
            <w:shd w:val="clear" w:color="auto" w:fill="C6EFCE"/>
            <w:vAlign w:val="center"/>
          </w:tcPr>
          <w:p w14:paraId="776CCD66" w14:textId="77777777" w:rsidR="00615E2D" w:rsidRDefault="00C83E46">
            <w:pPr>
              <w:pStyle w:val="P68B1DB1-Normal15"/>
              <w:spacing w:after="0" w:line="240" w:lineRule="auto"/>
              <w:rPr>
                <w:noProof/>
              </w:rPr>
            </w:pPr>
            <w:r>
              <w:rPr>
                <w:noProof/>
              </w:rPr>
              <w:t xml:space="preserve">Izmjena Zakona o gospodarenju vodama (Zakon br. 254/2001 zb.) s ciljem sustavnog pristupa upravljanju sušom i nestašicom vode. </w:t>
            </w:r>
          </w:p>
        </w:tc>
        <w:tc>
          <w:tcPr>
            <w:tcW w:w="1209" w:type="dxa"/>
            <w:shd w:val="clear" w:color="auto" w:fill="C6EFCE"/>
            <w:vAlign w:val="center"/>
          </w:tcPr>
          <w:p w14:paraId="2410AEC7" w14:textId="77777777" w:rsidR="00615E2D" w:rsidRDefault="00C83E46">
            <w:pPr>
              <w:pStyle w:val="P68B1DB1-Normal15"/>
              <w:spacing w:after="0" w:line="240" w:lineRule="auto"/>
              <w:rPr>
                <w:noProof/>
              </w:rPr>
            </w:pPr>
            <w:r>
              <w:rPr>
                <w:noProof/>
              </w:rPr>
              <w:t xml:space="preserve">Stupanje na snagu izmjene Zakona o gospodarenju vodama (Zakon br. 254/2001 zb.) </w:t>
            </w:r>
          </w:p>
        </w:tc>
        <w:tc>
          <w:tcPr>
            <w:tcW w:w="945" w:type="dxa"/>
            <w:shd w:val="clear" w:color="auto" w:fill="C6EFCE"/>
            <w:vAlign w:val="center"/>
          </w:tcPr>
          <w:p w14:paraId="2F0DD159" w14:textId="77777777" w:rsidR="00615E2D" w:rsidRDefault="00615E2D">
            <w:pPr>
              <w:spacing w:after="0" w:line="240" w:lineRule="auto"/>
              <w:rPr>
                <w:rFonts w:eastAsia="Times New Roman"/>
                <w:noProof/>
                <w:color w:val="004300"/>
                <w:sz w:val="18"/>
              </w:rPr>
            </w:pPr>
          </w:p>
        </w:tc>
        <w:tc>
          <w:tcPr>
            <w:tcW w:w="1024" w:type="dxa"/>
            <w:shd w:val="clear" w:color="auto" w:fill="C6EFCE"/>
            <w:vAlign w:val="center"/>
          </w:tcPr>
          <w:p w14:paraId="402520FE" w14:textId="77777777" w:rsidR="00615E2D" w:rsidRDefault="00615E2D">
            <w:pPr>
              <w:spacing w:after="0" w:line="240" w:lineRule="auto"/>
              <w:jc w:val="center"/>
              <w:rPr>
                <w:rFonts w:eastAsia="Times New Roman"/>
                <w:noProof/>
                <w:color w:val="004300"/>
                <w:sz w:val="18"/>
              </w:rPr>
            </w:pPr>
          </w:p>
        </w:tc>
        <w:tc>
          <w:tcPr>
            <w:tcW w:w="816" w:type="dxa"/>
            <w:shd w:val="clear" w:color="auto" w:fill="C6EFCE"/>
            <w:vAlign w:val="center"/>
          </w:tcPr>
          <w:p w14:paraId="6B6F8C0F" w14:textId="77777777" w:rsidR="00615E2D" w:rsidRDefault="00615E2D">
            <w:pPr>
              <w:spacing w:after="0" w:line="240" w:lineRule="auto"/>
              <w:jc w:val="center"/>
              <w:rPr>
                <w:rFonts w:eastAsia="Times New Roman"/>
                <w:noProof/>
                <w:color w:val="004300"/>
                <w:sz w:val="18"/>
              </w:rPr>
            </w:pPr>
          </w:p>
        </w:tc>
        <w:tc>
          <w:tcPr>
            <w:tcW w:w="1077" w:type="dxa"/>
            <w:shd w:val="clear" w:color="auto" w:fill="C6EFCE"/>
            <w:vAlign w:val="center"/>
          </w:tcPr>
          <w:p w14:paraId="315D08D9" w14:textId="77777777" w:rsidR="00615E2D" w:rsidRDefault="00C83E46">
            <w:pPr>
              <w:pStyle w:val="P68B1DB1-Normal15"/>
              <w:spacing w:after="0" w:line="240" w:lineRule="auto"/>
              <w:jc w:val="center"/>
              <w:rPr>
                <w:noProof/>
              </w:rPr>
            </w:pPr>
            <w:r>
              <w:rPr>
                <w:noProof/>
              </w:rPr>
              <w:t>ČETVRTO TROMJESEČJE</w:t>
            </w:r>
          </w:p>
        </w:tc>
        <w:tc>
          <w:tcPr>
            <w:tcW w:w="673" w:type="dxa"/>
            <w:shd w:val="clear" w:color="auto" w:fill="C6EFCE"/>
            <w:vAlign w:val="center"/>
          </w:tcPr>
          <w:p w14:paraId="592927CD" w14:textId="77777777" w:rsidR="00615E2D" w:rsidRDefault="00C83E46">
            <w:pPr>
              <w:pStyle w:val="P68B1DB1-Normal15"/>
              <w:spacing w:after="0" w:line="240" w:lineRule="auto"/>
              <w:jc w:val="center"/>
              <w:rPr>
                <w:noProof/>
              </w:rPr>
            </w:pPr>
            <w:r>
              <w:rPr>
                <w:noProof/>
              </w:rPr>
              <w:t>2024</w:t>
            </w:r>
          </w:p>
        </w:tc>
        <w:tc>
          <w:tcPr>
            <w:tcW w:w="4401" w:type="dxa"/>
            <w:shd w:val="clear" w:color="auto" w:fill="C6EFCE"/>
            <w:vAlign w:val="center"/>
          </w:tcPr>
          <w:p w14:paraId="1AE8BB71" w14:textId="77777777" w:rsidR="00615E2D" w:rsidRDefault="00C83E46">
            <w:pPr>
              <w:pStyle w:val="P68B1DB1-Normal15"/>
              <w:spacing w:after="0" w:line="240" w:lineRule="auto"/>
              <w:jc w:val="both"/>
              <w:rPr>
                <w:noProof/>
              </w:rPr>
            </w:pPr>
            <w:r>
              <w:rPr>
                <w:noProof/>
              </w:rPr>
              <w:t xml:space="preserve">Donosi se izmjena i dopuna Zakona o vodama kojom se utvrđuje okvir za sprečavanje suša i nestašice vode praćenjem suša, uspostava kontrolnih mehanizama i utvrđivanje odgovornosti nadležnih tijela. Osniva se regionalno i središnje povjerenstvo za sprečavanje, praćenje i upravljanje sušom i nestašicom vode. Izrađuju se i odobravaju regionalni i nacionalni planovi za suše. Izmjene Zakona moraju biti u skladu s primjenjivom pravnom stečevinom EU-a, odnosno Direktivom 2000/60/EZ. </w:t>
            </w:r>
          </w:p>
        </w:tc>
      </w:tr>
      <w:tr w:rsidR="00615E2D" w14:paraId="74050CB4" w14:textId="77777777">
        <w:trPr>
          <w:trHeight w:val="320"/>
        </w:trPr>
        <w:tc>
          <w:tcPr>
            <w:tcW w:w="674" w:type="dxa"/>
            <w:shd w:val="clear" w:color="auto" w:fill="C6EFCE"/>
            <w:vAlign w:val="center"/>
          </w:tcPr>
          <w:p w14:paraId="5424E96B" w14:textId="77777777" w:rsidR="00615E2D" w:rsidRDefault="00C83E46">
            <w:pPr>
              <w:pStyle w:val="P68B1DB1-Normal15"/>
              <w:spacing w:after="0" w:line="240" w:lineRule="auto"/>
              <w:jc w:val="center"/>
              <w:rPr>
                <w:noProof/>
              </w:rPr>
            </w:pPr>
            <w:r>
              <w:rPr>
                <w:noProof/>
              </w:rPr>
              <w:t>161</w:t>
            </w:r>
          </w:p>
        </w:tc>
        <w:tc>
          <w:tcPr>
            <w:tcW w:w="1343" w:type="dxa"/>
            <w:shd w:val="clear" w:color="auto" w:fill="C6EFCE"/>
            <w:vAlign w:val="center"/>
          </w:tcPr>
          <w:p w14:paraId="271B9918" w14:textId="77777777" w:rsidR="00615E2D" w:rsidRDefault="00C83E46">
            <w:pPr>
              <w:pStyle w:val="P68B1DB1-Normal15"/>
              <w:spacing w:after="0" w:line="240" w:lineRule="auto"/>
              <w:rPr>
                <w:noProof/>
              </w:rPr>
            </w:pPr>
            <w:r>
              <w:rPr>
                <w:noProof/>
              </w:rPr>
              <w:t>Ulaganje 1: Zaštita od suša i poplava grada Brna</w:t>
            </w:r>
          </w:p>
        </w:tc>
        <w:tc>
          <w:tcPr>
            <w:tcW w:w="1134" w:type="dxa"/>
            <w:shd w:val="clear" w:color="auto" w:fill="C6EFCE"/>
            <w:vAlign w:val="center"/>
          </w:tcPr>
          <w:p w14:paraId="68CD04C9" w14:textId="77777777" w:rsidR="00615E2D" w:rsidRDefault="00C83E46">
            <w:pPr>
              <w:pStyle w:val="P68B1DB1-Normal15"/>
              <w:spacing w:after="0" w:line="240" w:lineRule="auto"/>
              <w:rPr>
                <w:noProof/>
              </w:rPr>
            </w:pPr>
            <w:r>
              <w:rPr>
                <w:noProof/>
              </w:rPr>
              <w:t>Prekretnica</w:t>
            </w:r>
          </w:p>
        </w:tc>
        <w:tc>
          <w:tcPr>
            <w:tcW w:w="1343" w:type="dxa"/>
            <w:shd w:val="clear" w:color="auto" w:fill="C6EFCE"/>
            <w:vAlign w:val="center"/>
          </w:tcPr>
          <w:p w14:paraId="1C3D6F69" w14:textId="77777777" w:rsidR="00615E2D" w:rsidRDefault="00C83E46">
            <w:pPr>
              <w:pStyle w:val="P68B1DB1-Normal15"/>
              <w:spacing w:after="0" w:line="240" w:lineRule="auto"/>
              <w:rPr>
                <w:noProof/>
              </w:rPr>
            </w:pPr>
            <w:r>
              <w:rPr>
                <w:noProof/>
              </w:rPr>
              <w:t xml:space="preserve">Obavijest o dodjeli ugovora za projekte čiji je cilj zaštita od suša i poplava grada Brna. </w:t>
            </w:r>
          </w:p>
        </w:tc>
        <w:tc>
          <w:tcPr>
            <w:tcW w:w="1209" w:type="dxa"/>
            <w:shd w:val="clear" w:color="auto" w:fill="C6EFCE"/>
            <w:vAlign w:val="center"/>
          </w:tcPr>
          <w:p w14:paraId="7BE7C131" w14:textId="77777777" w:rsidR="00615E2D" w:rsidRDefault="00C83E46">
            <w:pPr>
              <w:pStyle w:val="P68B1DB1-Normal15"/>
              <w:spacing w:after="0" w:line="240" w:lineRule="auto"/>
              <w:rPr>
                <w:noProof/>
              </w:rPr>
            </w:pPr>
            <w:r>
              <w:rPr>
                <w:noProof/>
              </w:rPr>
              <w:t>Obavijest o dodjeli svih ugovora.</w:t>
            </w:r>
          </w:p>
        </w:tc>
        <w:tc>
          <w:tcPr>
            <w:tcW w:w="945" w:type="dxa"/>
            <w:shd w:val="clear" w:color="auto" w:fill="C6EFCE"/>
            <w:vAlign w:val="center"/>
          </w:tcPr>
          <w:p w14:paraId="04EB81E5" w14:textId="77777777" w:rsidR="00615E2D" w:rsidRDefault="00615E2D">
            <w:pPr>
              <w:spacing w:after="0" w:line="240" w:lineRule="auto"/>
              <w:rPr>
                <w:rFonts w:eastAsia="Times New Roman"/>
                <w:noProof/>
                <w:color w:val="004300"/>
                <w:sz w:val="18"/>
              </w:rPr>
            </w:pPr>
          </w:p>
        </w:tc>
        <w:tc>
          <w:tcPr>
            <w:tcW w:w="1024" w:type="dxa"/>
            <w:shd w:val="clear" w:color="auto" w:fill="C6EFCE"/>
            <w:vAlign w:val="center"/>
          </w:tcPr>
          <w:p w14:paraId="59E2E2DD" w14:textId="77777777" w:rsidR="00615E2D" w:rsidRDefault="00615E2D">
            <w:pPr>
              <w:spacing w:after="0" w:line="240" w:lineRule="auto"/>
              <w:jc w:val="center"/>
              <w:rPr>
                <w:rFonts w:eastAsia="Times New Roman"/>
                <w:noProof/>
                <w:color w:val="004300"/>
                <w:sz w:val="18"/>
              </w:rPr>
            </w:pPr>
          </w:p>
        </w:tc>
        <w:tc>
          <w:tcPr>
            <w:tcW w:w="816" w:type="dxa"/>
            <w:shd w:val="clear" w:color="auto" w:fill="C6EFCE"/>
            <w:vAlign w:val="center"/>
          </w:tcPr>
          <w:p w14:paraId="70262CB9" w14:textId="77777777" w:rsidR="00615E2D" w:rsidRDefault="00615E2D">
            <w:pPr>
              <w:spacing w:after="0" w:line="240" w:lineRule="auto"/>
              <w:jc w:val="center"/>
              <w:rPr>
                <w:rFonts w:eastAsia="Times New Roman"/>
                <w:noProof/>
                <w:color w:val="004300"/>
                <w:sz w:val="18"/>
              </w:rPr>
            </w:pPr>
          </w:p>
        </w:tc>
        <w:tc>
          <w:tcPr>
            <w:tcW w:w="1077" w:type="dxa"/>
            <w:shd w:val="clear" w:color="auto" w:fill="C6EFCE"/>
            <w:vAlign w:val="center"/>
          </w:tcPr>
          <w:p w14:paraId="038E9964" w14:textId="77777777" w:rsidR="00615E2D" w:rsidRDefault="00C83E46">
            <w:pPr>
              <w:pStyle w:val="P68B1DB1-Normal15"/>
              <w:spacing w:after="0" w:line="240" w:lineRule="auto"/>
              <w:jc w:val="center"/>
              <w:rPr>
                <w:noProof/>
              </w:rPr>
            </w:pPr>
            <w:r>
              <w:rPr>
                <w:noProof/>
              </w:rPr>
              <w:t>ČETVRTO TROMJESEČJE</w:t>
            </w:r>
          </w:p>
        </w:tc>
        <w:tc>
          <w:tcPr>
            <w:tcW w:w="673" w:type="dxa"/>
            <w:shd w:val="clear" w:color="auto" w:fill="C6EFCE"/>
            <w:vAlign w:val="center"/>
          </w:tcPr>
          <w:p w14:paraId="109F3F43" w14:textId="77777777" w:rsidR="00615E2D" w:rsidRDefault="00C83E46">
            <w:pPr>
              <w:pStyle w:val="P68B1DB1-Normal15"/>
              <w:spacing w:after="0" w:line="240" w:lineRule="auto"/>
              <w:jc w:val="center"/>
              <w:rPr>
                <w:noProof/>
              </w:rPr>
            </w:pPr>
            <w:r>
              <w:rPr>
                <w:noProof/>
              </w:rPr>
              <w:t>2022</w:t>
            </w:r>
          </w:p>
        </w:tc>
        <w:tc>
          <w:tcPr>
            <w:tcW w:w="4401" w:type="dxa"/>
            <w:shd w:val="clear" w:color="auto" w:fill="C6EFCE"/>
            <w:vAlign w:val="center"/>
          </w:tcPr>
          <w:p w14:paraId="484AAE14" w14:textId="77777777" w:rsidR="00615E2D" w:rsidRDefault="00C83E46">
            <w:pPr>
              <w:pStyle w:val="P68B1DB1-Normal15"/>
              <w:spacing w:after="0" w:line="240" w:lineRule="auto"/>
              <w:rPr>
                <w:noProof/>
              </w:rPr>
            </w:pPr>
            <w:r>
              <w:rPr>
                <w:noProof/>
              </w:rPr>
              <w:t xml:space="preserve">Obavijest o svim ugovorima dodijeljenima za projekte čiji je cilj zaštita od suša i poplava grada Brna. </w:t>
            </w:r>
          </w:p>
        </w:tc>
      </w:tr>
      <w:tr w:rsidR="00615E2D" w14:paraId="015F9496" w14:textId="77777777">
        <w:trPr>
          <w:trHeight w:val="320"/>
        </w:trPr>
        <w:tc>
          <w:tcPr>
            <w:tcW w:w="674" w:type="dxa"/>
            <w:shd w:val="clear" w:color="auto" w:fill="C6EFCE"/>
            <w:vAlign w:val="center"/>
          </w:tcPr>
          <w:p w14:paraId="00C554A0" w14:textId="77777777" w:rsidR="00615E2D" w:rsidRDefault="00C83E46">
            <w:pPr>
              <w:pStyle w:val="P68B1DB1-Normal15"/>
              <w:spacing w:after="0" w:line="240" w:lineRule="auto"/>
              <w:jc w:val="center"/>
              <w:rPr>
                <w:noProof/>
              </w:rPr>
            </w:pPr>
            <w:r>
              <w:rPr>
                <w:noProof/>
              </w:rPr>
              <w:t>162</w:t>
            </w:r>
          </w:p>
        </w:tc>
        <w:tc>
          <w:tcPr>
            <w:tcW w:w="1343" w:type="dxa"/>
            <w:shd w:val="clear" w:color="auto" w:fill="C6EFCE"/>
            <w:vAlign w:val="center"/>
          </w:tcPr>
          <w:p w14:paraId="2D4C1BB9" w14:textId="77777777" w:rsidR="00615E2D" w:rsidRDefault="00C83E46">
            <w:pPr>
              <w:pStyle w:val="P68B1DB1-Normal15"/>
              <w:spacing w:after="0" w:line="240" w:lineRule="auto"/>
              <w:rPr>
                <w:noProof/>
                <w:highlight w:val="yellow"/>
              </w:rPr>
            </w:pPr>
            <w:r>
              <w:rPr>
                <w:noProof/>
              </w:rPr>
              <w:t>Ulaganje 1: Zaštita od suša i poplava grada Brna</w:t>
            </w:r>
          </w:p>
        </w:tc>
        <w:tc>
          <w:tcPr>
            <w:tcW w:w="1134" w:type="dxa"/>
            <w:shd w:val="clear" w:color="auto" w:fill="C6EFCE"/>
            <w:vAlign w:val="center"/>
          </w:tcPr>
          <w:p w14:paraId="5BD05861" w14:textId="1957ED80" w:rsidR="00615E2D" w:rsidRDefault="00C83E46">
            <w:pPr>
              <w:pStyle w:val="P68B1DB1-Normal15"/>
              <w:spacing w:after="0" w:line="240" w:lineRule="auto"/>
              <w:rPr>
                <w:noProof/>
              </w:rPr>
            </w:pPr>
            <w:r>
              <w:rPr>
                <w:noProof/>
              </w:rPr>
              <w:t>Prekretnica</w:t>
            </w:r>
          </w:p>
        </w:tc>
        <w:tc>
          <w:tcPr>
            <w:tcW w:w="1343" w:type="dxa"/>
            <w:shd w:val="clear" w:color="auto" w:fill="C6EFCE"/>
            <w:vAlign w:val="center"/>
          </w:tcPr>
          <w:p w14:paraId="62DB7437" w14:textId="77777777" w:rsidR="00615E2D" w:rsidRDefault="00C83E46">
            <w:pPr>
              <w:pStyle w:val="P68B1DB1-Normal15"/>
              <w:spacing w:after="0" w:line="240" w:lineRule="auto"/>
              <w:rPr>
                <w:noProof/>
              </w:rPr>
            </w:pPr>
            <w:r>
              <w:rPr>
                <w:noProof/>
              </w:rPr>
              <w:t>Završetak prirodnih mjera zaštite od poplava za zaštitu grada Brna</w:t>
            </w:r>
          </w:p>
        </w:tc>
        <w:tc>
          <w:tcPr>
            <w:tcW w:w="1209" w:type="dxa"/>
            <w:shd w:val="clear" w:color="auto" w:fill="C6EFCE"/>
            <w:vAlign w:val="center"/>
          </w:tcPr>
          <w:p w14:paraId="18064497" w14:textId="721C479E" w:rsidR="00615E2D" w:rsidRDefault="00C83E46">
            <w:pPr>
              <w:pStyle w:val="P68B1DB1-Normal15"/>
              <w:spacing w:after="0" w:line="240" w:lineRule="auto"/>
              <w:rPr>
                <w:noProof/>
              </w:rPr>
            </w:pPr>
            <w:r>
              <w:rPr>
                <w:noProof/>
              </w:rPr>
              <w:t>Završetak projekta</w:t>
            </w:r>
          </w:p>
        </w:tc>
        <w:tc>
          <w:tcPr>
            <w:tcW w:w="945" w:type="dxa"/>
            <w:shd w:val="clear" w:color="auto" w:fill="C6EFCE"/>
            <w:vAlign w:val="center"/>
          </w:tcPr>
          <w:p w14:paraId="438209D4" w14:textId="5D3F0EFB" w:rsidR="00615E2D" w:rsidRDefault="00615E2D">
            <w:pPr>
              <w:spacing w:after="0" w:line="240" w:lineRule="auto"/>
              <w:rPr>
                <w:rFonts w:eastAsia="Times New Roman"/>
                <w:noProof/>
                <w:color w:val="004300"/>
                <w:sz w:val="18"/>
              </w:rPr>
            </w:pPr>
          </w:p>
        </w:tc>
        <w:tc>
          <w:tcPr>
            <w:tcW w:w="1024" w:type="dxa"/>
            <w:shd w:val="clear" w:color="auto" w:fill="C6EFCE"/>
            <w:vAlign w:val="center"/>
          </w:tcPr>
          <w:p w14:paraId="6EBFF3F6" w14:textId="572E97F6" w:rsidR="00615E2D" w:rsidRDefault="00615E2D">
            <w:pPr>
              <w:spacing w:after="0" w:line="240" w:lineRule="auto"/>
              <w:jc w:val="center"/>
              <w:rPr>
                <w:rFonts w:eastAsia="Times New Roman"/>
                <w:noProof/>
                <w:color w:val="004300"/>
                <w:sz w:val="18"/>
              </w:rPr>
            </w:pPr>
          </w:p>
        </w:tc>
        <w:tc>
          <w:tcPr>
            <w:tcW w:w="816" w:type="dxa"/>
            <w:shd w:val="clear" w:color="auto" w:fill="C6EFCE"/>
            <w:vAlign w:val="center"/>
          </w:tcPr>
          <w:p w14:paraId="54FF1E6D" w14:textId="6121189F" w:rsidR="00615E2D" w:rsidRDefault="00615E2D">
            <w:pPr>
              <w:spacing w:after="0" w:line="240" w:lineRule="auto"/>
              <w:jc w:val="center"/>
              <w:rPr>
                <w:rFonts w:eastAsia="Times New Roman"/>
                <w:noProof/>
                <w:color w:val="004300"/>
                <w:sz w:val="18"/>
              </w:rPr>
            </w:pPr>
          </w:p>
        </w:tc>
        <w:tc>
          <w:tcPr>
            <w:tcW w:w="1077" w:type="dxa"/>
            <w:shd w:val="clear" w:color="auto" w:fill="C6EFCE"/>
            <w:vAlign w:val="center"/>
          </w:tcPr>
          <w:p w14:paraId="5A3F1164" w14:textId="77777777" w:rsidR="00615E2D" w:rsidRDefault="00C83E46">
            <w:pPr>
              <w:pStyle w:val="P68B1DB1-Normal15"/>
              <w:spacing w:after="0" w:line="240" w:lineRule="auto"/>
              <w:jc w:val="center"/>
              <w:rPr>
                <w:noProof/>
              </w:rPr>
            </w:pPr>
            <w:r>
              <w:rPr>
                <w:noProof/>
              </w:rPr>
              <w:t>ČETVRTO TROMJESEČJE</w:t>
            </w:r>
          </w:p>
        </w:tc>
        <w:tc>
          <w:tcPr>
            <w:tcW w:w="673" w:type="dxa"/>
            <w:shd w:val="clear" w:color="auto" w:fill="C6EFCE"/>
            <w:vAlign w:val="center"/>
          </w:tcPr>
          <w:p w14:paraId="408B0258" w14:textId="77777777" w:rsidR="00615E2D" w:rsidRDefault="00C83E46">
            <w:pPr>
              <w:pStyle w:val="P68B1DB1-Normal15"/>
              <w:spacing w:after="0" w:line="240" w:lineRule="auto"/>
              <w:jc w:val="center"/>
              <w:rPr>
                <w:noProof/>
              </w:rPr>
            </w:pPr>
            <w:r>
              <w:rPr>
                <w:noProof/>
              </w:rPr>
              <w:t>2025</w:t>
            </w:r>
          </w:p>
        </w:tc>
        <w:tc>
          <w:tcPr>
            <w:tcW w:w="4401" w:type="dxa"/>
            <w:shd w:val="clear" w:color="auto" w:fill="C6EFCE"/>
            <w:vAlign w:val="center"/>
          </w:tcPr>
          <w:p w14:paraId="2FE5BBB8" w14:textId="77777777" w:rsidR="00615E2D" w:rsidRDefault="00C83E46">
            <w:pPr>
              <w:pStyle w:val="P68B1DB1-Normal15"/>
              <w:spacing w:after="0" w:line="240" w:lineRule="auto"/>
              <w:rPr>
                <w:noProof/>
                <w:highlight w:val="yellow"/>
              </w:rPr>
            </w:pPr>
            <w:r>
              <w:rPr>
                <w:noProof/>
              </w:rPr>
              <w:t xml:space="preserve">Provedba projekta dovodi do stvaranja niza mjera zaštite od poplava u blizini prirode na dijelu rijeke Svratka. </w:t>
            </w:r>
          </w:p>
          <w:p w14:paraId="1B5F3BD7" w14:textId="270D6548" w:rsidR="00615E2D" w:rsidRDefault="00C83E46">
            <w:pPr>
              <w:pStyle w:val="P68B1DB1-Normal15"/>
              <w:spacing w:after="0" w:line="240" w:lineRule="auto"/>
              <w:rPr>
                <w:noProof/>
              </w:rPr>
            </w:pPr>
            <w:r>
              <w:rPr>
                <w:noProof/>
              </w:rPr>
              <w:t>Mjere zaštite od poplava uključuju:</w:t>
            </w:r>
          </w:p>
          <w:p w14:paraId="2F877136" w14:textId="77777777" w:rsidR="00615E2D" w:rsidRDefault="00C83E46">
            <w:pPr>
              <w:pStyle w:val="P68B1DB1-Normal15"/>
              <w:numPr>
                <w:ilvl w:val="0"/>
                <w:numId w:val="177"/>
              </w:numPr>
              <w:pBdr>
                <w:top w:val="nil"/>
                <w:left w:val="nil"/>
                <w:bottom w:val="nil"/>
                <w:right w:val="nil"/>
                <w:between w:val="nil"/>
              </w:pBdr>
              <w:spacing w:after="0" w:line="259" w:lineRule="auto"/>
              <w:jc w:val="both"/>
              <w:rPr>
                <w:noProof/>
              </w:rPr>
            </w:pPr>
            <w:r>
              <w:rPr>
                <w:noProof/>
              </w:rPr>
              <w:t>Poboljšanje morfologije vodnog toka</w:t>
            </w:r>
          </w:p>
          <w:p w14:paraId="7A0EF0BE" w14:textId="77777777" w:rsidR="00615E2D" w:rsidRDefault="00C83E46">
            <w:pPr>
              <w:pStyle w:val="P68B1DB1-Normal15"/>
              <w:numPr>
                <w:ilvl w:val="0"/>
                <w:numId w:val="177"/>
              </w:numPr>
              <w:pBdr>
                <w:top w:val="nil"/>
                <w:left w:val="nil"/>
                <w:bottom w:val="nil"/>
                <w:right w:val="nil"/>
                <w:between w:val="nil"/>
              </w:pBdr>
              <w:spacing w:after="0" w:line="259" w:lineRule="auto"/>
              <w:jc w:val="both"/>
              <w:rPr>
                <w:noProof/>
              </w:rPr>
            </w:pPr>
            <w:r>
              <w:rPr>
                <w:noProof/>
              </w:rPr>
              <w:t xml:space="preserve">Prilagodba zemljišnih obala blažim i promjenjivijim padinama i njihova moguća stabilizacija. </w:t>
            </w:r>
          </w:p>
          <w:p w14:paraId="2A3697D8" w14:textId="77777777" w:rsidR="00615E2D" w:rsidRDefault="00C83E46">
            <w:pPr>
              <w:pStyle w:val="P68B1DB1-Normal15"/>
              <w:numPr>
                <w:ilvl w:val="0"/>
                <w:numId w:val="177"/>
              </w:numPr>
              <w:pBdr>
                <w:top w:val="nil"/>
                <w:left w:val="nil"/>
                <w:bottom w:val="nil"/>
                <w:right w:val="nil"/>
                <w:between w:val="nil"/>
              </w:pBdr>
              <w:spacing w:after="0" w:line="259" w:lineRule="auto"/>
              <w:jc w:val="both"/>
              <w:rPr>
                <w:noProof/>
              </w:rPr>
            </w:pPr>
            <w:r>
              <w:rPr>
                <w:noProof/>
              </w:rPr>
              <w:t>Sadnja stabla u pratnji zajedno s travom na obalama i okolici vodotoka.</w:t>
            </w:r>
          </w:p>
          <w:p w14:paraId="0B6C05D3" w14:textId="4E4A4C74" w:rsidR="00615E2D" w:rsidRDefault="00C83E46">
            <w:pPr>
              <w:pStyle w:val="P68B1DB1-Normal16"/>
              <w:numPr>
                <w:ilvl w:val="0"/>
                <w:numId w:val="177"/>
              </w:numPr>
              <w:pBdr>
                <w:top w:val="nil"/>
                <w:left w:val="nil"/>
                <w:bottom w:val="nil"/>
                <w:right w:val="nil"/>
                <w:between w:val="nil"/>
              </w:pBdr>
              <w:spacing w:after="0" w:line="259" w:lineRule="auto"/>
              <w:jc w:val="both"/>
              <w:rPr>
                <w:rFonts w:eastAsia="Times New Roman"/>
                <w:noProof/>
              </w:rPr>
            </w:pPr>
            <w:r>
              <w:rPr>
                <w:rFonts w:eastAsia="Times New Roman"/>
                <w:noProof/>
              </w:rPr>
              <w:t>Otvaranje poplavnih područja za poplave i njihove izmjene (npr. izgradnja močvarnog područja). Mjera zaštite od poplava uključuje prirodna rješenja</w:t>
            </w:r>
            <w:r>
              <w:rPr>
                <w:noProof/>
              </w:rPr>
              <w:t xml:space="preserve"> </w:t>
            </w:r>
            <w:r>
              <w:rPr>
                <w:rFonts w:eastAsia="Times New Roman"/>
                <w:noProof/>
              </w:rPr>
              <w:t>i mora biti u skladu s Nacionalnim akcijskim planom za prilagodbu klimatskim promjenama i državnom politikom okoliša u Češkoj do 2030. za 2050.</w:t>
            </w:r>
          </w:p>
          <w:p w14:paraId="4A2826A6" w14:textId="77777777" w:rsidR="00615E2D" w:rsidRDefault="00C83E46">
            <w:pPr>
              <w:pStyle w:val="P68B1DB1-Normal15"/>
              <w:numPr>
                <w:ilvl w:val="0"/>
                <w:numId w:val="177"/>
              </w:numPr>
              <w:pBdr>
                <w:top w:val="nil"/>
                <w:left w:val="nil"/>
                <w:bottom w:val="nil"/>
                <w:right w:val="nil"/>
                <w:between w:val="nil"/>
              </w:pBdr>
              <w:spacing w:after="0" w:line="259" w:lineRule="auto"/>
              <w:jc w:val="both"/>
              <w:rPr>
                <w:noProof/>
              </w:rPr>
            </w:pPr>
            <w:r>
              <w:rPr>
                <w:noProof/>
              </w:rPr>
              <w:t>Popratne mjere koje se ni na koji način ne mogu izbjeći i koje su nužne za provedbu prethodno navedenih mjera.</w:t>
            </w:r>
          </w:p>
        </w:tc>
      </w:tr>
      <w:tr w:rsidR="00615E2D" w14:paraId="108C2778" w14:textId="77777777">
        <w:trPr>
          <w:trHeight w:val="320"/>
        </w:trPr>
        <w:tc>
          <w:tcPr>
            <w:tcW w:w="674" w:type="dxa"/>
            <w:shd w:val="clear" w:color="auto" w:fill="C6EFCE"/>
            <w:vAlign w:val="center"/>
          </w:tcPr>
          <w:p w14:paraId="4AD3EFA5" w14:textId="77777777" w:rsidR="00615E2D" w:rsidRDefault="00C83E46">
            <w:pPr>
              <w:pStyle w:val="P68B1DB1-Normal15"/>
              <w:spacing w:after="0" w:line="240" w:lineRule="auto"/>
              <w:jc w:val="center"/>
              <w:rPr>
                <w:noProof/>
              </w:rPr>
            </w:pPr>
            <w:r>
              <w:rPr>
                <w:noProof/>
              </w:rPr>
              <w:t>163</w:t>
            </w:r>
          </w:p>
        </w:tc>
        <w:tc>
          <w:tcPr>
            <w:tcW w:w="1343" w:type="dxa"/>
            <w:shd w:val="clear" w:color="auto" w:fill="C6EFCE"/>
            <w:vAlign w:val="center"/>
          </w:tcPr>
          <w:p w14:paraId="3F9D6CC7" w14:textId="77777777" w:rsidR="00615E2D" w:rsidRDefault="00C83E46">
            <w:pPr>
              <w:pStyle w:val="P68B1DB1-Normal15"/>
              <w:spacing w:after="0" w:line="240" w:lineRule="auto"/>
              <w:rPr>
                <w:noProof/>
              </w:rPr>
            </w:pPr>
            <w:r>
              <w:rPr>
                <w:noProof/>
              </w:rPr>
              <w:t>Ulaganje 2: Upravljanje kišnicom u gradskim aglomeracijama</w:t>
            </w:r>
          </w:p>
        </w:tc>
        <w:tc>
          <w:tcPr>
            <w:tcW w:w="1134" w:type="dxa"/>
            <w:shd w:val="clear" w:color="auto" w:fill="C6EFCE"/>
            <w:vAlign w:val="center"/>
          </w:tcPr>
          <w:p w14:paraId="1562D973" w14:textId="77777777" w:rsidR="00615E2D" w:rsidRDefault="00C83E46">
            <w:pPr>
              <w:pStyle w:val="P68B1DB1-Normal15"/>
              <w:spacing w:after="0" w:line="240" w:lineRule="auto"/>
              <w:rPr>
                <w:noProof/>
              </w:rPr>
            </w:pPr>
            <w:r>
              <w:rPr>
                <w:noProof/>
              </w:rPr>
              <w:t> Ciljna</w:t>
            </w:r>
          </w:p>
        </w:tc>
        <w:tc>
          <w:tcPr>
            <w:tcW w:w="1343" w:type="dxa"/>
            <w:shd w:val="clear" w:color="auto" w:fill="C6EFCE"/>
            <w:vAlign w:val="center"/>
          </w:tcPr>
          <w:p w14:paraId="0C3CCB60" w14:textId="77777777" w:rsidR="00615E2D" w:rsidRDefault="00C83E46">
            <w:pPr>
              <w:pStyle w:val="P68B1DB1-Normal15"/>
              <w:spacing w:after="0" w:line="240" w:lineRule="auto"/>
              <w:rPr>
                <w:noProof/>
              </w:rPr>
            </w:pPr>
            <w:r>
              <w:rPr>
                <w:noProof/>
              </w:rPr>
              <w:t xml:space="preserve">Povećanje količine kišnice zadržane mjerama upravljanja kišnicom u urbanim područjima </w:t>
            </w:r>
          </w:p>
        </w:tc>
        <w:tc>
          <w:tcPr>
            <w:tcW w:w="1209" w:type="dxa"/>
            <w:shd w:val="clear" w:color="auto" w:fill="C6EFCE"/>
            <w:vAlign w:val="center"/>
          </w:tcPr>
          <w:p w14:paraId="1352D701" w14:textId="77777777" w:rsidR="00615E2D" w:rsidRDefault="00C83E46">
            <w:pPr>
              <w:pStyle w:val="P68B1DB1-Normal15"/>
              <w:spacing w:after="0" w:line="240" w:lineRule="auto"/>
              <w:rPr>
                <w:noProof/>
              </w:rPr>
            </w:pPr>
            <w:r>
              <w:rPr>
                <w:noProof/>
              </w:rPr>
              <w:t> </w:t>
            </w:r>
          </w:p>
        </w:tc>
        <w:tc>
          <w:tcPr>
            <w:tcW w:w="945" w:type="dxa"/>
            <w:shd w:val="clear" w:color="auto" w:fill="C6EFCE"/>
            <w:vAlign w:val="center"/>
          </w:tcPr>
          <w:p w14:paraId="6C0EEC85" w14:textId="77777777" w:rsidR="00615E2D" w:rsidRDefault="00C83E46">
            <w:pPr>
              <w:pStyle w:val="P68B1DB1-Normal15"/>
              <w:spacing w:after="0" w:line="240" w:lineRule="auto"/>
              <w:rPr>
                <w:noProof/>
              </w:rPr>
            </w:pPr>
            <w:r>
              <w:rPr>
                <w:noProof/>
              </w:rPr>
              <w:t>Volumen m</w:t>
            </w:r>
            <w:r>
              <w:rPr>
                <w:noProof/>
                <w:vertAlign w:val="superscript"/>
              </w:rPr>
              <w:t>3</w:t>
            </w:r>
            <w:r>
              <w:rPr>
                <w:noProof/>
              </w:rPr>
              <w:t xml:space="preserve"> zadržane kišnice</w:t>
            </w:r>
          </w:p>
        </w:tc>
        <w:tc>
          <w:tcPr>
            <w:tcW w:w="1024" w:type="dxa"/>
            <w:shd w:val="clear" w:color="auto" w:fill="C6EFCE"/>
            <w:vAlign w:val="center"/>
          </w:tcPr>
          <w:p w14:paraId="13949C23" w14:textId="77777777" w:rsidR="00615E2D" w:rsidRDefault="00C83E46">
            <w:pPr>
              <w:pStyle w:val="P68B1DB1-Normal15"/>
              <w:spacing w:after="0" w:line="240" w:lineRule="auto"/>
              <w:jc w:val="center"/>
              <w:rPr>
                <w:noProof/>
              </w:rPr>
            </w:pPr>
            <w:r>
              <w:rPr>
                <w:noProof/>
              </w:rPr>
              <w:t>0</w:t>
            </w:r>
          </w:p>
        </w:tc>
        <w:tc>
          <w:tcPr>
            <w:tcW w:w="816" w:type="dxa"/>
            <w:shd w:val="clear" w:color="auto" w:fill="C6EFCE"/>
            <w:vAlign w:val="center"/>
          </w:tcPr>
          <w:p w14:paraId="47369AE5" w14:textId="4510F5BA" w:rsidR="00615E2D" w:rsidRDefault="00C83E46">
            <w:pPr>
              <w:pStyle w:val="P68B1DB1-Normal15"/>
              <w:spacing w:after="0" w:line="240" w:lineRule="auto"/>
              <w:jc w:val="center"/>
              <w:rPr>
                <w:noProof/>
              </w:rPr>
            </w:pPr>
            <w:r>
              <w:rPr>
                <w:noProof/>
              </w:rPr>
              <w:t xml:space="preserve"> 20.000</w:t>
            </w:r>
          </w:p>
        </w:tc>
        <w:tc>
          <w:tcPr>
            <w:tcW w:w="1077" w:type="dxa"/>
            <w:shd w:val="clear" w:color="auto" w:fill="C6EFCE"/>
            <w:vAlign w:val="center"/>
          </w:tcPr>
          <w:p w14:paraId="14E1152A" w14:textId="77777777" w:rsidR="00615E2D" w:rsidRDefault="00C83E46">
            <w:pPr>
              <w:pStyle w:val="P68B1DB1-Normal15"/>
              <w:spacing w:after="0" w:line="240" w:lineRule="auto"/>
              <w:jc w:val="center"/>
              <w:rPr>
                <w:noProof/>
              </w:rPr>
            </w:pPr>
            <w:r>
              <w:rPr>
                <w:noProof/>
              </w:rPr>
              <w:t>ČETVRTO TROMJESEČJE</w:t>
            </w:r>
          </w:p>
        </w:tc>
        <w:tc>
          <w:tcPr>
            <w:tcW w:w="673" w:type="dxa"/>
            <w:shd w:val="clear" w:color="auto" w:fill="C6EFCE"/>
            <w:vAlign w:val="center"/>
          </w:tcPr>
          <w:p w14:paraId="19F5BB29" w14:textId="77777777" w:rsidR="00615E2D" w:rsidRDefault="00C83E46">
            <w:pPr>
              <w:pStyle w:val="P68B1DB1-Normal15"/>
              <w:spacing w:after="0" w:line="240" w:lineRule="auto"/>
              <w:jc w:val="center"/>
              <w:rPr>
                <w:noProof/>
              </w:rPr>
            </w:pPr>
            <w:r>
              <w:rPr>
                <w:noProof/>
              </w:rPr>
              <w:t>2025</w:t>
            </w:r>
          </w:p>
        </w:tc>
        <w:tc>
          <w:tcPr>
            <w:tcW w:w="4401" w:type="dxa"/>
            <w:shd w:val="clear" w:color="auto" w:fill="C6EFCE"/>
            <w:vAlign w:val="center"/>
          </w:tcPr>
          <w:p w14:paraId="0319D1A4" w14:textId="77777777" w:rsidR="00615E2D" w:rsidRDefault="00C83E46">
            <w:pPr>
              <w:pStyle w:val="P68B1DB1-Normal15"/>
              <w:spacing w:after="0" w:line="240" w:lineRule="auto"/>
              <w:jc w:val="both"/>
              <w:rPr>
                <w:noProof/>
              </w:rPr>
            </w:pPr>
            <w:r>
              <w:rPr>
                <w:noProof/>
              </w:rPr>
              <w:t xml:space="preserve">Izvješće o dovršetku koje podnosi neovisno tijelo. Ta mjera uključuje površinsku apsorpciju i zadržavanje zelenih mjera, kišne vrtove, podzemne uređaje za zadržavanje kišnice, površinska i podzemna retencijska skladišta. </w:t>
            </w:r>
          </w:p>
        </w:tc>
      </w:tr>
      <w:tr w:rsidR="00615E2D" w14:paraId="48E831F0" w14:textId="77777777">
        <w:trPr>
          <w:trHeight w:val="320"/>
        </w:trPr>
        <w:tc>
          <w:tcPr>
            <w:tcW w:w="674" w:type="dxa"/>
            <w:shd w:val="clear" w:color="auto" w:fill="C6EFCE"/>
            <w:vAlign w:val="center"/>
          </w:tcPr>
          <w:p w14:paraId="6BD2E47C" w14:textId="77777777" w:rsidR="00615E2D" w:rsidRDefault="00C83E46">
            <w:pPr>
              <w:pStyle w:val="P68B1DB1-Normal15"/>
              <w:spacing w:after="0" w:line="240" w:lineRule="auto"/>
              <w:jc w:val="center"/>
              <w:rPr>
                <w:noProof/>
              </w:rPr>
            </w:pPr>
            <w:r>
              <w:rPr>
                <w:noProof/>
              </w:rPr>
              <w:t>164</w:t>
            </w:r>
          </w:p>
        </w:tc>
        <w:tc>
          <w:tcPr>
            <w:tcW w:w="1343" w:type="dxa"/>
            <w:shd w:val="clear" w:color="auto" w:fill="C6EFCE"/>
            <w:vAlign w:val="center"/>
          </w:tcPr>
          <w:p w14:paraId="14945B3E" w14:textId="77777777" w:rsidR="00615E2D" w:rsidRDefault="00C83E46">
            <w:pPr>
              <w:pStyle w:val="P68B1DB1-Normal15"/>
              <w:spacing w:after="0" w:line="240" w:lineRule="auto"/>
              <w:rPr>
                <w:noProof/>
              </w:rPr>
            </w:pPr>
            <w:r>
              <w:rPr>
                <w:noProof/>
              </w:rPr>
              <w:t xml:space="preserve">Ulaganje 3: Zaštićena područja uključujući područja mreže Natura 2000 i zaštićene vrste bilja i životinja </w:t>
            </w:r>
          </w:p>
        </w:tc>
        <w:tc>
          <w:tcPr>
            <w:tcW w:w="1134" w:type="dxa"/>
            <w:shd w:val="clear" w:color="auto" w:fill="C6EFCE"/>
            <w:vAlign w:val="center"/>
          </w:tcPr>
          <w:p w14:paraId="1A7D061C" w14:textId="77777777" w:rsidR="00615E2D" w:rsidRDefault="00C83E46">
            <w:pPr>
              <w:pStyle w:val="P68B1DB1-Normal15"/>
              <w:spacing w:after="0" w:line="240" w:lineRule="auto"/>
              <w:rPr>
                <w:noProof/>
              </w:rPr>
            </w:pPr>
            <w:r>
              <w:rPr>
                <w:noProof/>
              </w:rPr>
              <w:t xml:space="preserve"> Ciljna </w:t>
            </w:r>
          </w:p>
        </w:tc>
        <w:tc>
          <w:tcPr>
            <w:tcW w:w="1343" w:type="dxa"/>
            <w:shd w:val="clear" w:color="auto" w:fill="C6EFCE"/>
            <w:vAlign w:val="center"/>
          </w:tcPr>
          <w:p w14:paraId="49601692" w14:textId="77777777" w:rsidR="00615E2D" w:rsidRDefault="00C83E46">
            <w:pPr>
              <w:pStyle w:val="P68B1DB1-Normal15"/>
              <w:spacing w:after="0" w:line="240" w:lineRule="auto"/>
              <w:rPr>
                <w:noProof/>
                <w:highlight w:val="yellow"/>
              </w:rPr>
            </w:pPr>
            <w:r>
              <w:rPr>
                <w:noProof/>
              </w:rPr>
              <w:t xml:space="preserve">Završetak projekata čiji je cilj očuvanje zaštićenih područja, uključujući područja mreže Natura 2000, i zaštićenih vrsta bilja i životinja. </w:t>
            </w:r>
          </w:p>
        </w:tc>
        <w:tc>
          <w:tcPr>
            <w:tcW w:w="1209" w:type="dxa"/>
            <w:shd w:val="clear" w:color="auto" w:fill="C6EFCE"/>
            <w:vAlign w:val="center"/>
          </w:tcPr>
          <w:p w14:paraId="064EB3F0" w14:textId="77777777" w:rsidR="00615E2D" w:rsidRDefault="00C83E46">
            <w:pPr>
              <w:pStyle w:val="P68B1DB1-Normal15"/>
              <w:spacing w:after="0" w:line="240" w:lineRule="auto"/>
              <w:rPr>
                <w:noProof/>
              </w:rPr>
            </w:pPr>
            <w:r>
              <w:rPr>
                <w:noProof/>
              </w:rPr>
              <w:t> </w:t>
            </w:r>
          </w:p>
        </w:tc>
        <w:tc>
          <w:tcPr>
            <w:tcW w:w="945" w:type="dxa"/>
            <w:shd w:val="clear" w:color="auto" w:fill="C6EFCE"/>
            <w:vAlign w:val="center"/>
          </w:tcPr>
          <w:p w14:paraId="1459A9F3" w14:textId="77777777" w:rsidR="00615E2D" w:rsidRDefault="00C83E46">
            <w:pPr>
              <w:pStyle w:val="P68B1DB1-Normal15"/>
              <w:spacing w:after="0" w:line="240" w:lineRule="auto"/>
              <w:rPr>
                <w:noProof/>
              </w:rPr>
            </w:pPr>
            <w:r>
              <w:rPr>
                <w:noProof/>
              </w:rPr>
              <w:t>Hektara</w:t>
            </w:r>
          </w:p>
        </w:tc>
        <w:tc>
          <w:tcPr>
            <w:tcW w:w="1024" w:type="dxa"/>
            <w:shd w:val="clear" w:color="auto" w:fill="C6EFCE"/>
            <w:vAlign w:val="center"/>
          </w:tcPr>
          <w:p w14:paraId="4ED985C0" w14:textId="77777777" w:rsidR="00615E2D" w:rsidRDefault="00C83E46">
            <w:pPr>
              <w:pStyle w:val="P68B1DB1-Normal15"/>
              <w:spacing w:after="0" w:line="240" w:lineRule="auto"/>
              <w:jc w:val="center"/>
              <w:rPr>
                <w:noProof/>
              </w:rPr>
            </w:pPr>
            <w:r>
              <w:rPr>
                <w:noProof/>
              </w:rPr>
              <w:t>0</w:t>
            </w:r>
          </w:p>
        </w:tc>
        <w:tc>
          <w:tcPr>
            <w:tcW w:w="816" w:type="dxa"/>
            <w:shd w:val="clear" w:color="auto" w:fill="C6EFCE"/>
            <w:vAlign w:val="center"/>
          </w:tcPr>
          <w:p w14:paraId="09ECF29E" w14:textId="77777777" w:rsidR="00615E2D" w:rsidRDefault="00C83E46">
            <w:pPr>
              <w:pStyle w:val="P68B1DB1-Normal15"/>
              <w:spacing w:after="0" w:line="240" w:lineRule="auto"/>
              <w:jc w:val="center"/>
              <w:rPr>
                <w:noProof/>
              </w:rPr>
            </w:pPr>
            <w:r>
              <w:rPr>
                <w:noProof/>
              </w:rPr>
              <w:t>2 625</w:t>
            </w:r>
          </w:p>
        </w:tc>
        <w:tc>
          <w:tcPr>
            <w:tcW w:w="1077" w:type="dxa"/>
            <w:shd w:val="clear" w:color="auto" w:fill="C6EFCE"/>
            <w:vAlign w:val="center"/>
          </w:tcPr>
          <w:p w14:paraId="62243F09" w14:textId="77777777" w:rsidR="00615E2D" w:rsidRDefault="00C83E46">
            <w:pPr>
              <w:pStyle w:val="P68B1DB1-Normal15"/>
              <w:spacing w:after="0" w:line="240" w:lineRule="auto"/>
              <w:jc w:val="center"/>
              <w:rPr>
                <w:noProof/>
              </w:rPr>
            </w:pPr>
            <w:r>
              <w:rPr>
                <w:noProof/>
              </w:rPr>
              <w:t>ČETVRTO TROMJESEČJE</w:t>
            </w:r>
          </w:p>
        </w:tc>
        <w:tc>
          <w:tcPr>
            <w:tcW w:w="673" w:type="dxa"/>
            <w:shd w:val="clear" w:color="auto" w:fill="C6EFCE"/>
            <w:vAlign w:val="center"/>
          </w:tcPr>
          <w:p w14:paraId="2393197B" w14:textId="77777777" w:rsidR="00615E2D" w:rsidRDefault="00C83E46">
            <w:pPr>
              <w:pStyle w:val="P68B1DB1-Normal15"/>
              <w:spacing w:after="0" w:line="240" w:lineRule="auto"/>
              <w:jc w:val="center"/>
              <w:rPr>
                <w:noProof/>
              </w:rPr>
            </w:pPr>
            <w:r>
              <w:rPr>
                <w:noProof/>
              </w:rPr>
              <w:t>2025</w:t>
            </w:r>
          </w:p>
        </w:tc>
        <w:tc>
          <w:tcPr>
            <w:tcW w:w="4401" w:type="dxa"/>
            <w:shd w:val="clear" w:color="auto" w:fill="C6EFCE"/>
            <w:vAlign w:val="center"/>
          </w:tcPr>
          <w:p w14:paraId="5D455C06" w14:textId="2D8BFD3C" w:rsidR="00615E2D" w:rsidRDefault="00C83E46">
            <w:pPr>
              <w:spacing w:before="0" w:after="0" w:line="240" w:lineRule="auto"/>
              <w:rPr>
                <w:noProof/>
              </w:rPr>
            </w:pPr>
            <w:r>
              <w:rPr>
                <w:rFonts w:eastAsia="Times New Roman"/>
                <w:noProof/>
                <w:color w:val="004300"/>
                <w:sz w:val="18"/>
              </w:rPr>
              <w:t xml:space="preserve">Izvješće o završetku koje je dostavilo Ministarstvo okoliša. Ulaganjem se postiže povoljno stanje očuvanosti provedbom mjera očuvanja utvrđenih u dokumentima o upravljanju prirodom. Sastoji se od provedbe mjera definiranih u relevantnim planovima upravljanja za poboljšanje stanja prirode i krajolika. Očekuje se da će biti dovršeni dokumenti o upravljanju za obnovu ili deklariranje područja mreže Natura 2000 i područja zaštićenih na nacionalnoj razini. Ulaganje se ostvaruje na područjima mreže Natura 2000, posebno zaštićenim područjima i izvan prethodno navedenih područja i obuhvaća najmanje 2 625 ha.  </w:t>
            </w:r>
            <w:r>
              <w:rPr>
                <w:noProof/>
              </w:rPr>
              <w:t xml:space="preserve"> </w:t>
            </w:r>
          </w:p>
        </w:tc>
      </w:tr>
      <w:tr w:rsidR="00615E2D" w14:paraId="409E7163" w14:textId="77777777">
        <w:trPr>
          <w:trHeight w:val="320"/>
        </w:trPr>
        <w:tc>
          <w:tcPr>
            <w:tcW w:w="674" w:type="dxa"/>
            <w:shd w:val="clear" w:color="auto" w:fill="C6EFCE"/>
            <w:vAlign w:val="center"/>
          </w:tcPr>
          <w:p w14:paraId="0ED0A346" w14:textId="77777777" w:rsidR="00615E2D" w:rsidRDefault="00C83E46">
            <w:pPr>
              <w:pStyle w:val="P68B1DB1-Normal15"/>
              <w:spacing w:after="0" w:line="240" w:lineRule="auto"/>
              <w:jc w:val="center"/>
              <w:rPr>
                <w:noProof/>
              </w:rPr>
            </w:pPr>
            <w:r>
              <w:rPr>
                <w:noProof/>
              </w:rPr>
              <w:t>165</w:t>
            </w:r>
          </w:p>
        </w:tc>
        <w:tc>
          <w:tcPr>
            <w:tcW w:w="1343" w:type="dxa"/>
            <w:shd w:val="clear" w:color="auto" w:fill="C6EFCE"/>
            <w:vAlign w:val="center"/>
          </w:tcPr>
          <w:p w14:paraId="75147B29" w14:textId="77777777" w:rsidR="00615E2D" w:rsidRDefault="00C83E46">
            <w:pPr>
              <w:pStyle w:val="P68B1DB1-Normal15"/>
              <w:spacing w:after="0" w:line="240" w:lineRule="auto"/>
              <w:rPr>
                <w:noProof/>
              </w:rPr>
            </w:pPr>
            <w:r>
              <w:rPr>
                <w:noProof/>
              </w:rPr>
              <w:t xml:space="preserve">Ulaganje 4: Prilagodba vodnih, nešumskih i šumskih ekosustava klimatskim promjenama </w:t>
            </w:r>
          </w:p>
        </w:tc>
        <w:tc>
          <w:tcPr>
            <w:tcW w:w="1134" w:type="dxa"/>
            <w:shd w:val="clear" w:color="auto" w:fill="C6EFCE"/>
            <w:vAlign w:val="center"/>
          </w:tcPr>
          <w:p w14:paraId="2DC5BFB8" w14:textId="77777777" w:rsidR="00615E2D" w:rsidRDefault="00C83E46">
            <w:pPr>
              <w:pStyle w:val="P68B1DB1-Normal15"/>
              <w:spacing w:after="0" w:line="240" w:lineRule="auto"/>
              <w:rPr>
                <w:noProof/>
              </w:rPr>
            </w:pPr>
            <w:r>
              <w:rPr>
                <w:noProof/>
              </w:rPr>
              <w:t>Prekretnica</w:t>
            </w:r>
          </w:p>
        </w:tc>
        <w:tc>
          <w:tcPr>
            <w:tcW w:w="1343" w:type="dxa"/>
            <w:shd w:val="clear" w:color="auto" w:fill="C6EFCE"/>
            <w:vAlign w:val="center"/>
          </w:tcPr>
          <w:p w14:paraId="1658B802" w14:textId="77777777" w:rsidR="00615E2D" w:rsidRDefault="00C83E46">
            <w:pPr>
              <w:pStyle w:val="P68B1DB1-Normal15"/>
              <w:spacing w:after="0" w:line="240" w:lineRule="auto"/>
              <w:rPr>
                <w:noProof/>
              </w:rPr>
            </w:pPr>
            <w:r>
              <w:rPr>
                <w:noProof/>
              </w:rPr>
              <w:t xml:space="preserve">Završetak projekata čiji je cilj prilagodba vodenih, nešumskih i šumskih ekosustava klimatskim promjenama </w:t>
            </w:r>
          </w:p>
        </w:tc>
        <w:tc>
          <w:tcPr>
            <w:tcW w:w="1209" w:type="dxa"/>
            <w:shd w:val="clear" w:color="auto" w:fill="C6EFCE"/>
            <w:vAlign w:val="center"/>
          </w:tcPr>
          <w:p w14:paraId="6497E71C" w14:textId="77777777" w:rsidR="00615E2D" w:rsidRDefault="00C83E46">
            <w:pPr>
              <w:pStyle w:val="P68B1DB1-Normal15"/>
              <w:spacing w:after="0" w:line="240" w:lineRule="auto"/>
              <w:rPr>
                <w:noProof/>
              </w:rPr>
            </w:pPr>
            <w:r>
              <w:rPr>
                <w:noProof/>
              </w:rPr>
              <w:t>Izvješće neovisnog inženjera kojeg je certificiralo Ministarstvo okoliša</w:t>
            </w:r>
          </w:p>
        </w:tc>
        <w:tc>
          <w:tcPr>
            <w:tcW w:w="945" w:type="dxa"/>
            <w:shd w:val="clear" w:color="auto" w:fill="C6EFCE"/>
            <w:vAlign w:val="center"/>
          </w:tcPr>
          <w:p w14:paraId="328A1AD4" w14:textId="77777777" w:rsidR="00615E2D" w:rsidRDefault="00615E2D">
            <w:pPr>
              <w:spacing w:after="0" w:line="240" w:lineRule="auto"/>
              <w:rPr>
                <w:rFonts w:eastAsia="Times New Roman"/>
                <w:noProof/>
                <w:color w:val="004300"/>
                <w:sz w:val="18"/>
              </w:rPr>
            </w:pPr>
          </w:p>
        </w:tc>
        <w:tc>
          <w:tcPr>
            <w:tcW w:w="1024" w:type="dxa"/>
            <w:shd w:val="clear" w:color="auto" w:fill="C6EFCE"/>
            <w:vAlign w:val="center"/>
          </w:tcPr>
          <w:p w14:paraId="773401F1" w14:textId="77777777" w:rsidR="00615E2D" w:rsidRDefault="00615E2D">
            <w:pPr>
              <w:spacing w:after="0" w:line="240" w:lineRule="auto"/>
              <w:jc w:val="center"/>
              <w:rPr>
                <w:rFonts w:eastAsia="Times New Roman"/>
                <w:noProof/>
                <w:color w:val="004300"/>
                <w:sz w:val="18"/>
              </w:rPr>
            </w:pPr>
          </w:p>
        </w:tc>
        <w:tc>
          <w:tcPr>
            <w:tcW w:w="816" w:type="dxa"/>
            <w:shd w:val="clear" w:color="auto" w:fill="C6EFCE"/>
            <w:vAlign w:val="center"/>
          </w:tcPr>
          <w:p w14:paraId="213B6CF8" w14:textId="77777777" w:rsidR="00615E2D" w:rsidRDefault="00615E2D">
            <w:pPr>
              <w:spacing w:after="0" w:line="240" w:lineRule="auto"/>
              <w:rPr>
                <w:rFonts w:eastAsia="Times New Roman"/>
                <w:noProof/>
                <w:color w:val="004300"/>
                <w:sz w:val="18"/>
              </w:rPr>
            </w:pPr>
          </w:p>
        </w:tc>
        <w:tc>
          <w:tcPr>
            <w:tcW w:w="1077" w:type="dxa"/>
            <w:shd w:val="clear" w:color="auto" w:fill="C6EFCE"/>
            <w:vAlign w:val="center"/>
          </w:tcPr>
          <w:p w14:paraId="7FD027A7" w14:textId="77777777" w:rsidR="00615E2D" w:rsidRDefault="00C83E46">
            <w:pPr>
              <w:pStyle w:val="P68B1DB1-Normal15"/>
              <w:spacing w:after="0" w:line="240" w:lineRule="auto"/>
              <w:jc w:val="center"/>
              <w:rPr>
                <w:noProof/>
              </w:rPr>
            </w:pPr>
            <w:r>
              <w:rPr>
                <w:noProof/>
              </w:rPr>
              <w:t>ČETVRTO TROMJESEČJE</w:t>
            </w:r>
          </w:p>
        </w:tc>
        <w:tc>
          <w:tcPr>
            <w:tcW w:w="673" w:type="dxa"/>
            <w:shd w:val="clear" w:color="auto" w:fill="C6EFCE"/>
            <w:vAlign w:val="center"/>
          </w:tcPr>
          <w:p w14:paraId="6F8E2F65" w14:textId="77777777" w:rsidR="00615E2D" w:rsidRDefault="00C83E46">
            <w:pPr>
              <w:pStyle w:val="P68B1DB1-Normal15"/>
              <w:spacing w:after="0" w:line="240" w:lineRule="auto"/>
              <w:jc w:val="center"/>
              <w:rPr>
                <w:noProof/>
              </w:rPr>
            </w:pPr>
            <w:r>
              <w:rPr>
                <w:noProof/>
              </w:rPr>
              <w:t>2025</w:t>
            </w:r>
          </w:p>
        </w:tc>
        <w:tc>
          <w:tcPr>
            <w:tcW w:w="4401" w:type="dxa"/>
            <w:shd w:val="clear" w:color="auto" w:fill="C6EFCE"/>
            <w:vAlign w:val="center"/>
          </w:tcPr>
          <w:p w14:paraId="3CBD2E1A" w14:textId="666B4789" w:rsidR="00615E2D" w:rsidRDefault="00C83E46">
            <w:pPr>
              <w:pStyle w:val="P68B1DB1-Normal15"/>
              <w:spacing w:after="0" w:line="240" w:lineRule="auto"/>
              <w:jc w:val="both"/>
              <w:rPr>
                <w:noProof/>
              </w:rPr>
            </w:pPr>
            <w:r>
              <w:rPr>
                <w:noProof/>
              </w:rPr>
              <w:t>Podnošenje izvješća neovisnog inženjera kojeg je certificiralo Ministarstvo okoliša. Projekti doprinose poboljšanju vrsta i prostornog sastava šume na području od 200 ha; brinu se za vrijedna nešumska kopnena staništa u ukupnoj površini od 1 250 ha; stvaraju i obnavljaju močvarna područja, ribnjake i male akumulacije ukupne površine 48 ha; revitalizirati vodotoke u ukupnoj površini od 68 ha i provesti sadnju 32 tisuća komada drvenastih biljaka izvan šume.</w:t>
            </w:r>
          </w:p>
        </w:tc>
      </w:tr>
      <w:tr w:rsidR="00615E2D" w14:paraId="469945D6" w14:textId="77777777">
        <w:trPr>
          <w:trHeight w:val="320"/>
        </w:trPr>
        <w:tc>
          <w:tcPr>
            <w:tcW w:w="674" w:type="dxa"/>
            <w:shd w:val="clear" w:color="auto" w:fill="C6EFCE"/>
            <w:vAlign w:val="center"/>
          </w:tcPr>
          <w:p w14:paraId="1970C9EB" w14:textId="77777777" w:rsidR="00615E2D" w:rsidRDefault="00C83E46">
            <w:pPr>
              <w:pStyle w:val="P68B1DB1-Normal15"/>
              <w:spacing w:after="0" w:line="240" w:lineRule="auto"/>
              <w:jc w:val="center"/>
              <w:rPr>
                <w:noProof/>
              </w:rPr>
            </w:pPr>
            <w:r>
              <w:rPr>
                <w:noProof/>
              </w:rPr>
              <w:t>166</w:t>
            </w:r>
          </w:p>
        </w:tc>
        <w:tc>
          <w:tcPr>
            <w:tcW w:w="1343" w:type="dxa"/>
            <w:shd w:val="clear" w:color="auto" w:fill="C6EFCE"/>
            <w:vAlign w:val="center"/>
          </w:tcPr>
          <w:p w14:paraId="16FF05E1" w14:textId="77777777" w:rsidR="00615E2D" w:rsidRDefault="00C83E46">
            <w:pPr>
              <w:pStyle w:val="P68B1DB1-Normal15"/>
              <w:spacing w:after="0" w:line="240" w:lineRule="auto"/>
              <w:rPr>
                <w:noProof/>
              </w:rPr>
            </w:pPr>
            <w:r>
              <w:rPr>
                <w:noProof/>
              </w:rPr>
              <w:t>Ulaganje 4: Prilagodba vodnih, nešumskih i šumskih ekosustava klimatskim promjenama</w:t>
            </w:r>
          </w:p>
        </w:tc>
        <w:tc>
          <w:tcPr>
            <w:tcW w:w="1134" w:type="dxa"/>
            <w:shd w:val="clear" w:color="auto" w:fill="C6EFCE"/>
            <w:vAlign w:val="center"/>
          </w:tcPr>
          <w:p w14:paraId="5091437B" w14:textId="77777777" w:rsidR="00615E2D" w:rsidRDefault="00C83E46">
            <w:pPr>
              <w:pStyle w:val="P68B1DB1-Normal15"/>
              <w:spacing w:after="0" w:line="240" w:lineRule="auto"/>
              <w:rPr>
                <w:noProof/>
              </w:rPr>
            </w:pPr>
            <w:r>
              <w:rPr>
                <w:noProof/>
              </w:rPr>
              <w:t>Ciljna</w:t>
            </w:r>
          </w:p>
        </w:tc>
        <w:tc>
          <w:tcPr>
            <w:tcW w:w="1343" w:type="dxa"/>
            <w:shd w:val="clear" w:color="auto" w:fill="C6EFCE"/>
            <w:vAlign w:val="center"/>
          </w:tcPr>
          <w:p w14:paraId="6FD6AF1B" w14:textId="77777777" w:rsidR="00615E2D" w:rsidRDefault="00C83E46">
            <w:pPr>
              <w:pStyle w:val="P68B1DB1-Normal15"/>
              <w:spacing w:after="0" w:line="240" w:lineRule="auto"/>
              <w:rPr>
                <w:noProof/>
              </w:rPr>
            </w:pPr>
            <w:r>
              <w:rPr>
                <w:noProof/>
              </w:rPr>
              <w:t>Procjena potencijala za zadržavanje vode i prijedlog konkretnih mjera</w:t>
            </w:r>
          </w:p>
        </w:tc>
        <w:tc>
          <w:tcPr>
            <w:tcW w:w="1209" w:type="dxa"/>
            <w:shd w:val="clear" w:color="auto" w:fill="C6EFCE"/>
            <w:vAlign w:val="center"/>
          </w:tcPr>
          <w:p w14:paraId="1A088E74" w14:textId="77777777" w:rsidR="00615E2D" w:rsidRDefault="00615E2D">
            <w:pPr>
              <w:spacing w:after="0" w:line="240" w:lineRule="auto"/>
              <w:rPr>
                <w:rFonts w:eastAsia="Times New Roman"/>
                <w:noProof/>
                <w:color w:val="004300"/>
                <w:sz w:val="18"/>
              </w:rPr>
            </w:pPr>
          </w:p>
        </w:tc>
        <w:tc>
          <w:tcPr>
            <w:tcW w:w="945" w:type="dxa"/>
            <w:shd w:val="clear" w:color="auto" w:fill="C6EFCE"/>
            <w:vAlign w:val="center"/>
          </w:tcPr>
          <w:p w14:paraId="554DC47E" w14:textId="77777777" w:rsidR="00615E2D" w:rsidRDefault="00C83E46">
            <w:pPr>
              <w:pStyle w:val="P68B1DB1-Normal15"/>
              <w:spacing w:after="0" w:line="240" w:lineRule="auto"/>
              <w:rPr>
                <w:noProof/>
              </w:rPr>
            </w:pPr>
            <w:r>
              <w:rPr>
                <w:noProof/>
              </w:rPr>
              <w:t>Km</w:t>
            </w:r>
            <w:r>
              <w:rPr>
                <w:noProof/>
                <w:vertAlign w:val="superscript"/>
              </w:rPr>
              <w:t>2</w:t>
            </w:r>
          </w:p>
        </w:tc>
        <w:tc>
          <w:tcPr>
            <w:tcW w:w="1024" w:type="dxa"/>
            <w:shd w:val="clear" w:color="auto" w:fill="C6EFCE"/>
            <w:vAlign w:val="center"/>
          </w:tcPr>
          <w:p w14:paraId="2377F323" w14:textId="77777777" w:rsidR="00615E2D" w:rsidRDefault="00C83E46">
            <w:pPr>
              <w:pStyle w:val="P68B1DB1-Normal15"/>
              <w:spacing w:after="0" w:line="240" w:lineRule="auto"/>
              <w:jc w:val="center"/>
              <w:rPr>
                <w:noProof/>
              </w:rPr>
            </w:pPr>
            <w:r>
              <w:rPr>
                <w:noProof/>
              </w:rPr>
              <w:t>0</w:t>
            </w:r>
          </w:p>
        </w:tc>
        <w:tc>
          <w:tcPr>
            <w:tcW w:w="816" w:type="dxa"/>
            <w:shd w:val="clear" w:color="auto" w:fill="C6EFCE"/>
            <w:vAlign w:val="center"/>
          </w:tcPr>
          <w:p w14:paraId="4BB745A1" w14:textId="0D45933B" w:rsidR="00615E2D" w:rsidRDefault="00C83E46">
            <w:pPr>
              <w:pStyle w:val="P68B1DB1-Normal15"/>
              <w:spacing w:after="0" w:line="240" w:lineRule="auto"/>
              <w:rPr>
                <w:noProof/>
              </w:rPr>
            </w:pPr>
            <w:r>
              <w:rPr>
                <w:noProof/>
              </w:rPr>
              <w:t>5 000</w:t>
            </w:r>
          </w:p>
        </w:tc>
        <w:tc>
          <w:tcPr>
            <w:tcW w:w="1077" w:type="dxa"/>
            <w:shd w:val="clear" w:color="auto" w:fill="C6EFCE"/>
            <w:vAlign w:val="center"/>
          </w:tcPr>
          <w:p w14:paraId="50F70901" w14:textId="77777777" w:rsidR="00615E2D" w:rsidRDefault="00C83E46">
            <w:pPr>
              <w:pStyle w:val="P68B1DB1-Normal15"/>
              <w:spacing w:after="0" w:line="240" w:lineRule="auto"/>
              <w:jc w:val="center"/>
              <w:rPr>
                <w:noProof/>
              </w:rPr>
            </w:pPr>
            <w:r>
              <w:rPr>
                <w:noProof/>
              </w:rPr>
              <w:t>ČETVRTO TROMJESEČJE</w:t>
            </w:r>
          </w:p>
        </w:tc>
        <w:tc>
          <w:tcPr>
            <w:tcW w:w="673" w:type="dxa"/>
            <w:shd w:val="clear" w:color="auto" w:fill="C6EFCE"/>
            <w:vAlign w:val="center"/>
          </w:tcPr>
          <w:p w14:paraId="30214B33" w14:textId="77777777" w:rsidR="00615E2D" w:rsidRDefault="00C83E46">
            <w:pPr>
              <w:pStyle w:val="P68B1DB1-Normal15"/>
              <w:spacing w:after="0" w:line="240" w:lineRule="auto"/>
              <w:jc w:val="center"/>
              <w:rPr>
                <w:noProof/>
              </w:rPr>
            </w:pPr>
            <w:r>
              <w:rPr>
                <w:noProof/>
              </w:rPr>
              <w:t>2025</w:t>
            </w:r>
          </w:p>
        </w:tc>
        <w:tc>
          <w:tcPr>
            <w:tcW w:w="4401" w:type="dxa"/>
            <w:shd w:val="clear" w:color="auto" w:fill="C6EFCE"/>
            <w:vAlign w:val="center"/>
          </w:tcPr>
          <w:p w14:paraId="084EA338" w14:textId="77777777" w:rsidR="00615E2D" w:rsidRDefault="00C83E46">
            <w:pPr>
              <w:pStyle w:val="P68B1DB1-Normal15"/>
              <w:spacing w:line="240" w:lineRule="auto"/>
              <w:rPr>
                <w:noProof/>
              </w:rPr>
            </w:pPr>
            <w:r>
              <w:rPr>
                <w:noProof/>
              </w:rPr>
              <w:t xml:space="preserve">Područja malih riječnih slivova procjenjuju se s obzirom na njihov potencijal za zadržavanje vode, provode se prethodne studije izvedivosti, o njima će se raspravljati s dionicima i dogovoriti s vlasnicima zemljišta. </w:t>
            </w:r>
          </w:p>
          <w:p w14:paraId="4BD85DF4" w14:textId="77777777" w:rsidR="00615E2D" w:rsidRDefault="00C83E46">
            <w:pPr>
              <w:pStyle w:val="P68B1DB1-Normal15"/>
              <w:spacing w:after="0" w:line="240" w:lineRule="auto"/>
              <w:jc w:val="both"/>
              <w:rPr>
                <w:noProof/>
              </w:rPr>
            </w:pPr>
            <w:r>
              <w:rPr>
                <w:noProof/>
              </w:rPr>
              <w:t>Detaljna projektna dokumentacija izrađuje se samo za odabrane mjere zadržavanja vode na temelju obvezujuće izjave o interesu vlasnika zemljišta.</w:t>
            </w:r>
          </w:p>
        </w:tc>
      </w:tr>
      <w:tr w:rsidR="00615E2D" w14:paraId="6A87F4F8" w14:textId="77777777">
        <w:trPr>
          <w:trHeight w:val="320"/>
        </w:trPr>
        <w:tc>
          <w:tcPr>
            <w:tcW w:w="674" w:type="dxa"/>
            <w:shd w:val="clear" w:color="auto" w:fill="C6EFCE"/>
            <w:vAlign w:val="center"/>
          </w:tcPr>
          <w:p w14:paraId="011907AD" w14:textId="77777777" w:rsidR="00615E2D" w:rsidRDefault="00C83E46">
            <w:pPr>
              <w:pStyle w:val="P68B1DB1-Normal15"/>
              <w:spacing w:after="0" w:line="240" w:lineRule="auto"/>
              <w:jc w:val="center"/>
              <w:rPr>
                <w:noProof/>
              </w:rPr>
            </w:pPr>
            <w:r>
              <w:rPr>
                <w:noProof/>
              </w:rPr>
              <w:t>167</w:t>
            </w:r>
          </w:p>
        </w:tc>
        <w:tc>
          <w:tcPr>
            <w:tcW w:w="1343" w:type="dxa"/>
            <w:shd w:val="clear" w:color="auto" w:fill="C6EFCE"/>
            <w:vAlign w:val="center"/>
          </w:tcPr>
          <w:p w14:paraId="38481EA9" w14:textId="77777777" w:rsidR="00615E2D" w:rsidRDefault="00C83E46">
            <w:pPr>
              <w:pStyle w:val="P68B1DB1-Normal15"/>
              <w:spacing w:after="0" w:line="240" w:lineRule="auto"/>
              <w:rPr>
                <w:noProof/>
              </w:rPr>
            </w:pPr>
            <w:r>
              <w:rPr>
                <w:noProof/>
              </w:rPr>
              <w:t>Ulaganje 4: Prilagodba vodnih, nešumskih i šumskih ekosustava klimatskim promjenama</w:t>
            </w:r>
          </w:p>
        </w:tc>
        <w:tc>
          <w:tcPr>
            <w:tcW w:w="1134" w:type="dxa"/>
            <w:shd w:val="clear" w:color="auto" w:fill="C6EFCE"/>
            <w:vAlign w:val="center"/>
          </w:tcPr>
          <w:p w14:paraId="41CD16AE" w14:textId="77777777" w:rsidR="00615E2D" w:rsidRDefault="00C83E46">
            <w:pPr>
              <w:pStyle w:val="P68B1DB1-Normal15"/>
              <w:spacing w:after="0" w:line="240" w:lineRule="auto"/>
              <w:rPr>
                <w:noProof/>
              </w:rPr>
            </w:pPr>
            <w:r>
              <w:rPr>
                <w:noProof/>
              </w:rPr>
              <w:t>Ciljna</w:t>
            </w:r>
          </w:p>
        </w:tc>
        <w:tc>
          <w:tcPr>
            <w:tcW w:w="1343" w:type="dxa"/>
            <w:shd w:val="clear" w:color="auto" w:fill="C6EFCE"/>
            <w:vAlign w:val="center"/>
          </w:tcPr>
          <w:p w14:paraId="73EBFBFB" w14:textId="77777777" w:rsidR="00615E2D" w:rsidRDefault="00C83E46">
            <w:pPr>
              <w:pStyle w:val="P68B1DB1-Normal15"/>
              <w:spacing w:after="0" w:line="240" w:lineRule="auto"/>
              <w:rPr>
                <w:noProof/>
              </w:rPr>
            </w:pPr>
            <w:r>
              <w:rPr>
                <w:noProof/>
              </w:rPr>
              <w:t>Provedba predloženih odabranih mjera za zadržavanje vode</w:t>
            </w:r>
          </w:p>
        </w:tc>
        <w:tc>
          <w:tcPr>
            <w:tcW w:w="1209" w:type="dxa"/>
            <w:shd w:val="clear" w:color="auto" w:fill="C6EFCE"/>
            <w:vAlign w:val="center"/>
          </w:tcPr>
          <w:p w14:paraId="3F2EC62B" w14:textId="77777777" w:rsidR="00615E2D" w:rsidRDefault="00615E2D">
            <w:pPr>
              <w:spacing w:after="0" w:line="240" w:lineRule="auto"/>
              <w:rPr>
                <w:rFonts w:eastAsia="Times New Roman"/>
                <w:noProof/>
                <w:color w:val="004300"/>
                <w:sz w:val="18"/>
              </w:rPr>
            </w:pPr>
          </w:p>
        </w:tc>
        <w:tc>
          <w:tcPr>
            <w:tcW w:w="945" w:type="dxa"/>
            <w:shd w:val="clear" w:color="auto" w:fill="C6EFCE"/>
            <w:vAlign w:val="center"/>
          </w:tcPr>
          <w:p w14:paraId="00752E60" w14:textId="77777777" w:rsidR="00615E2D" w:rsidRDefault="00C83E46">
            <w:pPr>
              <w:pStyle w:val="P68B1DB1-Normal15"/>
              <w:spacing w:after="0" w:line="240" w:lineRule="auto"/>
              <w:rPr>
                <w:noProof/>
              </w:rPr>
            </w:pPr>
            <w:r>
              <w:rPr>
                <w:noProof/>
              </w:rPr>
              <w:t>% odabranog područja koje se upotrebljava za mjere zadržavanja vode</w:t>
            </w:r>
          </w:p>
        </w:tc>
        <w:tc>
          <w:tcPr>
            <w:tcW w:w="1024" w:type="dxa"/>
            <w:shd w:val="clear" w:color="auto" w:fill="C6EFCE"/>
            <w:vAlign w:val="center"/>
          </w:tcPr>
          <w:p w14:paraId="2A80C8AE" w14:textId="77777777" w:rsidR="00615E2D" w:rsidRDefault="00C83E46">
            <w:pPr>
              <w:pStyle w:val="P68B1DB1-Normal15"/>
              <w:spacing w:after="0" w:line="240" w:lineRule="auto"/>
              <w:jc w:val="center"/>
              <w:rPr>
                <w:noProof/>
              </w:rPr>
            </w:pPr>
            <w:r>
              <w:rPr>
                <w:noProof/>
              </w:rPr>
              <w:t>0</w:t>
            </w:r>
          </w:p>
        </w:tc>
        <w:tc>
          <w:tcPr>
            <w:tcW w:w="816" w:type="dxa"/>
            <w:shd w:val="clear" w:color="auto" w:fill="C6EFCE"/>
            <w:vAlign w:val="center"/>
          </w:tcPr>
          <w:p w14:paraId="299F90B5" w14:textId="77777777" w:rsidR="00615E2D" w:rsidRDefault="00C83E46">
            <w:pPr>
              <w:pStyle w:val="P68B1DB1-Normal15"/>
              <w:spacing w:after="0" w:line="240" w:lineRule="auto"/>
              <w:rPr>
                <w:noProof/>
              </w:rPr>
            </w:pPr>
            <w:r>
              <w:rPr>
                <w:noProof/>
              </w:rPr>
              <w:t>10</w:t>
            </w:r>
          </w:p>
        </w:tc>
        <w:tc>
          <w:tcPr>
            <w:tcW w:w="1077" w:type="dxa"/>
            <w:shd w:val="clear" w:color="auto" w:fill="C6EFCE"/>
            <w:vAlign w:val="center"/>
          </w:tcPr>
          <w:p w14:paraId="697F3865" w14:textId="77777777" w:rsidR="00615E2D" w:rsidRDefault="00C83E46">
            <w:pPr>
              <w:pStyle w:val="P68B1DB1-Normal15"/>
              <w:spacing w:after="0" w:line="240" w:lineRule="auto"/>
              <w:jc w:val="center"/>
              <w:rPr>
                <w:noProof/>
              </w:rPr>
            </w:pPr>
            <w:r>
              <w:rPr>
                <w:noProof/>
              </w:rPr>
              <w:t>ČETVRTO TROMJESEČJE</w:t>
            </w:r>
          </w:p>
        </w:tc>
        <w:tc>
          <w:tcPr>
            <w:tcW w:w="673" w:type="dxa"/>
            <w:shd w:val="clear" w:color="auto" w:fill="C6EFCE"/>
            <w:vAlign w:val="center"/>
          </w:tcPr>
          <w:p w14:paraId="50A36B92" w14:textId="77777777" w:rsidR="00615E2D" w:rsidRDefault="00C83E46">
            <w:pPr>
              <w:pStyle w:val="P68B1DB1-Normal15"/>
              <w:spacing w:after="0" w:line="240" w:lineRule="auto"/>
              <w:jc w:val="center"/>
              <w:rPr>
                <w:noProof/>
              </w:rPr>
            </w:pPr>
            <w:r>
              <w:rPr>
                <w:noProof/>
              </w:rPr>
              <w:t>2025</w:t>
            </w:r>
          </w:p>
        </w:tc>
        <w:tc>
          <w:tcPr>
            <w:tcW w:w="4401" w:type="dxa"/>
            <w:shd w:val="clear" w:color="auto" w:fill="C6EFCE"/>
            <w:vAlign w:val="center"/>
          </w:tcPr>
          <w:p w14:paraId="28629F5A" w14:textId="77777777" w:rsidR="00615E2D" w:rsidRDefault="00C83E46">
            <w:pPr>
              <w:pStyle w:val="P68B1DB1-Normal15"/>
              <w:spacing w:line="240" w:lineRule="auto"/>
              <w:rPr>
                <w:noProof/>
              </w:rPr>
            </w:pPr>
            <w:r>
              <w:rPr>
                <w:noProof/>
              </w:rPr>
              <w:t>Odabrane predložene mjere provode se na temelju procjene potencijala zadržavanja vode, prethodnih studija izvedivosti i detaljnih projekata.</w:t>
            </w:r>
          </w:p>
        </w:tc>
      </w:tr>
      <w:tr w:rsidR="00615E2D" w14:paraId="2F3C8646" w14:textId="77777777">
        <w:trPr>
          <w:trHeight w:val="320"/>
        </w:trPr>
        <w:tc>
          <w:tcPr>
            <w:tcW w:w="674" w:type="dxa"/>
            <w:shd w:val="clear" w:color="auto" w:fill="C6EFCE"/>
            <w:vAlign w:val="center"/>
          </w:tcPr>
          <w:p w14:paraId="3374BC07" w14:textId="49199156" w:rsidR="00615E2D" w:rsidRDefault="00C83E46">
            <w:pPr>
              <w:pStyle w:val="P68B1DB1-Normal15"/>
              <w:spacing w:after="0" w:line="240" w:lineRule="auto"/>
              <w:jc w:val="center"/>
              <w:rPr>
                <w:noProof/>
              </w:rPr>
            </w:pPr>
            <w:r>
              <w:rPr>
                <w:noProof/>
              </w:rPr>
              <w:t>262</w:t>
            </w:r>
          </w:p>
        </w:tc>
        <w:tc>
          <w:tcPr>
            <w:tcW w:w="1343" w:type="dxa"/>
            <w:shd w:val="clear" w:color="auto" w:fill="C6EFCE"/>
            <w:vAlign w:val="center"/>
          </w:tcPr>
          <w:p w14:paraId="4505868D" w14:textId="3CA4531F" w:rsidR="00615E2D" w:rsidRDefault="00C83E46">
            <w:pPr>
              <w:pStyle w:val="P68B1DB1-Normal15"/>
              <w:spacing w:line="240" w:lineRule="auto"/>
              <w:rPr>
                <w:noProof/>
              </w:rPr>
            </w:pPr>
            <w:r>
              <w:rPr>
                <w:noProof/>
              </w:rPr>
              <w:t xml:space="preserve">Reforma br. 2: Uspostava krajobrazne politike i planiranja </w:t>
            </w:r>
          </w:p>
          <w:p w14:paraId="205E1FBA" w14:textId="0007B1C2" w:rsidR="00615E2D" w:rsidRDefault="00615E2D">
            <w:pPr>
              <w:spacing w:after="0" w:line="240" w:lineRule="auto"/>
              <w:rPr>
                <w:rFonts w:eastAsia="Times New Roman"/>
                <w:noProof/>
                <w:color w:val="004300"/>
                <w:sz w:val="18"/>
              </w:rPr>
            </w:pPr>
          </w:p>
        </w:tc>
        <w:tc>
          <w:tcPr>
            <w:tcW w:w="1134" w:type="dxa"/>
            <w:shd w:val="clear" w:color="auto" w:fill="C6EFCE"/>
            <w:vAlign w:val="center"/>
          </w:tcPr>
          <w:p w14:paraId="55F3EB79" w14:textId="30152831" w:rsidR="00615E2D" w:rsidRDefault="00C83E46">
            <w:pPr>
              <w:pStyle w:val="P68B1DB1-Normal15"/>
              <w:spacing w:after="0" w:line="240" w:lineRule="auto"/>
              <w:rPr>
                <w:noProof/>
              </w:rPr>
            </w:pPr>
            <w:r>
              <w:rPr>
                <w:noProof/>
              </w:rPr>
              <w:t>Prekretnica</w:t>
            </w:r>
          </w:p>
        </w:tc>
        <w:tc>
          <w:tcPr>
            <w:tcW w:w="1343" w:type="dxa"/>
            <w:shd w:val="clear" w:color="auto" w:fill="C6EFCE"/>
            <w:vAlign w:val="center"/>
          </w:tcPr>
          <w:p w14:paraId="099D770C" w14:textId="351FA277" w:rsidR="00615E2D" w:rsidRDefault="00C83E46">
            <w:pPr>
              <w:pStyle w:val="P68B1DB1-Normal11"/>
              <w:spacing w:after="0" w:line="240" w:lineRule="auto"/>
              <w:rPr>
                <w:noProof/>
                <w:color w:val="004300"/>
              </w:rPr>
            </w:pPr>
            <w:r>
              <w:rPr>
                <w:noProof/>
              </w:rPr>
              <w:t>Donošenje integrirane krajobrazne politike i planiranja</w:t>
            </w:r>
          </w:p>
        </w:tc>
        <w:tc>
          <w:tcPr>
            <w:tcW w:w="1209" w:type="dxa"/>
            <w:shd w:val="clear" w:color="auto" w:fill="C6EFCE"/>
            <w:vAlign w:val="center"/>
          </w:tcPr>
          <w:p w14:paraId="72F39FE9" w14:textId="7AEBE8EE" w:rsidR="00615E2D" w:rsidRDefault="00C83E46">
            <w:pPr>
              <w:pStyle w:val="P68B1DB1-Normal11"/>
              <w:spacing w:after="0" w:line="240" w:lineRule="auto"/>
              <w:rPr>
                <w:noProof/>
              </w:rPr>
            </w:pPr>
            <w:r>
              <w:rPr>
                <w:noProof/>
              </w:rPr>
              <w:t xml:space="preserve">Donošenje politike krajobraza i objavljivanje smjernica za krajolik </w:t>
            </w:r>
          </w:p>
          <w:p w14:paraId="78ECC506" w14:textId="7AEBE8EE" w:rsidR="00615E2D" w:rsidRDefault="00615E2D">
            <w:pPr>
              <w:spacing w:after="0" w:line="240" w:lineRule="auto"/>
              <w:rPr>
                <w:rFonts w:eastAsia="Times New Roman"/>
                <w:noProof/>
                <w:color w:val="004300"/>
                <w:sz w:val="18"/>
              </w:rPr>
            </w:pPr>
          </w:p>
        </w:tc>
        <w:tc>
          <w:tcPr>
            <w:tcW w:w="945" w:type="dxa"/>
            <w:shd w:val="clear" w:color="auto" w:fill="C6EFCE"/>
            <w:vAlign w:val="center"/>
          </w:tcPr>
          <w:p w14:paraId="2E4F63D4" w14:textId="77777777" w:rsidR="00615E2D" w:rsidRDefault="00615E2D">
            <w:pPr>
              <w:spacing w:after="0" w:line="240" w:lineRule="auto"/>
              <w:rPr>
                <w:rFonts w:eastAsia="Times New Roman"/>
                <w:noProof/>
                <w:color w:val="004300"/>
                <w:sz w:val="18"/>
              </w:rPr>
            </w:pPr>
          </w:p>
        </w:tc>
        <w:tc>
          <w:tcPr>
            <w:tcW w:w="1024" w:type="dxa"/>
            <w:shd w:val="clear" w:color="auto" w:fill="C6EFCE"/>
            <w:vAlign w:val="center"/>
          </w:tcPr>
          <w:p w14:paraId="36B57E2E" w14:textId="77777777" w:rsidR="00615E2D" w:rsidRDefault="00615E2D">
            <w:pPr>
              <w:spacing w:after="0" w:line="240" w:lineRule="auto"/>
              <w:jc w:val="center"/>
              <w:rPr>
                <w:rFonts w:eastAsia="Times New Roman"/>
                <w:noProof/>
                <w:color w:val="004300"/>
                <w:sz w:val="18"/>
              </w:rPr>
            </w:pPr>
          </w:p>
        </w:tc>
        <w:tc>
          <w:tcPr>
            <w:tcW w:w="816" w:type="dxa"/>
            <w:shd w:val="clear" w:color="auto" w:fill="C6EFCE"/>
            <w:vAlign w:val="center"/>
          </w:tcPr>
          <w:p w14:paraId="6BB66D18" w14:textId="77777777" w:rsidR="00615E2D" w:rsidRDefault="00615E2D">
            <w:pPr>
              <w:spacing w:after="0" w:line="240" w:lineRule="auto"/>
              <w:rPr>
                <w:rFonts w:eastAsia="Times New Roman"/>
                <w:noProof/>
                <w:color w:val="004300"/>
                <w:sz w:val="18"/>
              </w:rPr>
            </w:pPr>
          </w:p>
        </w:tc>
        <w:tc>
          <w:tcPr>
            <w:tcW w:w="1077" w:type="dxa"/>
            <w:shd w:val="clear" w:color="auto" w:fill="C6EFCE"/>
            <w:vAlign w:val="center"/>
          </w:tcPr>
          <w:p w14:paraId="50842F5F" w14:textId="2A746967" w:rsidR="00615E2D" w:rsidRDefault="00C83E46">
            <w:pPr>
              <w:pStyle w:val="P68B1DB1-Normal15"/>
              <w:spacing w:after="0" w:line="240" w:lineRule="auto"/>
              <w:jc w:val="center"/>
              <w:rPr>
                <w:noProof/>
              </w:rPr>
            </w:pPr>
            <w:r>
              <w:rPr>
                <w:noProof/>
              </w:rPr>
              <w:t>TROMJESEČJE</w:t>
            </w:r>
          </w:p>
        </w:tc>
        <w:tc>
          <w:tcPr>
            <w:tcW w:w="673" w:type="dxa"/>
            <w:shd w:val="clear" w:color="auto" w:fill="C6EFCE"/>
            <w:vAlign w:val="center"/>
          </w:tcPr>
          <w:p w14:paraId="7A1A40E0" w14:textId="577A3F67" w:rsidR="00615E2D" w:rsidRDefault="00C83E46">
            <w:pPr>
              <w:pStyle w:val="P68B1DB1-Normal15"/>
              <w:spacing w:after="0" w:line="240" w:lineRule="auto"/>
              <w:jc w:val="center"/>
              <w:rPr>
                <w:noProof/>
              </w:rPr>
            </w:pPr>
            <w:r>
              <w:rPr>
                <w:noProof/>
              </w:rPr>
              <w:t>2026</w:t>
            </w:r>
          </w:p>
        </w:tc>
        <w:tc>
          <w:tcPr>
            <w:tcW w:w="4401" w:type="dxa"/>
            <w:shd w:val="clear" w:color="auto" w:fill="C6EFCE"/>
            <w:vAlign w:val="center"/>
          </w:tcPr>
          <w:p w14:paraId="4B728A62" w14:textId="7C0902DE" w:rsidR="00615E2D" w:rsidRDefault="00C83E46">
            <w:pPr>
              <w:pStyle w:val="P68B1DB1-Normal15"/>
              <w:spacing w:line="240" w:lineRule="auto"/>
              <w:jc w:val="both"/>
              <w:rPr>
                <w:noProof/>
              </w:rPr>
            </w:pPr>
            <w:r>
              <w:rPr>
                <w:noProof/>
              </w:rPr>
              <w:t xml:space="preserve">Vlada donosi dokument o integriranoj politici krajobraza. Uključivanje dionika dio je oblikovanja politike. Politikom će se stvoriti poticajno okruženje za održivo upravljanje zemljištem u javnom i privatnom sektoru, posebno prevladavanjem administrativnih i sektorskih prepreka s pomoću mehanizama suradničkog upravljanja. Obuhvaća barem sljedeće teme: bioraznolikost, gospodarenje vodama, šumarstvo i kulturna baština. </w:t>
            </w:r>
          </w:p>
          <w:p w14:paraId="4E759203" w14:textId="00BFE9BA" w:rsidR="00615E2D" w:rsidRDefault="00C83E46">
            <w:pPr>
              <w:pStyle w:val="P68B1DB1-Normal15"/>
              <w:spacing w:after="0" w:line="240" w:lineRule="auto"/>
              <w:rPr>
                <w:noProof/>
              </w:rPr>
            </w:pPr>
            <w:r>
              <w:rPr>
                <w:noProof/>
              </w:rPr>
              <w:t xml:space="preserve">Na temelju te politike na internetskoj platformi dostupnoj javnosti i javnim službenicima objavljuje se metodologija kojom se opisuje pristup očuvanju krajolika i upravljanju krajobrazom na nacionalnoj, regionalnoj i lokalnoj razini.   </w:t>
            </w:r>
          </w:p>
          <w:p w14:paraId="5C37CAC2" w14:textId="5D762769" w:rsidR="00615E2D" w:rsidRDefault="00C83E46">
            <w:pPr>
              <w:pStyle w:val="P68B1DB1-Normal15"/>
              <w:spacing w:line="240" w:lineRule="auto"/>
              <w:rPr>
                <w:noProof/>
              </w:rPr>
            </w:pPr>
            <w:r>
              <w:rPr>
                <w:noProof/>
              </w:rPr>
              <w:t>Uspostavljaju se alati za praćenje primjene znanja u praksi i dovršavaju tri pilot-projekta.</w:t>
            </w:r>
          </w:p>
        </w:tc>
      </w:tr>
    </w:tbl>
    <w:p w14:paraId="698B8F64" w14:textId="77777777" w:rsidR="00615E2D" w:rsidRDefault="00615E2D">
      <w:pPr>
        <w:spacing w:before="0" w:after="0" w:line="240" w:lineRule="auto"/>
        <w:rPr>
          <w:noProof/>
        </w:rPr>
        <w:sectPr w:rsidR="00615E2D" w:rsidSect="00786C7E">
          <w:headerReference w:type="even" r:id="rId252"/>
          <w:headerReference w:type="default" r:id="rId253"/>
          <w:footerReference w:type="even" r:id="rId254"/>
          <w:footerReference w:type="default" r:id="rId255"/>
          <w:headerReference w:type="first" r:id="rId256"/>
          <w:footerReference w:type="first" r:id="rId257"/>
          <w:pgSz w:w="16839" w:h="11907" w:orient="landscape"/>
          <w:pgMar w:top="1134" w:right="1134" w:bottom="1134" w:left="1134" w:header="567" w:footer="567" w:gutter="0"/>
          <w:cols w:space="708"/>
          <w:docGrid w:linePitch="326"/>
        </w:sectPr>
      </w:pPr>
    </w:p>
    <w:p w14:paraId="2B98D849" w14:textId="0CA28BCF" w:rsidR="00615E2D" w:rsidRDefault="00C83E46">
      <w:pPr>
        <w:pStyle w:val="P68B1DB1-Normal7"/>
        <w:keepNext/>
        <w:tabs>
          <w:tab w:val="left" w:pos="850"/>
        </w:tabs>
        <w:spacing w:line="240" w:lineRule="auto"/>
        <w:jc w:val="both"/>
        <w:outlineLvl w:val="0"/>
        <w:rPr>
          <w:smallCaps/>
          <w:noProof/>
        </w:rPr>
      </w:pPr>
      <w:r>
        <w:rPr>
          <w:caps/>
          <w:noProof/>
        </w:rPr>
        <w:t>Q. Sastavnica 2.10</w:t>
      </w:r>
      <w:r>
        <w:rPr>
          <w:smallCaps/>
          <w:noProof/>
        </w:rPr>
        <w:t xml:space="preserve"> Povoljno kućište</w:t>
      </w:r>
    </w:p>
    <w:p w14:paraId="21AE3579" w14:textId="2A8591F9" w:rsidR="00615E2D" w:rsidRDefault="00C83E46">
      <w:pPr>
        <w:keepNext/>
        <w:tabs>
          <w:tab w:val="left" w:pos="850"/>
        </w:tabs>
        <w:spacing w:line="240" w:lineRule="auto"/>
        <w:jc w:val="both"/>
        <w:rPr>
          <w:rFonts w:eastAsia="Times New Roman"/>
          <w:noProof/>
          <w:color w:val="000000" w:themeColor="text1"/>
        </w:rPr>
      </w:pPr>
      <w:r>
        <w:rPr>
          <w:noProof/>
        </w:rPr>
        <w:t xml:space="preserve">Ta komponenta češkog plana za oporavak i otpornost pridonosi svladavanju </w:t>
      </w:r>
      <w:r>
        <w:rPr>
          <w:rFonts w:eastAsia="Times New Roman"/>
          <w:noProof/>
          <w:color w:val="000000" w:themeColor="text1"/>
        </w:rPr>
        <w:t xml:space="preserve">trenutačne i sve veće krize cjenovne pristupačnosti stambenih nekretnina. Cilj mu je povećati ponudu cjenovno pristupačnog stanovanja pružanjem povlaštenih i podređenih zajmova ulagačima te uspostavom javno-privatnog fonda za zajednička ulaganja za obnovu i izgradnju cjenovno pristupačnog stanovanja. </w:t>
      </w:r>
    </w:p>
    <w:p w14:paraId="6BB31760" w14:textId="5F0E39E8" w:rsidR="00615E2D" w:rsidRDefault="00C83E46">
      <w:pPr>
        <w:pStyle w:val="P68B1DB1-Normal4"/>
        <w:spacing w:line="240" w:lineRule="auto"/>
        <w:rPr>
          <w:noProof/>
          <w:color w:val="000000" w:themeColor="text1"/>
        </w:rPr>
      </w:pPr>
      <w:r>
        <w:rPr>
          <w:noProof/>
        </w:rPr>
        <w:t>Komponenta se sastoji od stambene reforme, savjetodavnog centra za stanovanje i mreže regionalnih savjetodavnih centara za stanovanje te triju financijskih instrumenata usmjerenih na maksimiziranje pristupa financiranju i poticanje privatnog kapitala:</w:t>
      </w:r>
    </w:p>
    <w:p w14:paraId="75B6F81C" w14:textId="527DDAD3" w:rsidR="00615E2D" w:rsidRDefault="00C83E46">
      <w:pPr>
        <w:pStyle w:val="P68B1DB1-ListParagraph39"/>
        <w:numPr>
          <w:ilvl w:val="0"/>
          <w:numId w:val="357"/>
        </w:numPr>
        <w:spacing w:line="240" w:lineRule="auto"/>
        <w:rPr>
          <w:noProof/>
        </w:rPr>
      </w:pPr>
      <w:r>
        <w:rPr>
          <w:noProof/>
        </w:rPr>
        <w:t>Instrument za povlaštene zajmove</w:t>
      </w:r>
    </w:p>
    <w:p w14:paraId="09E5B4FD" w14:textId="4140C252" w:rsidR="00615E2D" w:rsidRDefault="00C83E46">
      <w:pPr>
        <w:pStyle w:val="P68B1DB1-ListParagraph39"/>
        <w:numPr>
          <w:ilvl w:val="0"/>
          <w:numId w:val="357"/>
        </w:numPr>
        <w:spacing w:line="240" w:lineRule="auto"/>
        <w:rPr>
          <w:noProof/>
        </w:rPr>
      </w:pPr>
      <w:r>
        <w:rPr>
          <w:noProof/>
        </w:rPr>
        <w:t>Instrument podređenih zajmova</w:t>
      </w:r>
    </w:p>
    <w:p w14:paraId="74F2F908" w14:textId="3D248C91" w:rsidR="00615E2D" w:rsidRDefault="00C83E46">
      <w:pPr>
        <w:pStyle w:val="P68B1DB1-ListParagraph39"/>
        <w:numPr>
          <w:ilvl w:val="0"/>
          <w:numId w:val="357"/>
        </w:numPr>
        <w:spacing w:line="240" w:lineRule="auto"/>
        <w:rPr>
          <w:noProof/>
        </w:rPr>
      </w:pPr>
      <w:r>
        <w:rPr>
          <w:noProof/>
        </w:rPr>
        <w:t>Javno-privatni fond za zajednička ulaganja</w:t>
      </w:r>
    </w:p>
    <w:p w14:paraId="2110F20C" w14:textId="25B5C851" w:rsidR="00615E2D" w:rsidRDefault="00C83E46">
      <w:pPr>
        <w:pStyle w:val="P68B1DB1-Normal4"/>
        <w:spacing w:line="240" w:lineRule="auto"/>
        <w:jc w:val="both"/>
        <w:rPr>
          <w:noProof/>
          <w:color w:val="000000" w:themeColor="text1"/>
        </w:rPr>
      </w:pPr>
      <w:r>
        <w:rPr>
          <w:noProof/>
        </w:rPr>
        <w:t>Komponentom se podupire odgovor na preporuke za pojedine zemlje o jačanju pružanja socijalnog i cjenovno pristupačnog stanovanja, među ostalim donošenjem posebnog zakonodavnog okvira za socijalno stanovanje i boljom koordinacijom među različitim tijelima (preporuka za pojedinu zemlju br. 3 2022.).</w:t>
      </w:r>
    </w:p>
    <w:p w14:paraId="01A59DBC" w14:textId="028D11CB"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7C3ABE8C" w14:textId="028D11CB" w:rsidR="00615E2D" w:rsidRDefault="00615E2D">
      <w:pPr>
        <w:widowControl w:val="0"/>
        <w:tabs>
          <w:tab w:val="left" w:pos="965"/>
          <w:tab w:val="left" w:pos="966"/>
        </w:tabs>
        <w:spacing w:before="0" w:after="0" w:line="276" w:lineRule="auto"/>
        <w:ind w:right="117"/>
        <w:contextualSpacing/>
        <w:jc w:val="both"/>
        <w:rPr>
          <w:rFonts w:eastAsia="Times New Roman"/>
          <w:b/>
          <w:noProof/>
          <w:color w:val="000000" w:themeColor="text1"/>
          <w:u w:val="single"/>
        </w:rPr>
      </w:pPr>
    </w:p>
    <w:p w14:paraId="2E3F7695" w14:textId="028D11CB" w:rsidR="00615E2D" w:rsidRDefault="00C83E46">
      <w:pPr>
        <w:pStyle w:val="P68B1DB1-Normal33"/>
        <w:widowControl w:val="0"/>
        <w:tabs>
          <w:tab w:val="left" w:pos="965"/>
          <w:tab w:val="left" w:pos="966"/>
        </w:tabs>
        <w:spacing w:before="0" w:after="0" w:line="276" w:lineRule="auto"/>
        <w:ind w:right="117"/>
        <w:contextualSpacing/>
        <w:jc w:val="both"/>
        <w:rPr>
          <w:noProof/>
        </w:rPr>
      </w:pPr>
      <w:r>
        <w:rPr>
          <w:noProof/>
        </w:rPr>
        <w:t>Q.1. Opis reformi i ulaganja za programe bespovratne financijske potpore</w:t>
      </w:r>
    </w:p>
    <w:p w14:paraId="272E4205" w14:textId="2AFA9D37" w:rsidR="00615E2D" w:rsidRDefault="00C83E46">
      <w:pPr>
        <w:pStyle w:val="P68B1DB1-Normal18"/>
        <w:spacing w:line="240" w:lineRule="auto"/>
        <w:jc w:val="both"/>
        <w:rPr>
          <w:noProof/>
        </w:rPr>
      </w:pPr>
      <w:r>
        <w:rPr>
          <w:noProof/>
        </w:rPr>
        <w:t xml:space="preserve">Reforma 1.: </w:t>
      </w:r>
    </w:p>
    <w:p w14:paraId="47919A39" w14:textId="1F9702C4" w:rsidR="00615E2D" w:rsidRDefault="00C83E46">
      <w:pPr>
        <w:pStyle w:val="P68B1DB1-Normal3"/>
        <w:spacing w:line="240" w:lineRule="auto"/>
        <w:jc w:val="both"/>
        <w:rPr>
          <w:noProof/>
          <w:color w:val="000000" w:themeColor="text1"/>
        </w:rPr>
        <w:sectPr w:rsidR="00615E2D" w:rsidSect="00786C7E">
          <w:headerReference w:type="even" r:id="rId258"/>
          <w:headerReference w:type="default" r:id="rId259"/>
          <w:footerReference w:type="even" r:id="rId260"/>
          <w:footerReference w:type="default" r:id="rId261"/>
          <w:headerReference w:type="first" r:id="rId262"/>
          <w:footerReference w:type="first" r:id="rId263"/>
          <w:pgSz w:w="11907" w:h="16839"/>
          <w:pgMar w:top="1134" w:right="1134" w:bottom="1134" w:left="1134" w:header="567" w:footer="567" w:gutter="0"/>
          <w:cols w:space="708"/>
          <w:docGrid w:linePitch="326"/>
        </w:sectPr>
      </w:pPr>
      <w:r>
        <w:rPr>
          <w:noProof/>
          <w:color w:val="000000" w:themeColor="text1"/>
        </w:rPr>
        <w:t xml:space="preserve">Cilj je reforme povećati cjenovnu pristupačnost stanovanja donošenjem i provedbom modernog i uravnoteženog </w:t>
      </w:r>
      <w:r>
        <w:rPr>
          <w:noProof/>
        </w:rPr>
        <w:t xml:space="preserve">zakonodavnog okvira. </w:t>
      </w:r>
      <w:r>
        <w:rPr>
          <w:noProof/>
          <w:color w:val="000000" w:themeColor="text1"/>
        </w:rPr>
        <w:t>Kao dio reforme, na snagu stupa Zakon o cjenovno pristupačnom stanovanju.</w:t>
      </w:r>
    </w:p>
    <w:p w14:paraId="41781DD1" w14:textId="12797B13" w:rsidR="00615E2D" w:rsidRDefault="00C83E46">
      <w:pPr>
        <w:pStyle w:val="P68B1DB1-Normal5"/>
        <w:rPr>
          <w:noProof/>
        </w:rPr>
      </w:pPr>
      <w:r>
        <w:rPr>
          <w:noProof/>
        </w:rPr>
        <w:t>Q.2. Ključne etape, ciljne vrijednosti i vremenski raspored za praćenje i provedbu programa bespovratne financijske potpore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40"/>
        <w:gridCol w:w="1508"/>
        <w:gridCol w:w="1065"/>
        <w:gridCol w:w="1509"/>
        <w:gridCol w:w="1677"/>
        <w:gridCol w:w="967"/>
        <w:gridCol w:w="967"/>
        <w:gridCol w:w="1013"/>
        <w:gridCol w:w="1013"/>
        <w:gridCol w:w="646"/>
        <w:gridCol w:w="4016"/>
      </w:tblGrid>
      <w:tr w:rsidR="00615E2D" w14:paraId="58B5A94E" w14:textId="77777777">
        <w:trPr>
          <w:trHeight w:val="672"/>
          <w:tblHeader/>
          <w:jc w:val="center"/>
        </w:trPr>
        <w:tc>
          <w:tcPr>
            <w:tcW w:w="675" w:type="dxa"/>
            <w:vMerge w:val="restart"/>
            <w:shd w:val="clear" w:color="auto" w:fill="BDD7EE"/>
            <w:vAlign w:val="center"/>
            <w:hideMark/>
          </w:tcPr>
          <w:p w14:paraId="4CEBDAC7" w14:textId="77777777" w:rsidR="00615E2D" w:rsidRDefault="00C83E46">
            <w:pPr>
              <w:pStyle w:val="P68B1DB1-Normal9"/>
              <w:spacing w:before="0" w:after="0" w:line="240" w:lineRule="auto"/>
              <w:jc w:val="center"/>
              <w:rPr>
                <w:noProof/>
              </w:rPr>
            </w:pPr>
            <w:r>
              <w:rPr>
                <w:noProof/>
              </w:rPr>
              <w:t>Sljedeće NUM.</w:t>
            </w:r>
          </w:p>
        </w:tc>
        <w:tc>
          <w:tcPr>
            <w:tcW w:w="1614" w:type="dxa"/>
            <w:vMerge w:val="restart"/>
            <w:shd w:val="clear" w:color="auto" w:fill="BDD7EE"/>
            <w:vAlign w:val="center"/>
            <w:hideMark/>
          </w:tcPr>
          <w:p w14:paraId="0F34E088"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7A968BE2" w14:textId="77777777" w:rsidR="00615E2D" w:rsidRDefault="00C83E46">
            <w:pPr>
              <w:pStyle w:val="P68B1DB1-Normal9"/>
              <w:spacing w:before="0" w:after="0" w:line="240" w:lineRule="auto"/>
              <w:jc w:val="center"/>
              <w:rPr>
                <w:noProof/>
              </w:rPr>
            </w:pPr>
            <w:r>
              <w:rPr>
                <w:noProof/>
              </w:rPr>
              <w:t>Ključna etapa/ciljna vrijednost</w:t>
            </w:r>
          </w:p>
        </w:tc>
        <w:tc>
          <w:tcPr>
            <w:tcW w:w="1614" w:type="dxa"/>
            <w:vMerge w:val="restart"/>
            <w:shd w:val="clear" w:color="auto" w:fill="BDD7EE"/>
            <w:vAlign w:val="center"/>
            <w:hideMark/>
          </w:tcPr>
          <w:p w14:paraId="7C814C11" w14:textId="77777777" w:rsidR="00615E2D" w:rsidRDefault="00C83E46">
            <w:pPr>
              <w:pStyle w:val="P68B1DB1-Normal9"/>
              <w:spacing w:before="0" w:after="0" w:line="240" w:lineRule="auto"/>
              <w:jc w:val="center"/>
              <w:rPr>
                <w:noProof/>
              </w:rPr>
            </w:pPr>
            <w:r>
              <w:rPr>
                <w:noProof/>
              </w:rPr>
              <w:t>Ime</w:t>
            </w:r>
          </w:p>
        </w:tc>
        <w:tc>
          <w:tcPr>
            <w:tcW w:w="1796" w:type="dxa"/>
            <w:vMerge w:val="restart"/>
            <w:shd w:val="clear" w:color="auto" w:fill="BDD7EE"/>
            <w:vAlign w:val="center"/>
            <w:hideMark/>
          </w:tcPr>
          <w:p w14:paraId="075028D5"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2601" w:type="dxa"/>
            <w:gridSpan w:val="3"/>
            <w:shd w:val="clear" w:color="auto" w:fill="BDD7EE"/>
            <w:vAlign w:val="center"/>
            <w:hideMark/>
          </w:tcPr>
          <w:p w14:paraId="293B2236"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361" w:type="dxa"/>
            <w:gridSpan w:val="2"/>
            <w:shd w:val="clear" w:color="auto" w:fill="BDD7EE"/>
            <w:vAlign w:val="center"/>
            <w:hideMark/>
          </w:tcPr>
          <w:p w14:paraId="5C9C393F"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329" w:type="dxa"/>
            <w:vMerge w:val="restart"/>
            <w:shd w:val="clear" w:color="auto" w:fill="BDD7EE"/>
            <w:vAlign w:val="center"/>
            <w:hideMark/>
          </w:tcPr>
          <w:p w14:paraId="704D1899"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163B71DD" w14:textId="77777777">
        <w:trPr>
          <w:trHeight w:val="458"/>
          <w:tblHeader/>
          <w:jc w:val="center"/>
        </w:trPr>
        <w:tc>
          <w:tcPr>
            <w:tcW w:w="675" w:type="dxa"/>
            <w:vMerge/>
            <w:vAlign w:val="center"/>
            <w:hideMark/>
          </w:tcPr>
          <w:p w14:paraId="4C2CFBC3" w14:textId="77777777" w:rsidR="00615E2D" w:rsidRDefault="00615E2D">
            <w:pPr>
              <w:spacing w:before="0" w:after="0" w:line="240" w:lineRule="auto"/>
              <w:rPr>
                <w:rFonts w:eastAsia="Times New Roman"/>
                <w:b/>
                <w:noProof/>
                <w:sz w:val="18"/>
              </w:rPr>
            </w:pPr>
          </w:p>
        </w:tc>
        <w:tc>
          <w:tcPr>
            <w:tcW w:w="1614" w:type="dxa"/>
            <w:vMerge/>
            <w:vAlign w:val="center"/>
            <w:hideMark/>
          </w:tcPr>
          <w:p w14:paraId="74C34D4A" w14:textId="77777777" w:rsidR="00615E2D" w:rsidRDefault="00615E2D">
            <w:pPr>
              <w:spacing w:before="0" w:after="0" w:line="240" w:lineRule="auto"/>
              <w:rPr>
                <w:rFonts w:eastAsia="Times New Roman"/>
                <w:b/>
                <w:noProof/>
                <w:sz w:val="18"/>
              </w:rPr>
            </w:pPr>
          </w:p>
        </w:tc>
        <w:tc>
          <w:tcPr>
            <w:tcW w:w="1134" w:type="dxa"/>
            <w:vMerge/>
            <w:vAlign w:val="center"/>
            <w:hideMark/>
          </w:tcPr>
          <w:p w14:paraId="03790DD7" w14:textId="77777777" w:rsidR="00615E2D" w:rsidRDefault="00615E2D">
            <w:pPr>
              <w:spacing w:before="0" w:after="0" w:line="240" w:lineRule="auto"/>
              <w:rPr>
                <w:rFonts w:eastAsia="Times New Roman"/>
                <w:b/>
                <w:noProof/>
                <w:sz w:val="18"/>
              </w:rPr>
            </w:pPr>
          </w:p>
        </w:tc>
        <w:tc>
          <w:tcPr>
            <w:tcW w:w="1614" w:type="dxa"/>
            <w:vMerge/>
            <w:vAlign w:val="center"/>
            <w:hideMark/>
          </w:tcPr>
          <w:p w14:paraId="5614B19E" w14:textId="77777777" w:rsidR="00615E2D" w:rsidRDefault="00615E2D">
            <w:pPr>
              <w:spacing w:before="0" w:after="0" w:line="240" w:lineRule="auto"/>
              <w:rPr>
                <w:rFonts w:eastAsia="Times New Roman"/>
                <w:b/>
                <w:noProof/>
                <w:sz w:val="18"/>
              </w:rPr>
            </w:pPr>
          </w:p>
        </w:tc>
        <w:tc>
          <w:tcPr>
            <w:tcW w:w="1796" w:type="dxa"/>
            <w:vMerge/>
            <w:vAlign w:val="center"/>
            <w:hideMark/>
          </w:tcPr>
          <w:p w14:paraId="72EEE34C" w14:textId="77777777" w:rsidR="00615E2D" w:rsidRDefault="00615E2D">
            <w:pPr>
              <w:spacing w:before="0" w:after="0" w:line="240" w:lineRule="auto"/>
              <w:rPr>
                <w:rFonts w:eastAsia="Times New Roman"/>
                <w:b/>
                <w:noProof/>
                <w:sz w:val="18"/>
              </w:rPr>
            </w:pPr>
          </w:p>
        </w:tc>
        <w:tc>
          <w:tcPr>
            <w:tcW w:w="1027" w:type="dxa"/>
            <w:shd w:val="clear" w:color="auto" w:fill="BDD7EE"/>
            <w:vAlign w:val="center"/>
            <w:hideMark/>
          </w:tcPr>
          <w:p w14:paraId="5192BFD6" w14:textId="77777777" w:rsidR="00615E2D" w:rsidRDefault="00C83E46">
            <w:pPr>
              <w:pStyle w:val="P68B1DB1-Normal9"/>
              <w:spacing w:before="0" w:after="0" w:line="240" w:lineRule="auto"/>
              <w:jc w:val="center"/>
              <w:rPr>
                <w:noProof/>
              </w:rPr>
            </w:pPr>
            <w:r>
              <w:rPr>
                <w:noProof/>
              </w:rPr>
              <w:t>Jedinica mjere</w:t>
            </w:r>
          </w:p>
        </w:tc>
        <w:tc>
          <w:tcPr>
            <w:tcW w:w="1027" w:type="dxa"/>
            <w:shd w:val="clear" w:color="auto" w:fill="BDD7EE"/>
            <w:vAlign w:val="center"/>
            <w:hideMark/>
          </w:tcPr>
          <w:p w14:paraId="05D65DDF" w14:textId="77777777" w:rsidR="00615E2D" w:rsidRDefault="00C83E46">
            <w:pPr>
              <w:pStyle w:val="P68B1DB1-Normal9"/>
              <w:spacing w:before="0" w:after="0" w:line="240" w:lineRule="auto"/>
              <w:jc w:val="center"/>
              <w:rPr>
                <w:noProof/>
              </w:rPr>
            </w:pPr>
            <w:r>
              <w:rPr>
                <w:noProof/>
              </w:rPr>
              <w:t xml:space="preserve">Osnovna vrijednost </w:t>
            </w:r>
          </w:p>
        </w:tc>
        <w:tc>
          <w:tcPr>
            <w:tcW w:w="1077" w:type="dxa"/>
            <w:shd w:val="clear" w:color="auto" w:fill="BDD7EE"/>
            <w:vAlign w:val="center"/>
            <w:hideMark/>
          </w:tcPr>
          <w:p w14:paraId="0BDBE16C" w14:textId="77777777" w:rsidR="00615E2D" w:rsidRDefault="00C83E46">
            <w:pPr>
              <w:pStyle w:val="P68B1DB1-Normal9"/>
              <w:spacing w:before="0" w:after="0" w:line="240" w:lineRule="auto"/>
              <w:jc w:val="center"/>
              <w:rPr>
                <w:noProof/>
              </w:rPr>
            </w:pPr>
            <w:r>
              <w:rPr>
                <w:noProof/>
              </w:rPr>
              <w:t xml:space="preserve">Cilj </w:t>
            </w:r>
          </w:p>
        </w:tc>
        <w:tc>
          <w:tcPr>
            <w:tcW w:w="1077" w:type="dxa"/>
            <w:shd w:val="clear" w:color="auto" w:fill="BDD7EE"/>
            <w:vAlign w:val="center"/>
            <w:hideMark/>
          </w:tcPr>
          <w:p w14:paraId="0D63A290" w14:textId="77777777" w:rsidR="00615E2D" w:rsidRDefault="00C83E46">
            <w:pPr>
              <w:pStyle w:val="P68B1DB1-Normal9"/>
              <w:spacing w:before="0" w:after="0" w:line="240" w:lineRule="auto"/>
              <w:jc w:val="center"/>
              <w:rPr>
                <w:noProof/>
              </w:rPr>
            </w:pPr>
            <w:r>
              <w:rPr>
                <w:noProof/>
              </w:rPr>
              <w:t>Tromjesečje</w:t>
            </w:r>
          </w:p>
        </w:tc>
        <w:tc>
          <w:tcPr>
            <w:tcW w:w="680" w:type="dxa"/>
            <w:shd w:val="clear" w:color="auto" w:fill="BDD7EE"/>
            <w:vAlign w:val="center"/>
            <w:hideMark/>
          </w:tcPr>
          <w:p w14:paraId="426015E0" w14:textId="77777777" w:rsidR="00615E2D" w:rsidRDefault="00C83E46">
            <w:pPr>
              <w:pStyle w:val="P68B1DB1-Normal9"/>
              <w:spacing w:before="0" w:after="0" w:line="240" w:lineRule="auto"/>
              <w:jc w:val="center"/>
              <w:rPr>
                <w:noProof/>
              </w:rPr>
            </w:pPr>
            <w:r>
              <w:rPr>
                <w:noProof/>
              </w:rPr>
              <w:t>Godina</w:t>
            </w:r>
          </w:p>
        </w:tc>
        <w:tc>
          <w:tcPr>
            <w:tcW w:w="4329" w:type="dxa"/>
            <w:vMerge/>
            <w:vAlign w:val="center"/>
            <w:hideMark/>
          </w:tcPr>
          <w:p w14:paraId="7B34089D" w14:textId="77777777" w:rsidR="00615E2D" w:rsidRDefault="00615E2D">
            <w:pPr>
              <w:spacing w:before="0" w:after="0" w:line="240" w:lineRule="auto"/>
              <w:rPr>
                <w:rFonts w:eastAsia="Times New Roman"/>
                <w:b/>
                <w:noProof/>
                <w:sz w:val="18"/>
              </w:rPr>
            </w:pPr>
          </w:p>
        </w:tc>
      </w:tr>
      <w:tr w:rsidR="00615E2D" w14:paraId="43EA954F" w14:textId="77777777">
        <w:trPr>
          <w:trHeight w:val="309"/>
          <w:jc w:val="center"/>
        </w:trPr>
        <w:tc>
          <w:tcPr>
            <w:tcW w:w="675" w:type="dxa"/>
            <w:shd w:val="clear" w:color="auto" w:fill="C6EFCE"/>
            <w:vAlign w:val="center"/>
            <w:hideMark/>
          </w:tcPr>
          <w:p w14:paraId="6B7257D8" w14:textId="44DE4A25" w:rsidR="00615E2D" w:rsidRDefault="00C83E46">
            <w:pPr>
              <w:pStyle w:val="P68B1DB1-Normal11"/>
              <w:spacing w:after="0" w:line="240" w:lineRule="auto"/>
              <w:jc w:val="center"/>
              <w:rPr>
                <w:noProof/>
              </w:rPr>
            </w:pPr>
            <w:r>
              <w:rPr>
                <w:noProof/>
              </w:rPr>
              <w:t>263</w:t>
            </w:r>
          </w:p>
        </w:tc>
        <w:tc>
          <w:tcPr>
            <w:tcW w:w="1614" w:type="dxa"/>
            <w:shd w:val="clear" w:color="auto" w:fill="C6EFCE"/>
            <w:vAlign w:val="center"/>
            <w:hideMark/>
          </w:tcPr>
          <w:p w14:paraId="47DBFFB4" w14:textId="1EDDF60D" w:rsidR="00615E2D" w:rsidRDefault="00C83E46">
            <w:pPr>
              <w:pStyle w:val="P68B1DB1-Normal11"/>
              <w:spacing w:after="0" w:line="240" w:lineRule="auto"/>
              <w:rPr>
                <w:noProof/>
              </w:rPr>
            </w:pPr>
            <w:r>
              <w:rPr>
                <w:noProof/>
              </w:rPr>
              <w:t>Reforma 1.: Stupanje na snagu Zakona o cjenovno pristupačnom stanovanju</w:t>
            </w:r>
          </w:p>
        </w:tc>
        <w:tc>
          <w:tcPr>
            <w:tcW w:w="1134" w:type="dxa"/>
            <w:shd w:val="clear" w:color="auto" w:fill="C6EFCE"/>
            <w:vAlign w:val="center"/>
            <w:hideMark/>
          </w:tcPr>
          <w:p w14:paraId="7AB6767B" w14:textId="0A40DA3F" w:rsidR="00615E2D" w:rsidRDefault="00C83E46">
            <w:pPr>
              <w:pStyle w:val="P68B1DB1-Normal11"/>
              <w:spacing w:after="0" w:line="240" w:lineRule="auto"/>
              <w:rPr>
                <w:noProof/>
              </w:rPr>
            </w:pPr>
            <w:r>
              <w:rPr>
                <w:noProof/>
              </w:rPr>
              <w:t>Prekretnica</w:t>
            </w:r>
          </w:p>
        </w:tc>
        <w:tc>
          <w:tcPr>
            <w:tcW w:w="1614" w:type="dxa"/>
            <w:shd w:val="clear" w:color="auto" w:fill="C6EFCE"/>
            <w:vAlign w:val="center"/>
            <w:hideMark/>
          </w:tcPr>
          <w:p w14:paraId="7E434C6F" w14:textId="625975DA" w:rsidR="00615E2D" w:rsidRDefault="00C83E46">
            <w:pPr>
              <w:pStyle w:val="P68B1DB1-Normal11"/>
              <w:spacing w:after="0" w:line="240" w:lineRule="auto"/>
              <w:rPr>
                <w:noProof/>
              </w:rPr>
            </w:pPr>
            <w:r>
              <w:rPr>
                <w:noProof/>
              </w:rPr>
              <w:t>Zakon o cjenovno pristupačnom stanovanju na snazi</w:t>
            </w:r>
          </w:p>
        </w:tc>
        <w:tc>
          <w:tcPr>
            <w:tcW w:w="1796" w:type="dxa"/>
            <w:shd w:val="clear" w:color="auto" w:fill="C6EFCE"/>
            <w:vAlign w:val="center"/>
            <w:hideMark/>
          </w:tcPr>
          <w:p w14:paraId="66151D79" w14:textId="11DCA1DA" w:rsidR="00615E2D" w:rsidRDefault="00C83E46">
            <w:pPr>
              <w:pStyle w:val="P68B1DB1-Normal11"/>
              <w:spacing w:after="0" w:line="240" w:lineRule="auto"/>
              <w:jc w:val="center"/>
              <w:rPr>
                <w:noProof/>
              </w:rPr>
            </w:pPr>
            <w:r>
              <w:rPr>
                <w:noProof/>
              </w:rPr>
              <w:t>Akt</w:t>
            </w:r>
          </w:p>
        </w:tc>
        <w:tc>
          <w:tcPr>
            <w:tcW w:w="1027" w:type="dxa"/>
            <w:shd w:val="clear" w:color="auto" w:fill="C6EFCE"/>
            <w:vAlign w:val="center"/>
          </w:tcPr>
          <w:p w14:paraId="6364F763" w14:textId="30AFC6F1" w:rsidR="00615E2D" w:rsidRDefault="00C83E46">
            <w:pPr>
              <w:pStyle w:val="P68B1DB1-Normal11"/>
              <w:spacing w:after="0" w:line="240" w:lineRule="auto"/>
              <w:rPr>
                <w:noProof/>
              </w:rPr>
            </w:pPr>
            <w:r>
              <w:rPr>
                <w:noProof/>
              </w:rPr>
              <w:t> </w:t>
            </w:r>
          </w:p>
        </w:tc>
        <w:tc>
          <w:tcPr>
            <w:tcW w:w="1027" w:type="dxa"/>
            <w:shd w:val="clear" w:color="auto" w:fill="C6EFCE"/>
            <w:vAlign w:val="center"/>
          </w:tcPr>
          <w:p w14:paraId="4AE67689" w14:textId="745A12FA" w:rsidR="00615E2D" w:rsidRDefault="00C83E46">
            <w:pPr>
              <w:pStyle w:val="P68B1DB1-Normal11"/>
              <w:spacing w:after="0" w:line="240" w:lineRule="auto"/>
              <w:jc w:val="center"/>
              <w:rPr>
                <w:noProof/>
              </w:rPr>
            </w:pPr>
            <w:r>
              <w:rPr>
                <w:noProof/>
              </w:rPr>
              <w:t> </w:t>
            </w:r>
          </w:p>
        </w:tc>
        <w:tc>
          <w:tcPr>
            <w:tcW w:w="1077" w:type="dxa"/>
            <w:shd w:val="clear" w:color="auto" w:fill="C6EFCE"/>
            <w:vAlign w:val="center"/>
          </w:tcPr>
          <w:p w14:paraId="6EE878FD" w14:textId="3E710536" w:rsidR="00615E2D" w:rsidRDefault="00C83E46">
            <w:pPr>
              <w:pStyle w:val="P68B1DB1-Normal11"/>
              <w:spacing w:after="0" w:line="240" w:lineRule="auto"/>
              <w:jc w:val="center"/>
              <w:rPr>
                <w:noProof/>
              </w:rPr>
            </w:pPr>
            <w:r>
              <w:rPr>
                <w:noProof/>
              </w:rPr>
              <w:t> </w:t>
            </w:r>
          </w:p>
        </w:tc>
        <w:tc>
          <w:tcPr>
            <w:tcW w:w="1077" w:type="dxa"/>
            <w:shd w:val="clear" w:color="auto" w:fill="C6EFCE"/>
            <w:vAlign w:val="center"/>
            <w:hideMark/>
          </w:tcPr>
          <w:p w14:paraId="06766057" w14:textId="5D1FF1BD" w:rsidR="00615E2D" w:rsidRDefault="00C83E46">
            <w:pPr>
              <w:pStyle w:val="P68B1DB1-Normal11"/>
              <w:spacing w:after="0" w:line="240" w:lineRule="auto"/>
              <w:rPr>
                <w:noProof/>
              </w:rPr>
            </w:pPr>
            <w:r>
              <w:rPr>
                <w:noProof/>
              </w:rPr>
              <w:t>TROMJESEČJE</w:t>
            </w:r>
          </w:p>
        </w:tc>
        <w:tc>
          <w:tcPr>
            <w:tcW w:w="680" w:type="dxa"/>
            <w:shd w:val="clear" w:color="auto" w:fill="C6EFCE"/>
            <w:vAlign w:val="center"/>
            <w:hideMark/>
          </w:tcPr>
          <w:p w14:paraId="722F6D15" w14:textId="3A308C52" w:rsidR="00615E2D" w:rsidRDefault="00C83E46">
            <w:pPr>
              <w:pStyle w:val="P68B1DB1-Normal11"/>
              <w:spacing w:after="0" w:line="240" w:lineRule="auto"/>
              <w:rPr>
                <w:noProof/>
              </w:rPr>
            </w:pPr>
            <w:r>
              <w:rPr>
                <w:noProof/>
              </w:rPr>
              <w:t>2025</w:t>
            </w:r>
          </w:p>
        </w:tc>
        <w:tc>
          <w:tcPr>
            <w:tcW w:w="4329" w:type="dxa"/>
            <w:shd w:val="clear" w:color="auto" w:fill="C6EFCE"/>
            <w:vAlign w:val="center"/>
            <w:hideMark/>
          </w:tcPr>
          <w:p w14:paraId="1469D24B" w14:textId="016D8552" w:rsidR="00615E2D" w:rsidRDefault="00C83E46">
            <w:pPr>
              <w:spacing w:after="0" w:line="240" w:lineRule="auto"/>
              <w:rPr>
                <w:rFonts w:eastAsia="Times New Roman"/>
                <w:noProof/>
                <w:color w:val="006100"/>
                <w:sz w:val="18"/>
              </w:rPr>
            </w:pPr>
            <w:r>
              <w:rPr>
                <w:rFonts w:eastAsia="Times New Roman"/>
                <w:noProof/>
                <w:color w:val="006100"/>
                <w:sz w:val="18"/>
              </w:rPr>
              <w:t xml:space="preserve">Zakon o cjenovno pristupačnom stanovanju stupa na snagu. </w:t>
            </w:r>
            <w:r>
              <w:rPr>
                <w:noProof/>
              </w:rPr>
              <w:br/>
            </w:r>
            <w:r>
              <w:rPr>
                <w:noProof/>
              </w:rPr>
              <w:br/>
            </w:r>
            <w:r>
              <w:rPr>
                <w:rFonts w:eastAsia="Times New Roman"/>
                <w:noProof/>
                <w:color w:val="006100"/>
                <w:sz w:val="18"/>
              </w:rPr>
              <w:t>Zakonom se:</w:t>
            </w:r>
          </w:p>
          <w:p w14:paraId="540ADC6B" w14:textId="0107B9B9" w:rsidR="00615E2D" w:rsidRDefault="00C83E46">
            <w:pPr>
              <w:pStyle w:val="P68B1DB1-ListParagraph31"/>
              <w:numPr>
                <w:ilvl w:val="0"/>
                <w:numId w:val="5"/>
              </w:numPr>
              <w:spacing w:after="0" w:line="240" w:lineRule="auto"/>
              <w:rPr>
                <w:noProof/>
              </w:rPr>
            </w:pPr>
            <w:r>
              <w:rPr>
                <w:noProof/>
              </w:rPr>
              <w:t>Uspostaviti mehanizam za pomoć podnositeljima zahtjeva u pronalasku smještaja.</w:t>
            </w:r>
          </w:p>
          <w:p w14:paraId="368C7ED1" w14:textId="00632299" w:rsidR="00615E2D" w:rsidRDefault="00C83E46">
            <w:pPr>
              <w:pStyle w:val="P68B1DB1-ListParagraph31"/>
              <w:numPr>
                <w:ilvl w:val="0"/>
                <w:numId w:val="5"/>
              </w:numPr>
              <w:spacing w:after="0" w:line="240" w:lineRule="auto"/>
              <w:rPr>
                <w:noProof/>
              </w:rPr>
            </w:pPr>
            <w:r>
              <w:rPr>
                <w:noProof/>
              </w:rPr>
              <w:t>Uspostaviti mehanizam za poticanje upotrebe praznih stambenih prostora.</w:t>
            </w:r>
          </w:p>
          <w:p w14:paraId="749B2C31" w14:textId="002196A1" w:rsidR="00615E2D" w:rsidRDefault="00C83E46">
            <w:pPr>
              <w:pStyle w:val="P68B1DB1-ListParagraph31"/>
              <w:numPr>
                <w:ilvl w:val="0"/>
                <w:numId w:val="5"/>
              </w:numPr>
              <w:spacing w:after="0" w:line="240" w:lineRule="auto"/>
              <w:rPr>
                <w:noProof/>
              </w:rPr>
            </w:pPr>
            <w:r>
              <w:rPr>
                <w:noProof/>
              </w:rPr>
              <w:t>Uspostaviti mehanizam koji će najmoprimcima pomoći da ispune svoje obveze prema najmodavcima.</w:t>
            </w:r>
          </w:p>
        </w:tc>
      </w:tr>
    </w:tbl>
    <w:p w14:paraId="7401F7DF" w14:textId="5D00031C" w:rsidR="00615E2D" w:rsidRDefault="00615E2D">
      <w:pPr>
        <w:rPr>
          <w:noProof/>
        </w:rPr>
      </w:pPr>
    </w:p>
    <w:p w14:paraId="52A2A93D" w14:textId="77DDE5F4" w:rsidR="00615E2D" w:rsidRDefault="00615E2D">
      <w:pPr>
        <w:rPr>
          <w:noProof/>
        </w:rPr>
      </w:pPr>
    </w:p>
    <w:p w14:paraId="59A23B5B" w14:textId="6227FAEE" w:rsidR="00615E2D" w:rsidRDefault="00615E2D">
      <w:pPr>
        <w:rPr>
          <w:noProof/>
        </w:rPr>
      </w:pPr>
    </w:p>
    <w:p w14:paraId="57952D99" w14:textId="77777777" w:rsidR="00615E2D" w:rsidRDefault="00615E2D">
      <w:pPr>
        <w:pBdr>
          <w:top w:val="nil"/>
          <w:left w:val="nil"/>
          <w:bottom w:val="nil"/>
          <w:right w:val="nil"/>
          <w:between w:val="nil"/>
        </w:pBdr>
        <w:spacing w:line="240" w:lineRule="auto"/>
        <w:jc w:val="both"/>
        <w:rPr>
          <w:rFonts w:eastAsia="Times New Roman"/>
          <w:b/>
          <w:noProof/>
          <w:color w:val="000000" w:themeColor="text1"/>
          <w:u w:val="single"/>
        </w:rPr>
        <w:sectPr w:rsidR="00615E2D" w:rsidSect="00786C7E">
          <w:headerReference w:type="even" r:id="rId264"/>
          <w:headerReference w:type="default" r:id="rId265"/>
          <w:footerReference w:type="even" r:id="rId266"/>
          <w:footerReference w:type="default" r:id="rId267"/>
          <w:headerReference w:type="first" r:id="rId268"/>
          <w:footerReference w:type="first" r:id="rId269"/>
          <w:pgSz w:w="16839" w:h="11907" w:orient="landscape"/>
          <w:pgMar w:top="1134" w:right="1134" w:bottom="1134" w:left="1134" w:header="567" w:footer="567" w:gutter="0"/>
          <w:cols w:space="708"/>
          <w:docGrid w:linePitch="326"/>
        </w:sectPr>
      </w:pPr>
    </w:p>
    <w:p w14:paraId="7F7E0B42" w14:textId="05B9735D" w:rsidR="00615E2D" w:rsidRDefault="00C83E46">
      <w:pPr>
        <w:spacing w:line="240" w:lineRule="auto"/>
        <w:jc w:val="both"/>
        <w:rPr>
          <w:rFonts w:eastAsia="Times New Roman"/>
          <w:noProof/>
          <w:color w:val="000000" w:themeColor="text1"/>
        </w:rPr>
      </w:pPr>
      <w:r>
        <w:rPr>
          <w:rFonts w:eastAsia="Times New Roman"/>
          <w:b/>
          <w:noProof/>
          <w:color w:val="000000" w:themeColor="text1"/>
          <w:u w:val="single"/>
        </w:rPr>
        <w:t xml:space="preserve">Q.3. </w:t>
      </w:r>
      <w:r>
        <w:rPr>
          <w:noProof/>
        </w:rPr>
        <w:tab/>
      </w:r>
      <w:r>
        <w:rPr>
          <w:rFonts w:eastAsia="Times New Roman"/>
          <w:b/>
          <w:noProof/>
          <w:color w:val="000000" w:themeColor="text1"/>
          <w:u w:val="single"/>
        </w:rPr>
        <w:t>Opis reformi i ulaganja za zajam</w:t>
      </w:r>
    </w:p>
    <w:p w14:paraId="7CDCD4B9" w14:textId="77777777" w:rsidR="00615E2D" w:rsidRDefault="00C83E46">
      <w:pPr>
        <w:pStyle w:val="P68B1DB1-Normal18"/>
        <w:spacing w:line="240" w:lineRule="auto"/>
        <w:jc w:val="both"/>
        <w:rPr>
          <w:noProof/>
        </w:rPr>
      </w:pPr>
      <w:r>
        <w:rPr>
          <w:noProof/>
        </w:rPr>
        <w:t>Ulaganje 1: Povlaštena kreditna linija</w:t>
      </w:r>
    </w:p>
    <w:p w14:paraId="25F16CC0" w14:textId="4B40A177" w:rsidR="00615E2D" w:rsidRDefault="00C83E46">
      <w:pPr>
        <w:spacing w:line="240" w:lineRule="auto"/>
        <w:jc w:val="both"/>
        <w:rPr>
          <w:rFonts w:eastAsia="Times New Roman"/>
          <w:noProof/>
          <w:color w:val="000000" w:themeColor="text1"/>
        </w:rPr>
      </w:pPr>
      <w:r>
        <w:rPr>
          <w:noProof/>
        </w:rPr>
        <w:t xml:space="preserve">Ta se mjera sastoji od </w:t>
      </w:r>
      <w:r>
        <w:rPr>
          <w:rFonts w:eastAsia="@MS Mincho"/>
          <w:noProof/>
        </w:rPr>
        <w:t>javnog ulaganja</w:t>
      </w:r>
      <w:r>
        <w:rPr>
          <w:noProof/>
        </w:rPr>
        <w:t xml:space="preserve"> u instrument za davanje povlaštenih zajmova </w:t>
      </w:r>
      <w:r>
        <w:rPr>
          <w:rFonts w:eastAsia="@MS Mincho"/>
          <w:noProof/>
        </w:rPr>
        <w:t xml:space="preserve">kako bi se potaknula privatna ulaganja i poboljšao pristup financiranju u češkom sektoru cjenovno </w:t>
      </w:r>
      <w:r>
        <w:rPr>
          <w:noProof/>
        </w:rPr>
        <w:t>pristupačnog stanovanja. Instrument djeluje davanjem povlaštenih zajmova izravno privatnom sektoru i subjektima javnog sektora koji se bave sličnim djelatnostima. Na temelju ulaganja iz Mehanizma za oporavak i otpornost, cilj je Mehanizma prvotno osigurati financiranje u iznosu od najmanje 170 460 000 EUR.</w:t>
      </w:r>
    </w:p>
    <w:p w14:paraId="0F2AA4CB" w14:textId="671E9A0D" w:rsidR="00615E2D" w:rsidRDefault="00C83E46">
      <w:pPr>
        <w:spacing w:line="240" w:lineRule="auto"/>
        <w:jc w:val="both"/>
        <w:rPr>
          <w:rFonts w:eastAsia="Times New Roman"/>
          <w:noProof/>
          <w:color w:val="000000" w:themeColor="text1"/>
        </w:rPr>
      </w:pPr>
      <w:r>
        <w:rPr>
          <w:noProof/>
        </w:rPr>
        <w:t>Instrumentom upravlja Državni fond za potporu ulaganjima kao partner u provedbi. Instrument uključuje sljedeću proizvodnu liniju: povlašteni zajmovi. Cilj je ovog</w:t>
      </w:r>
      <w:r>
        <w:rPr>
          <w:rFonts w:eastAsia="Times New Roman"/>
          <w:noProof/>
          <w:color w:val="000000" w:themeColor="text1"/>
        </w:rPr>
        <w:t>proizvoda pružiti povlaštene zajmove projektima koji pridonose povećanju dostupnosti stambenih prostora za najam. Aktivnosti za koje se pruža potpora usmjerene su na obnovu postojećih stambenih jedinica, obnovu zgrada u stambene jedinice, kupnju stambenih jedinica i izgradnju novih stambenih jedinica.</w:t>
      </w:r>
    </w:p>
    <w:p w14:paraId="54359CC5" w14:textId="09FB5921" w:rsidR="00615E2D" w:rsidRDefault="00C83E46">
      <w:pPr>
        <w:spacing w:line="240" w:lineRule="auto"/>
        <w:jc w:val="both"/>
        <w:rPr>
          <w:noProof/>
        </w:rPr>
      </w:pPr>
      <w:r>
        <w:rPr>
          <w:noProof/>
        </w:rPr>
        <w:t>Kako bi proveli ulaganje u Instrument, Češka i Državni fond za potporu ulaganjima potpisuju provedbeni sporazum koji sadržava sljedeći sadržaj:</w:t>
      </w:r>
    </w:p>
    <w:p w14:paraId="06873128" w14:textId="1C060EA1" w:rsidR="00615E2D" w:rsidRDefault="00C83E46">
      <w:pPr>
        <w:pStyle w:val="P68B1DB1-ListParagraph23"/>
        <w:numPr>
          <w:ilvl w:val="0"/>
          <w:numId w:val="260"/>
        </w:numPr>
        <w:jc w:val="both"/>
        <w:rPr>
          <w:rFonts w:eastAsia="Times New Roman"/>
          <w:noProof/>
          <w:color w:val="000000" w:themeColor="text1"/>
        </w:rPr>
      </w:pPr>
      <w:r>
        <w:rPr>
          <w:noProof/>
        </w:rPr>
        <w:t>Opis postupka donošenja odluka u okviru Instrumenta: Konačnu odluku o ulaganju Instrumenta donosi odbor za ulaganja ili drugo odgovarajuće upravljačko tijelo, a odobrava se većinom glasova članova koji su neovisni o vladi.</w:t>
      </w:r>
    </w:p>
    <w:p w14:paraId="1619C7F8" w14:textId="7FE139ED" w:rsidR="00615E2D" w:rsidRDefault="00C83E46">
      <w:pPr>
        <w:pStyle w:val="P68B1DB1-ListParagraph39"/>
        <w:numPr>
          <w:ilvl w:val="0"/>
          <w:numId w:val="260"/>
        </w:numPr>
        <w:jc w:val="both"/>
        <w:rPr>
          <w:noProof/>
        </w:rPr>
      </w:pPr>
      <w:r>
        <w:rPr>
          <w:noProof/>
        </w:rPr>
        <w:t>Ključni zahtjevi povezane investicijske politike, koji uključuju:</w:t>
      </w:r>
    </w:p>
    <w:p w14:paraId="7E782DC2" w14:textId="17D8A54F" w:rsidR="00615E2D" w:rsidRDefault="00C83E46">
      <w:pPr>
        <w:pStyle w:val="P68B1DB1-ListParagraph39"/>
        <w:numPr>
          <w:ilvl w:val="1"/>
          <w:numId w:val="260"/>
        </w:numPr>
        <w:jc w:val="both"/>
        <w:rPr>
          <w:noProof/>
        </w:rPr>
      </w:pPr>
      <w:r>
        <w:rPr>
          <w:noProof/>
        </w:rPr>
        <w:t>Opis financijskih proizvoda i prihvatljivih krajnjih korisnika.</w:t>
      </w:r>
    </w:p>
    <w:p w14:paraId="6D4A7DCC" w14:textId="5A4BF0C7" w:rsidR="00615E2D" w:rsidRDefault="00C83E46">
      <w:pPr>
        <w:pStyle w:val="P68B1DB1-ListParagraph39"/>
        <w:numPr>
          <w:ilvl w:val="1"/>
          <w:numId w:val="260"/>
        </w:numPr>
        <w:jc w:val="both"/>
        <w:rPr>
          <w:noProof/>
        </w:rPr>
      </w:pPr>
      <w:r>
        <w:rPr>
          <w:noProof/>
        </w:rPr>
        <w:t>Zahtjev da su sva ulaganja koja primaju potporu gospodarski održiva.</w:t>
      </w:r>
    </w:p>
    <w:p w14:paraId="2E60D70A" w14:textId="5ECFB89F" w:rsidR="00615E2D" w:rsidRDefault="00C83E46">
      <w:pPr>
        <w:pStyle w:val="P68B1DB1-ListParagraph23"/>
        <w:numPr>
          <w:ilvl w:val="1"/>
          <w:numId w:val="260"/>
        </w:numPr>
        <w:jc w:val="both"/>
        <w:rPr>
          <w:rFonts w:eastAsia="Times New Roman"/>
          <w:noProof/>
          <w:color w:val="000000" w:themeColor="text1"/>
        </w:rPr>
      </w:pPr>
      <w:r>
        <w:rPr>
          <w:noProof/>
        </w:rPr>
        <w:t>Zahtjev za poštovanje načela „ne nanosi bitnu štetu” kako je utvrđeno u Tehničkim smjernicama o primjeni načela nenanošenja bitne štete (2021/C58/01). Politika ulaganja posebno isključuje sljedeći popis aktivnosti i imovine iz prihvatljivosti: i. aktivnosti i imovina povezani s fosilnim gorivima, uključujući uporabu na kraju proizvodnog lanca</w:t>
      </w:r>
      <w:r>
        <w:rPr>
          <w:noProof/>
        </w:rPr>
        <w:footnoteReference w:id="16"/>
      </w:r>
      <w:r>
        <w:rPr>
          <w:noProof/>
        </w:rPr>
        <w:t>, ii. aktivnosti i imovina u okviru sustava EU-a za trgovanje emisijama (ETS) kojima se postižu predviđene emisije stakleničkih plinova koje nisu niže od relevantnih referentnih vrijednosti</w:t>
      </w:r>
      <w:r>
        <w:rPr>
          <w:noProof/>
        </w:rPr>
        <w:footnoteReference w:id="17"/>
      </w:r>
      <w:r>
        <w:rPr>
          <w:noProof/>
        </w:rPr>
        <w:t>, iii. aktivnosti i imovina povezana s odlagalištima otpada, spalionicama i postrojenjima za mehaničko-biološku obradu otpada. Nadalje, politikom ulaganja zahtijeva se usklađenost s relevantnim zakonodavstvom EU-a i nacionalnim zakonodavstvom o okolišu krajnjih korisnika Instrumenta.</w:t>
      </w:r>
    </w:p>
    <w:p w14:paraId="61EAA3F2" w14:textId="7511A2FC" w:rsidR="00615E2D" w:rsidRDefault="00C83E46">
      <w:pPr>
        <w:pStyle w:val="P68B1DB1-ListParagraph39"/>
        <w:numPr>
          <w:ilvl w:val="1"/>
          <w:numId w:val="260"/>
        </w:numPr>
        <w:jc w:val="both"/>
        <w:rPr>
          <w:noProof/>
        </w:rPr>
      </w:pPr>
      <w:r>
        <w:rPr>
          <w:noProof/>
        </w:rPr>
        <w:t>Zahtjev da krajnji korisnici Instrumenta ne primaju potporu iz drugih instrumenata Unije za pokrivanje istih troškova.</w:t>
      </w:r>
    </w:p>
    <w:p w14:paraId="40A682B3" w14:textId="3494F4B4" w:rsidR="00615E2D" w:rsidRDefault="00C83E46">
      <w:pPr>
        <w:pStyle w:val="P68B1DB1-ListParagraph39"/>
        <w:numPr>
          <w:ilvl w:val="1"/>
          <w:numId w:val="260"/>
        </w:numPr>
        <w:jc w:val="both"/>
        <w:rPr>
          <w:noProof/>
        </w:rPr>
      </w:pPr>
      <w:r>
        <w:rPr>
          <w:noProof/>
        </w:rPr>
        <w:t>Zahtjev da sve obnove kojima se pruža potpora uključuju obnovu radi povećanja energetske učinkovitosti.</w:t>
      </w:r>
    </w:p>
    <w:p w14:paraId="46A23DC4" w14:textId="70971302" w:rsidR="00615E2D" w:rsidRDefault="00C83E46">
      <w:pPr>
        <w:pStyle w:val="P68B1DB1-ListParagraph39"/>
        <w:rPr>
          <w:noProof/>
        </w:rPr>
      </w:pPr>
      <w:r>
        <w:rPr>
          <w:noProof/>
        </w:rPr>
        <w:t>Zahtjevi da budući najmoprimci stambenog prostora koji prima potporu ne posjeduju stambene objekte i da pripadaju barem jednoj od sljedećih kategorija: kućanstva s ekvivalentnim dohotkom kućanstava u rasponu od prvih do osmog dohodovnog decila u Češkoj; kućanstva sa svim članovima mlađima od 35 godina; kućanstva s najmanje jednim članom koji radi u jednoj od sljedećih usluga: obrazovanje, zdravstvena skrb, policija, vatrogasna postrojba, socijalne službe, javna uprava. Nadalje, najamnina u stambenom objektu koji prima potporu niža je od procijenjene tržišne najamnine za stanovanje usporedive kvalitete. Ti se zahtjevi primjenjuju najmanje 20 godina nakon primitka financijske potpore.</w:t>
      </w:r>
    </w:p>
    <w:p w14:paraId="2592F6F2" w14:textId="09151272" w:rsidR="00615E2D" w:rsidRDefault="00C83E46">
      <w:pPr>
        <w:pStyle w:val="P68B1DB1-ListParagraph23"/>
        <w:numPr>
          <w:ilvl w:val="0"/>
          <w:numId w:val="260"/>
        </w:numPr>
        <w:jc w:val="both"/>
        <w:rPr>
          <w:rFonts w:eastAsia="Times New Roman"/>
          <w:b/>
          <w:noProof/>
          <w:color w:val="000000" w:themeColor="text1"/>
        </w:rPr>
      </w:pPr>
      <w:r>
        <w:rPr>
          <w:noProof/>
        </w:rPr>
        <w:t>Iznos obuhvaćen provedbenim sporazumom, strukturu naknada za partnera u provedbi i zahtjev za ponovno ulaganje svih vraćenih sredstava u skladu s politikom ulaganja Instrumenta.</w:t>
      </w:r>
    </w:p>
    <w:p w14:paraId="11B93343" w14:textId="4F1D2F72" w:rsidR="00615E2D" w:rsidRDefault="00C83E46">
      <w:pPr>
        <w:pStyle w:val="P68B1DB1-ListParagraph29"/>
        <w:numPr>
          <w:ilvl w:val="0"/>
          <w:numId w:val="260"/>
        </w:numPr>
        <w:jc w:val="both"/>
        <w:rPr>
          <w:noProof/>
        </w:rPr>
      </w:pPr>
      <w:r>
        <w:rPr>
          <w:noProof/>
        </w:rPr>
        <w:t>Zahtjevi u pogledu praćenja, revizije i kontrole, uključujući:</w:t>
      </w:r>
    </w:p>
    <w:p w14:paraId="2DB21091" w14:textId="19DB0A36" w:rsidR="00615E2D" w:rsidRDefault="00C83E46">
      <w:pPr>
        <w:pStyle w:val="P68B1DB1-ListParagraph29"/>
        <w:numPr>
          <w:ilvl w:val="1"/>
          <w:numId w:val="260"/>
        </w:numPr>
        <w:jc w:val="both"/>
        <w:rPr>
          <w:noProof/>
        </w:rPr>
      </w:pPr>
      <w:r>
        <w:rPr>
          <w:noProof/>
        </w:rPr>
        <w:t>Opis sustava praćenja partnera u provedbi za izvješćivanje o mobiliziranim ulaganjima.</w:t>
      </w:r>
    </w:p>
    <w:p w14:paraId="03237B1C" w14:textId="2CD7AF9F" w:rsidR="00615E2D" w:rsidRDefault="00C83E46">
      <w:pPr>
        <w:pStyle w:val="P68B1DB1-ListParagraph23"/>
        <w:numPr>
          <w:ilvl w:val="1"/>
          <w:numId w:val="260"/>
        </w:numPr>
        <w:jc w:val="both"/>
        <w:rPr>
          <w:rFonts w:eastAsia="Times New Roman"/>
          <w:noProof/>
        </w:rPr>
      </w:pPr>
      <w:r>
        <w:rPr>
          <w:noProof/>
        </w:rPr>
        <w:t>Opis postupaka partnera u provedbi kojima će se osigurati sprečavanje, otkrivanje i ispravljanje prijevara, korupcije i sukoba interesa.</w:t>
      </w:r>
    </w:p>
    <w:p w14:paraId="69792001" w14:textId="2AE40FE7" w:rsidR="00615E2D" w:rsidRDefault="00C83E46">
      <w:pPr>
        <w:pStyle w:val="P68B1DB1-ListParagraph23"/>
        <w:numPr>
          <w:ilvl w:val="1"/>
          <w:numId w:val="260"/>
        </w:numPr>
        <w:jc w:val="both"/>
        <w:rPr>
          <w:rFonts w:eastAsia="Times New Roman"/>
          <w:noProof/>
        </w:rPr>
      </w:pPr>
      <w:r>
        <w:rPr>
          <w:noProof/>
        </w:rPr>
        <w:t>Obvezu provjere prihvatljivosti svake operacije u skladu sa zahtjevima utvrđenima u provedbenom sporazumu prije preuzimanja obveze financiranja operacije.</w:t>
      </w:r>
    </w:p>
    <w:p w14:paraId="0A42D3D5" w14:textId="76B8B5D3" w:rsidR="00615E2D" w:rsidRDefault="00C83E46">
      <w:pPr>
        <w:pStyle w:val="P68B1DB1-ListParagraph23"/>
        <w:numPr>
          <w:ilvl w:val="1"/>
          <w:numId w:val="260"/>
        </w:numPr>
        <w:jc w:val="both"/>
        <w:rPr>
          <w:rFonts w:eastAsia="Times New Roman"/>
          <w:noProof/>
        </w:rPr>
      </w:pPr>
      <w:r>
        <w:rPr>
          <w:noProof/>
        </w:rPr>
        <w:t>Obveza provođenja ex post revizija na temelju rizika u skladu s planom revizije Državnog fonda za potporu ulaganjima. Tim se revizijama provjerava i. jesu li sustavi kontrole djelotvorni, uključujući otkrivanje prijevara, korupcije i sukoba interesa; i. usklađenost s načelom nenanošenja bitne štete i pravilima o državnim potporama; i iii. da se poštuje zahtjev da krajnji korisnici Instrumenta nisu primili potporu iz drugih instrumenata Unije za pokrivanje istih troškova. Revizijama se također provjerava zakonitost transakcija i poštuju li se uvjeti primjenjivog provedbenog sporazuma.</w:t>
      </w:r>
    </w:p>
    <w:p w14:paraId="74136F2C" w14:textId="77777777" w:rsidR="00615E2D" w:rsidRDefault="00C83E46">
      <w:pPr>
        <w:pStyle w:val="P68B1DB1-Normal4"/>
        <w:spacing w:before="0" w:after="160" w:line="240" w:lineRule="auto"/>
        <w:jc w:val="both"/>
        <w:rPr>
          <w:noProof/>
          <w:color w:val="000000" w:themeColor="text1"/>
        </w:rPr>
      </w:pPr>
      <w:r>
        <w:rPr>
          <w:noProof/>
        </w:rPr>
        <w:t>Provedba mjere mora biti dovršena do 31. kolovoza 2026.</w:t>
      </w:r>
    </w:p>
    <w:p w14:paraId="289CD875" w14:textId="4C5CF1BA" w:rsidR="00615E2D" w:rsidRDefault="00C83E46">
      <w:pPr>
        <w:pStyle w:val="P68B1DB1-Normal18"/>
        <w:spacing w:after="160" w:line="259" w:lineRule="auto"/>
        <w:rPr>
          <w:noProof/>
        </w:rPr>
      </w:pPr>
      <w:r>
        <w:rPr>
          <w:noProof/>
        </w:rPr>
        <w:t>Ulaganje 2: Instrument podređenih zajmova</w:t>
      </w:r>
    </w:p>
    <w:p w14:paraId="632B988C" w14:textId="0865E4E4" w:rsidR="00615E2D" w:rsidRDefault="00C83E46">
      <w:pPr>
        <w:spacing w:line="240" w:lineRule="auto"/>
        <w:jc w:val="both"/>
        <w:rPr>
          <w:noProof/>
        </w:rPr>
      </w:pPr>
      <w:r>
        <w:rPr>
          <w:noProof/>
        </w:rPr>
        <w:t xml:space="preserve">Ta se mjera sastoji od </w:t>
      </w:r>
      <w:r>
        <w:rPr>
          <w:rFonts w:eastAsia="@MS Mincho"/>
          <w:noProof/>
        </w:rPr>
        <w:t>javnog ulaganja</w:t>
      </w:r>
      <w:r>
        <w:rPr>
          <w:noProof/>
        </w:rPr>
        <w:t xml:space="preserve"> u instrument za pružanje podređenih zajmova </w:t>
      </w:r>
      <w:r>
        <w:rPr>
          <w:rFonts w:eastAsia="@MS Mincho"/>
          <w:noProof/>
        </w:rPr>
        <w:t xml:space="preserve">kako bi se potaknula privatna ulaganja i poboljšao pristup financiranju u češkom sektoru cjenovno </w:t>
      </w:r>
      <w:r>
        <w:rPr>
          <w:noProof/>
        </w:rPr>
        <w:t>pristupačnog stanovanja. Instrument djeluje davanjem podređenih zajmova izravno privatnom sektoru i subjektima javnog sektora koji se bave sličnim aktivnostima. Na temelju ulaganja iz Mehanizma za oporavak i otpornost, cilj je Mehanizma prvotno osigurati financiranje u iznosu od najmanje 94 770 000 EUR.</w:t>
      </w:r>
    </w:p>
    <w:p w14:paraId="03CAEB18" w14:textId="73F5C180" w:rsidR="00615E2D" w:rsidRDefault="00C83E46">
      <w:pPr>
        <w:spacing w:line="240" w:lineRule="auto"/>
        <w:jc w:val="both"/>
        <w:rPr>
          <w:rFonts w:eastAsia="Times New Roman"/>
          <w:noProof/>
          <w:color w:val="000000" w:themeColor="text1"/>
        </w:rPr>
      </w:pPr>
      <w:r>
        <w:rPr>
          <w:noProof/>
        </w:rPr>
        <w:t>Instrumentom upravlja Nacionalna razvojna banka kao partner u provedbi. Instrument uključuje sljedeću proizvodnu liniju: podređeni zajmovi. Cilj je ovog</w:t>
      </w:r>
      <w:r>
        <w:rPr>
          <w:rFonts w:eastAsia="Times New Roman"/>
          <w:noProof/>
          <w:color w:val="000000" w:themeColor="text1"/>
        </w:rPr>
        <w:t>proizvoda osigurati podređene zajmove projektima koji pridonose povećanju dostupnosti stambenih nekretnina za najam. Podržane aktivnosti usmjerene su na obnovu postojećih stambenih jedinica, obnovu zgrada u stambene jedinice i izgradnju novih stambenih jedinica.</w:t>
      </w:r>
    </w:p>
    <w:p w14:paraId="62AB833E" w14:textId="4955F313" w:rsidR="00615E2D" w:rsidRDefault="00C83E46">
      <w:pPr>
        <w:spacing w:line="240" w:lineRule="auto"/>
        <w:jc w:val="both"/>
        <w:rPr>
          <w:noProof/>
        </w:rPr>
      </w:pPr>
      <w:r>
        <w:rPr>
          <w:noProof/>
        </w:rPr>
        <w:t>Kako bi provele ulaganje u Instrument, Češka i Nacionalna razvojna banka potpisuju provedbeni sporazum koji sadržava sljedeći sadržaj:</w:t>
      </w:r>
    </w:p>
    <w:p w14:paraId="68D6CB52" w14:textId="5ABAE773" w:rsidR="00615E2D" w:rsidRDefault="00C83E46">
      <w:pPr>
        <w:pStyle w:val="P68B1DB1-ListParagraph23"/>
        <w:numPr>
          <w:ilvl w:val="0"/>
          <w:numId w:val="373"/>
        </w:numPr>
        <w:jc w:val="both"/>
        <w:rPr>
          <w:rFonts w:eastAsia="Times New Roman"/>
          <w:noProof/>
          <w:color w:val="000000" w:themeColor="text1"/>
        </w:rPr>
      </w:pPr>
      <w:r>
        <w:rPr>
          <w:noProof/>
        </w:rPr>
        <w:t>Opis postupka donošenja odluka u okviru Instrumenta: Konačnu odluku o ulaganju Instrumenta donosi odbor za ulaganja ili drugo odgovarajuće upravljačko tijelo, a odobrava se većinom glasova članova koji su neovisni o vladi.</w:t>
      </w:r>
    </w:p>
    <w:p w14:paraId="06C4CDB6" w14:textId="77777777" w:rsidR="00615E2D" w:rsidRDefault="00C83E46">
      <w:pPr>
        <w:pStyle w:val="P68B1DB1-ListParagraph39"/>
        <w:numPr>
          <w:ilvl w:val="0"/>
          <w:numId w:val="373"/>
        </w:numPr>
        <w:jc w:val="both"/>
        <w:rPr>
          <w:noProof/>
        </w:rPr>
      </w:pPr>
      <w:r>
        <w:rPr>
          <w:noProof/>
        </w:rPr>
        <w:t>Ključni zahtjevi povezane investicijske politike, koji uključuju:</w:t>
      </w:r>
    </w:p>
    <w:p w14:paraId="47146508" w14:textId="77777777" w:rsidR="00615E2D" w:rsidRDefault="00C83E46">
      <w:pPr>
        <w:pStyle w:val="P68B1DB1-ListParagraph39"/>
        <w:numPr>
          <w:ilvl w:val="1"/>
          <w:numId w:val="373"/>
        </w:numPr>
        <w:jc w:val="both"/>
        <w:rPr>
          <w:noProof/>
        </w:rPr>
      </w:pPr>
      <w:r>
        <w:rPr>
          <w:noProof/>
        </w:rPr>
        <w:t>Opis financijskih proizvoda i prihvatljivih krajnjih korisnika.</w:t>
      </w:r>
    </w:p>
    <w:p w14:paraId="7474BA4C" w14:textId="77777777" w:rsidR="00615E2D" w:rsidRDefault="00C83E46">
      <w:pPr>
        <w:pStyle w:val="P68B1DB1-ListParagraph39"/>
        <w:numPr>
          <w:ilvl w:val="1"/>
          <w:numId w:val="373"/>
        </w:numPr>
        <w:jc w:val="both"/>
        <w:rPr>
          <w:noProof/>
        </w:rPr>
      </w:pPr>
      <w:r>
        <w:rPr>
          <w:noProof/>
        </w:rPr>
        <w:t>Zahtjev da su sva ulaganja koja primaju potporu gospodarski održiva.</w:t>
      </w:r>
    </w:p>
    <w:p w14:paraId="3D1BE002" w14:textId="77777777" w:rsidR="00615E2D" w:rsidRDefault="00C83E46">
      <w:pPr>
        <w:pStyle w:val="P68B1DB1-ListParagraph23"/>
        <w:numPr>
          <w:ilvl w:val="1"/>
          <w:numId w:val="373"/>
        </w:numPr>
        <w:jc w:val="both"/>
        <w:rPr>
          <w:rFonts w:eastAsia="Times New Roman"/>
          <w:noProof/>
          <w:color w:val="000000" w:themeColor="text1"/>
        </w:rPr>
      </w:pPr>
      <w:r>
        <w:rPr>
          <w:noProof/>
        </w:rPr>
        <w:t>Zahtjev za poštovanje načela „ne nanosi bitnu štetu” kako je utvrđeno u Tehničkim smjernicama o primjeni načela nenanošenja bitne štete (2021/C58/01). Politika ulaganja posebno isključuje sljedeći popis aktivnosti i imovine iz prihvatljivosti: i. aktivnosti i imovina povezani s fosilnim gorivima, uključujući uporabu na kraju proizvodnog lanca</w:t>
      </w:r>
      <w:r>
        <w:rPr>
          <w:noProof/>
        </w:rPr>
        <w:footnoteReference w:id="18"/>
      </w:r>
      <w:r>
        <w:rPr>
          <w:noProof/>
        </w:rPr>
        <w:t>, ii. aktivnosti i imovina u okviru sustava EU-a za trgovanje emisijama (ETS) kojima se postižu predviđene emisije stakleničkih plinova koje nisu niže od relevantnih referentnih vrijednosti</w:t>
      </w:r>
      <w:r>
        <w:rPr>
          <w:noProof/>
        </w:rPr>
        <w:footnoteReference w:id="19"/>
      </w:r>
      <w:r>
        <w:rPr>
          <w:noProof/>
        </w:rPr>
        <w:t>, iii. aktivnosti i imovina povezana s odlagalištima otpada, spalionicama i postrojenjima za mehaničko-biološku obradu otpada. Nadalje, politikom ulaganja zahtijeva se usklađenost s relevantnim zakonodavstvom EU-a i nacionalnim zakonodavstvom o okolišu krajnjih korisnika Instrumenta.</w:t>
      </w:r>
    </w:p>
    <w:p w14:paraId="716D83DE" w14:textId="77777777" w:rsidR="00615E2D" w:rsidRDefault="00C83E46">
      <w:pPr>
        <w:pStyle w:val="P68B1DB1-ListParagraph39"/>
        <w:numPr>
          <w:ilvl w:val="1"/>
          <w:numId w:val="373"/>
        </w:numPr>
        <w:jc w:val="both"/>
        <w:rPr>
          <w:noProof/>
        </w:rPr>
      </w:pPr>
      <w:r>
        <w:rPr>
          <w:noProof/>
        </w:rPr>
        <w:t>Zahtjev da krajnji korisnici Instrumenta ne primaju potporu iz drugih instrumenata Unije za pokrivanje istih troškova.</w:t>
      </w:r>
    </w:p>
    <w:p w14:paraId="1168BF02" w14:textId="77777777" w:rsidR="00615E2D" w:rsidRDefault="00C83E46">
      <w:pPr>
        <w:pStyle w:val="P68B1DB1-ListParagraph39"/>
        <w:numPr>
          <w:ilvl w:val="1"/>
          <w:numId w:val="373"/>
        </w:numPr>
        <w:jc w:val="both"/>
        <w:rPr>
          <w:noProof/>
        </w:rPr>
      </w:pPr>
      <w:r>
        <w:rPr>
          <w:noProof/>
        </w:rPr>
        <w:t>Zahtjev da sve obnove kojima se pruža potpora uključuju obnovu radi povećanja energetske učinkovitosti.</w:t>
      </w:r>
    </w:p>
    <w:p w14:paraId="7A745DCE" w14:textId="654B8461" w:rsidR="00615E2D" w:rsidRDefault="00C83E46">
      <w:pPr>
        <w:pStyle w:val="P68B1DB1-ListParagraph39"/>
        <w:numPr>
          <w:ilvl w:val="1"/>
          <w:numId w:val="373"/>
        </w:numPr>
        <w:jc w:val="both"/>
        <w:rPr>
          <w:noProof/>
        </w:rPr>
      </w:pPr>
      <w:r>
        <w:rPr>
          <w:noProof/>
        </w:rPr>
        <w:t>Zahtjevi da budući najmoprimci stambenog prostora koji prima potporu ne posjeduju stambene objekte i da pripadaju barem jednoj od sljedećih kategorija: kućanstva s ekvivalentnim dohotkom kućanstava u rasponu od prvih do osmog dohodovnog decila u Češkoj; kućanstva sa svim članovima mlađima od 35 godina; kućanstva s najmanje jednim članom koji radi u jednoj od sljedećih usluga: obrazovanje, zdravstvena skrb, policija, vatrogasna postrojba, socijalne službe, javna uprava. Nadalje, najamnina u stambenom objektu koji prima potporu niža je od procijenjene tržišne najamnine za stanovanje usporedive kvalitete. Ti se zahtjevi primjenjuju najmanje 20 godina nakon primitka financijske potpore.</w:t>
      </w:r>
    </w:p>
    <w:p w14:paraId="64F79D0D" w14:textId="77777777" w:rsidR="00615E2D" w:rsidRDefault="00C83E46">
      <w:pPr>
        <w:pStyle w:val="P68B1DB1-ListParagraph23"/>
        <w:numPr>
          <w:ilvl w:val="0"/>
          <w:numId w:val="373"/>
        </w:numPr>
        <w:jc w:val="both"/>
        <w:rPr>
          <w:rFonts w:eastAsia="Times New Roman"/>
          <w:b/>
          <w:noProof/>
          <w:color w:val="000000" w:themeColor="text1"/>
        </w:rPr>
      </w:pPr>
      <w:r>
        <w:rPr>
          <w:noProof/>
        </w:rPr>
        <w:t>Iznos obuhvaćen provedbenim sporazumom, strukturu naknada za partnera u provedbi i zahtjev za ponovno ulaganje svih vraćenih sredstava u skladu s politikom ulaganja Instrumenta.</w:t>
      </w:r>
    </w:p>
    <w:p w14:paraId="0A50F316" w14:textId="77777777" w:rsidR="00615E2D" w:rsidRDefault="00C83E46">
      <w:pPr>
        <w:pStyle w:val="P68B1DB1-ListParagraph29"/>
        <w:numPr>
          <w:ilvl w:val="0"/>
          <w:numId w:val="373"/>
        </w:numPr>
        <w:jc w:val="both"/>
        <w:rPr>
          <w:noProof/>
        </w:rPr>
      </w:pPr>
      <w:r>
        <w:rPr>
          <w:noProof/>
        </w:rPr>
        <w:t>Zahtjevi u pogledu praćenja, revizije i kontrole, uključujući:</w:t>
      </w:r>
    </w:p>
    <w:p w14:paraId="5E8A5407" w14:textId="77777777" w:rsidR="00615E2D" w:rsidRDefault="00C83E46">
      <w:pPr>
        <w:pStyle w:val="P68B1DB1-ListParagraph29"/>
        <w:numPr>
          <w:ilvl w:val="1"/>
          <w:numId w:val="373"/>
        </w:numPr>
        <w:jc w:val="both"/>
        <w:rPr>
          <w:noProof/>
        </w:rPr>
      </w:pPr>
      <w:r>
        <w:rPr>
          <w:noProof/>
        </w:rPr>
        <w:t>Opis sustava praćenja partnera u provedbi za izvješćivanje o mobiliziranim ulaganjima.</w:t>
      </w:r>
    </w:p>
    <w:p w14:paraId="7BC683DB" w14:textId="77777777" w:rsidR="00615E2D" w:rsidRDefault="00C83E46">
      <w:pPr>
        <w:pStyle w:val="P68B1DB1-ListParagraph23"/>
        <w:numPr>
          <w:ilvl w:val="1"/>
          <w:numId w:val="373"/>
        </w:numPr>
        <w:jc w:val="both"/>
        <w:rPr>
          <w:rFonts w:eastAsia="Times New Roman"/>
          <w:noProof/>
        </w:rPr>
      </w:pPr>
      <w:r>
        <w:rPr>
          <w:noProof/>
        </w:rPr>
        <w:t>Opis postupaka partnera u provedbi kojima će se osigurati sprečavanje, otkrivanje i ispravljanje prijevara, korupcije i sukoba interesa.</w:t>
      </w:r>
    </w:p>
    <w:p w14:paraId="16DEA487" w14:textId="77777777" w:rsidR="00615E2D" w:rsidRDefault="00C83E46">
      <w:pPr>
        <w:pStyle w:val="P68B1DB1-ListParagraph23"/>
        <w:numPr>
          <w:ilvl w:val="1"/>
          <w:numId w:val="373"/>
        </w:numPr>
        <w:jc w:val="both"/>
        <w:rPr>
          <w:rFonts w:eastAsia="Times New Roman"/>
          <w:noProof/>
        </w:rPr>
      </w:pPr>
      <w:r>
        <w:rPr>
          <w:noProof/>
        </w:rPr>
        <w:t>Obvezu provjere prihvatljivosti svake operacije u skladu sa zahtjevima utvrđenima u provedbenom sporazumu prije preuzimanja obveze financiranja operacije.</w:t>
      </w:r>
    </w:p>
    <w:p w14:paraId="5780AA0E" w14:textId="397D17A4" w:rsidR="00615E2D" w:rsidRDefault="00C83E46">
      <w:pPr>
        <w:pStyle w:val="P68B1DB1-ListParagraph23"/>
        <w:numPr>
          <w:ilvl w:val="1"/>
          <w:numId w:val="373"/>
        </w:numPr>
        <w:jc w:val="both"/>
        <w:rPr>
          <w:noProof/>
        </w:rPr>
      </w:pPr>
      <w:r>
        <w:rPr>
          <w:noProof/>
        </w:rPr>
        <w:t>Obveza provođenja ex post revizija na temelju rizika u skladu s planom revizije Nacionalne razvojne banke. Tim se revizijama provjerava i. jesu li sustavi kontrole djelotvorni, uključujući otkrivanje prijevara, korupcije i sukoba interesa; i. usklađenost s načelom nenanošenja bitne štete i pravilima o državnim potporama; i iii. da se poštuje zahtjev da krajnji korisnici Instrumenta nisu primili potporu iz drugih instrumenata Unije za pokrivanje istih troškova. Revizijama se također provjerava zakonitost transakcija i poštuju li se uvjeti primjenjivog provedbenog sporazuma.</w:t>
      </w:r>
    </w:p>
    <w:p w14:paraId="40A5E90E" w14:textId="77777777" w:rsidR="00615E2D" w:rsidRDefault="00C83E46">
      <w:pPr>
        <w:pStyle w:val="P68B1DB1-Normal4"/>
        <w:spacing w:after="160" w:line="259" w:lineRule="auto"/>
        <w:rPr>
          <w:noProof/>
          <w:color w:val="000000" w:themeColor="text1"/>
        </w:rPr>
      </w:pPr>
      <w:r>
        <w:rPr>
          <w:noProof/>
        </w:rPr>
        <w:t>Provedba mjere mora biti dovršena do 31. kolovoza 2026.</w:t>
      </w:r>
    </w:p>
    <w:p w14:paraId="37EA8C63" w14:textId="07456E06" w:rsidR="00615E2D" w:rsidRDefault="00C83E46">
      <w:pPr>
        <w:pStyle w:val="P68B1DB1-Normal18"/>
        <w:spacing w:after="160" w:line="259" w:lineRule="auto"/>
        <w:rPr>
          <w:noProof/>
        </w:rPr>
      </w:pPr>
      <w:r>
        <w:rPr>
          <w:noProof/>
        </w:rPr>
        <w:t xml:space="preserve">Ulaganje 3: Instrument za zajedničko ulaganje </w:t>
      </w:r>
    </w:p>
    <w:p w14:paraId="2B182039" w14:textId="1C5A7BF5" w:rsidR="00615E2D" w:rsidRDefault="00C83E46">
      <w:pPr>
        <w:spacing w:after="160" w:line="259" w:lineRule="auto"/>
        <w:jc w:val="both"/>
        <w:rPr>
          <w:rFonts w:eastAsia="Times New Roman"/>
          <w:noProof/>
          <w:color w:val="000000" w:themeColor="text1"/>
        </w:rPr>
      </w:pPr>
      <w:r>
        <w:rPr>
          <w:rFonts w:eastAsia="Times New Roman"/>
          <w:noProof/>
          <w:color w:val="000000" w:themeColor="text1"/>
        </w:rPr>
        <w:t xml:space="preserve">Ta se mjera sastoji od javnog ulaganja u javno-privatni instrument za zajednička ulaganja čiji je cilj poboljšati pristup cjenovno pristupačnom stanovanju u Češkoj. </w:t>
      </w:r>
      <w:r>
        <w:rPr>
          <w:noProof/>
        </w:rPr>
        <w:t xml:space="preserve">Instrument djeluje izravnim ulaganjem u nekretnine. Na temelju ulaganja iz Mehanizma za oporavak i otpornost, cilj je Mehanizma u početku uložiti najmanje 39 574 000 EUR. </w:t>
      </w:r>
    </w:p>
    <w:p w14:paraId="15D32188" w14:textId="59851650" w:rsidR="00615E2D" w:rsidRDefault="00C83E46">
      <w:pPr>
        <w:spacing w:line="240" w:lineRule="auto"/>
        <w:jc w:val="both"/>
        <w:rPr>
          <w:rFonts w:eastAsia="Times New Roman"/>
          <w:noProof/>
          <w:color w:val="000000" w:themeColor="text1"/>
        </w:rPr>
      </w:pPr>
      <w:r>
        <w:rPr>
          <w:noProof/>
        </w:rPr>
        <w:t xml:space="preserve">Instrumentom </w:t>
      </w:r>
      <w:r>
        <w:rPr>
          <w:rFonts w:eastAsia="Times New Roman"/>
          <w:noProof/>
          <w:color w:val="000000" w:themeColor="text1"/>
        </w:rPr>
        <w:t>upravlja Nacionalni razvojni fond kao partner u provedbi.</w:t>
      </w:r>
    </w:p>
    <w:p w14:paraId="5FBA145A" w14:textId="5B9D3B23" w:rsidR="00615E2D" w:rsidRDefault="00C83E46">
      <w:pPr>
        <w:spacing w:line="240" w:lineRule="auto"/>
        <w:jc w:val="both"/>
        <w:rPr>
          <w:noProof/>
        </w:rPr>
      </w:pPr>
      <w:r>
        <w:rPr>
          <w:rFonts w:eastAsia="Times New Roman"/>
          <w:noProof/>
          <w:color w:val="000000" w:themeColor="text1"/>
        </w:rPr>
        <w:t>Kako bi provele ulaganje u Instrument, Češka i Nacionalna razvojna banka potpisuju provedbeni sporazum koji sadržava sljedeći</w:t>
      </w:r>
      <w:r>
        <w:rPr>
          <w:noProof/>
        </w:rPr>
        <w:t xml:space="preserve"> sadržaj:</w:t>
      </w:r>
    </w:p>
    <w:p w14:paraId="00ABB883" w14:textId="77777777" w:rsidR="00615E2D" w:rsidRDefault="00C83E46">
      <w:pPr>
        <w:pStyle w:val="P68B1DB1-ListParagraph23"/>
        <w:numPr>
          <w:ilvl w:val="0"/>
          <w:numId w:val="374"/>
        </w:numPr>
        <w:jc w:val="both"/>
        <w:rPr>
          <w:rFonts w:eastAsia="Times New Roman"/>
          <w:noProof/>
          <w:color w:val="000000" w:themeColor="text1"/>
        </w:rPr>
      </w:pPr>
      <w:r>
        <w:rPr>
          <w:noProof/>
        </w:rPr>
        <w:t>Opis postupka donošenja odluka u okviru Instrumenta: Konačnu odluku o ulaganju Instrumenta donosi odbor za ulaganja ili drugo odgovarajuće upravljačko tijelo, a odobrava se većinom glasova članova koji su neovisni o vladi.</w:t>
      </w:r>
    </w:p>
    <w:p w14:paraId="56D217B6" w14:textId="77777777" w:rsidR="00615E2D" w:rsidRDefault="00C83E46">
      <w:pPr>
        <w:pStyle w:val="P68B1DB1-ListParagraph39"/>
        <w:numPr>
          <w:ilvl w:val="0"/>
          <w:numId w:val="374"/>
        </w:numPr>
        <w:jc w:val="both"/>
        <w:rPr>
          <w:noProof/>
        </w:rPr>
      </w:pPr>
      <w:r>
        <w:rPr>
          <w:noProof/>
        </w:rPr>
        <w:t>Ključni zahtjevi povezane investicijske politike, koji uključuju:</w:t>
      </w:r>
    </w:p>
    <w:p w14:paraId="5C6AA4D8" w14:textId="77777777" w:rsidR="00615E2D" w:rsidRDefault="00C83E46">
      <w:pPr>
        <w:pStyle w:val="P68B1DB1-ListParagraph39"/>
        <w:numPr>
          <w:ilvl w:val="1"/>
          <w:numId w:val="374"/>
        </w:numPr>
        <w:jc w:val="both"/>
        <w:rPr>
          <w:noProof/>
        </w:rPr>
      </w:pPr>
      <w:r>
        <w:rPr>
          <w:noProof/>
        </w:rPr>
        <w:t>Zahtjev da su sva ulaganja koja primaju potporu gospodarski održiva.</w:t>
      </w:r>
    </w:p>
    <w:p w14:paraId="0242E75C" w14:textId="77777777" w:rsidR="00615E2D" w:rsidRDefault="00C83E46">
      <w:pPr>
        <w:pStyle w:val="P68B1DB1-ListParagraph23"/>
        <w:numPr>
          <w:ilvl w:val="1"/>
          <w:numId w:val="374"/>
        </w:numPr>
        <w:jc w:val="both"/>
        <w:rPr>
          <w:rFonts w:eastAsia="Times New Roman"/>
          <w:noProof/>
          <w:color w:val="000000" w:themeColor="text1"/>
        </w:rPr>
      </w:pPr>
      <w:r>
        <w:rPr>
          <w:noProof/>
        </w:rPr>
        <w:t>Zahtjev za poštovanje načela „ne nanosi bitnu štetu” kako je utvrđeno u Tehničkim smjernicama o primjeni načela nenanošenja bitne štete (2021/C58/01). Politika ulaganja posebno isključuje sljedeći popis aktivnosti i imovine iz prihvatljivosti: i. aktivnosti i imovina povezani s fosilnim gorivima, uključujući uporabu na kraju proizvodnog lanca</w:t>
      </w:r>
      <w:r>
        <w:rPr>
          <w:noProof/>
        </w:rPr>
        <w:footnoteReference w:id="20"/>
      </w:r>
      <w:r>
        <w:rPr>
          <w:noProof/>
        </w:rPr>
        <w:t>, ii. aktivnosti i imovina u okviru sustava EU-a za trgovanje emisijama (ETS) kojima se postižu predviđene emisije stakleničkih plinova koje nisu niže od relevantnih referentnih vrijednosti</w:t>
      </w:r>
      <w:r>
        <w:rPr>
          <w:noProof/>
        </w:rPr>
        <w:footnoteReference w:id="21"/>
      </w:r>
      <w:r>
        <w:rPr>
          <w:noProof/>
        </w:rPr>
        <w:t>, iii. aktivnosti i imovina povezana s odlagalištima otpada, spalionicama i postrojenjima za mehaničko-biološku obradu otpada. Nadalje, politikom ulaganja zahtijeva se usklađenost s relevantnim zakonodavstvom EU-a i nacionalnim zakonodavstvom o okolišu krajnjih korisnika Instrumenta.</w:t>
      </w:r>
    </w:p>
    <w:p w14:paraId="5BB275AF" w14:textId="77777777" w:rsidR="00615E2D" w:rsidRDefault="00C83E46">
      <w:pPr>
        <w:pStyle w:val="P68B1DB1-ListParagraph39"/>
        <w:numPr>
          <w:ilvl w:val="1"/>
          <w:numId w:val="374"/>
        </w:numPr>
        <w:jc w:val="both"/>
        <w:rPr>
          <w:noProof/>
        </w:rPr>
      </w:pPr>
      <w:r>
        <w:rPr>
          <w:noProof/>
        </w:rPr>
        <w:t>Zahtjev da krajnji korisnici Instrumenta ne primaju potporu iz drugih instrumenata Unije za pokrivanje istih troškova.</w:t>
      </w:r>
    </w:p>
    <w:p w14:paraId="68599C6E" w14:textId="77777777" w:rsidR="00615E2D" w:rsidRDefault="00C83E46">
      <w:pPr>
        <w:pStyle w:val="P68B1DB1-ListParagraph39"/>
        <w:numPr>
          <w:ilvl w:val="1"/>
          <w:numId w:val="374"/>
        </w:numPr>
        <w:jc w:val="both"/>
        <w:rPr>
          <w:noProof/>
        </w:rPr>
      </w:pPr>
      <w:r>
        <w:rPr>
          <w:noProof/>
        </w:rPr>
        <w:t>Zahtjev da sve obnove kojima se pruža potpora uključuju obnovu radi povećanja energetske učinkovitosti.</w:t>
      </w:r>
    </w:p>
    <w:p w14:paraId="50D32158" w14:textId="1595EFF9" w:rsidR="00615E2D" w:rsidRDefault="00C83E46">
      <w:pPr>
        <w:pStyle w:val="P68B1DB1-ListParagraph39"/>
        <w:numPr>
          <w:ilvl w:val="1"/>
          <w:numId w:val="374"/>
        </w:numPr>
        <w:jc w:val="both"/>
        <w:rPr>
          <w:noProof/>
        </w:rPr>
      </w:pPr>
      <w:r>
        <w:rPr>
          <w:noProof/>
        </w:rPr>
        <w:t>Zahtjevi da budući najmoprimci stambenog prostora koji prima potporu ne posjeduju stambene objekte i da pripadaju barem jednoj od sljedećih kategorija: kućanstva s ekvivalentnim dohotkom kućanstava u rasponu od prvih do osmog dohodovnog decila u Češkoj; kućanstva sa svim članovima mlađima od 35 godina; kućanstva s najmanje jednim članom koji radi u jednoj od sljedećih usluga: obrazovanje, zdravstvena skrb, policija, vatrogasna postrojba, socijalne službe, javna uprava. Nadalje, najamnina u stambenom objektu koji prima potporu niža je od procijenjene tržišne najamnine za stanovanje usporedive kvalitete. Ti se zahtjevi primjenjuju najmanje 20 godina nakon primitka financijske potpore.</w:t>
      </w:r>
    </w:p>
    <w:p w14:paraId="4EB310B3" w14:textId="77777777" w:rsidR="00615E2D" w:rsidRDefault="00C83E46">
      <w:pPr>
        <w:pStyle w:val="P68B1DB1-ListParagraph23"/>
        <w:numPr>
          <w:ilvl w:val="0"/>
          <w:numId w:val="374"/>
        </w:numPr>
        <w:jc w:val="both"/>
        <w:rPr>
          <w:rFonts w:eastAsia="Times New Roman"/>
          <w:b/>
          <w:noProof/>
          <w:color w:val="000000" w:themeColor="text1"/>
        </w:rPr>
      </w:pPr>
      <w:r>
        <w:rPr>
          <w:noProof/>
        </w:rPr>
        <w:t>Iznos obuhvaćen provedbenim sporazumom, strukturu naknada za partnera u provedbi i zahtjev za ponovno ulaganje svih vraćenih sredstava u skladu s politikom ulaganja Instrumenta.</w:t>
      </w:r>
    </w:p>
    <w:p w14:paraId="469473CD" w14:textId="77777777" w:rsidR="00615E2D" w:rsidRDefault="00C83E46">
      <w:pPr>
        <w:pStyle w:val="P68B1DB1-ListParagraph29"/>
        <w:numPr>
          <w:ilvl w:val="0"/>
          <w:numId w:val="374"/>
        </w:numPr>
        <w:jc w:val="both"/>
        <w:rPr>
          <w:noProof/>
        </w:rPr>
      </w:pPr>
      <w:r>
        <w:rPr>
          <w:noProof/>
        </w:rPr>
        <w:t>Zahtjevi u pogledu praćenja, revizije i kontrole, uključujući:</w:t>
      </w:r>
    </w:p>
    <w:p w14:paraId="482B51F8" w14:textId="77777777" w:rsidR="00615E2D" w:rsidRDefault="00C83E46">
      <w:pPr>
        <w:pStyle w:val="P68B1DB1-ListParagraph29"/>
        <w:numPr>
          <w:ilvl w:val="1"/>
          <w:numId w:val="374"/>
        </w:numPr>
        <w:jc w:val="both"/>
        <w:rPr>
          <w:noProof/>
        </w:rPr>
      </w:pPr>
      <w:r>
        <w:rPr>
          <w:noProof/>
        </w:rPr>
        <w:t>Opis sustava praćenja partnera u provedbi za izvješćivanje o mobiliziranim ulaganjima.</w:t>
      </w:r>
    </w:p>
    <w:p w14:paraId="40F47069" w14:textId="77777777" w:rsidR="00615E2D" w:rsidRDefault="00C83E46">
      <w:pPr>
        <w:pStyle w:val="P68B1DB1-ListParagraph23"/>
        <w:numPr>
          <w:ilvl w:val="1"/>
          <w:numId w:val="374"/>
        </w:numPr>
        <w:jc w:val="both"/>
        <w:rPr>
          <w:rFonts w:eastAsia="Times New Roman"/>
          <w:noProof/>
        </w:rPr>
      </w:pPr>
      <w:r>
        <w:rPr>
          <w:noProof/>
        </w:rPr>
        <w:t>Opis postupaka partnera u provedbi kojima će se osigurati sprečavanje, otkrivanje i ispravljanje prijevara, korupcije i sukoba interesa.</w:t>
      </w:r>
    </w:p>
    <w:p w14:paraId="7C893366" w14:textId="77777777" w:rsidR="00615E2D" w:rsidRDefault="00C83E46">
      <w:pPr>
        <w:pStyle w:val="P68B1DB1-ListParagraph23"/>
        <w:numPr>
          <w:ilvl w:val="1"/>
          <w:numId w:val="374"/>
        </w:numPr>
        <w:jc w:val="both"/>
        <w:rPr>
          <w:rFonts w:eastAsia="Times New Roman"/>
          <w:noProof/>
        </w:rPr>
      </w:pPr>
      <w:r>
        <w:rPr>
          <w:noProof/>
        </w:rPr>
        <w:t>Obvezu provjere prihvatljivosti svake operacije u skladu sa zahtjevima utvrđenima u provedbenom sporazumu prije preuzimanja obveze financiranja operacije.</w:t>
      </w:r>
    </w:p>
    <w:p w14:paraId="57595756" w14:textId="6FD910EB" w:rsidR="00615E2D" w:rsidRDefault="00C83E46">
      <w:pPr>
        <w:pStyle w:val="P68B1DB1-ListParagraph23"/>
        <w:numPr>
          <w:ilvl w:val="1"/>
          <w:numId w:val="374"/>
        </w:numPr>
        <w:jc w:val="both"/>
        <w:rPr>
          <w:rFonts w:eastAsia="Times New Roman"/>
          <w:noProof/>
        </w:rPr>
      </w:pPr>
      <w:r>
        <w:rPr>
          <w:noProof/>
        </w:rPr>
        <w:t>Obveza provođenja ex post revizija na temelju rizika u skladu s planom revizije Nacionalne razvojne banke. Tim se revizijama provjerava i. jesu li sustavi kontrole djelotvorni, uključujući otkrivanje prijevara, korupcije i sukoba interesa; i. usklađenost s načelom nenanošenja bitne štete i pravilima o državnim potporama; i iii. da se poštuje zahtjev da krajnji korisnici Instrumenta nisu primili potporu iz drugih instrumenata Unije za pokrivanje istih troškova. Revizijama se također provjerava zakonitost transakcija i poštuju li se uvjeti primjenjivog provedbenog sporazuma.</w:t>
      </w:r>
    </w:p>
    <w:p w14:paraId="36331F18" w14:textId="40EBEAEF" w:rsidR="00615E2D" w:rsidRDefault="00C83E46">
      <w:pPr>
        <w:pStyle w:val="P68B1DB1-Normal4"/>
        <w:rPr>
          <w:noProof/>
          <w:color w:val="000000" w:themeColor="text1"/>
        </w:rPr>
        <w:sectPr w:rsidR="00615E2D" w:rsidSect="00786C7E">
          <w:headerReference w:type="even" r:id="rId270"/>
          <w:headerReference w:type="default" r:id="rId271"/>
          <w:footerReference w:type="even" r:id="rId272"/>
          <w:footerReference w:type="default" r:id="rId273"/>
          <w:headerReference w:type="first" r:id="rId274"/>
          <w:footerReference w:type="first" r:id="rId275"/>
          <w:pgSz w:w="11907" w:h="16839"/>
          <w:pgMar w:top="1134" w:right="1134" w:bottom="1134" w:left="1134" w:header="567" w:footer="567" w:gutter="0"/>
          <w:cols w:space="708"/>
          <w:docGrid w:linePitch="326"/>
        </w:sectPr>
      </w:pPr>
      <w:r>
        <w:rPr>
          <w:noProof/>
        </w:rPr>
        <w:t>Provedba mjere mora biti dovršena do 31. kolovoza 2026.</w:t>
      </w:r>
    </w:p>
    <w:p w14:paraId="6D75B8E4" w14:textId="45FEF389" w:rsidR="00615E2D" w:rsidRDefault="00C83E46">
      <w:pPr>
        <w:pStyle w:val="P68B1DB1-Normal33"/>
        <w:tabs>
          <w:tab w:val="left" w:pos="993"/>
        </w:tabs>
        <w:spacing w:line="259" w:lineRule="auto"/>
        <w:jc w:val="both"/>
        <w:rPr>
          <w:noProof/>
        </w:rPr>
      </w:pPr>
      <w:r>
        <w:rPr>
          <w:noProof/>
        </w:rPr>
        <w:t>Q.4. Ključne etape, ciljne vrijednosti, pokazatelji i vremenski raspored za praćenje i provedbu zajma</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43"/>
        <w:gridCol w:w="1583"/>
        <w:gridCol w:w="1068"/>
        <w:gridCol w:w="1506"/>
        <w:gridCol w:w="1752"/>
        <w:gridCol w:w="917"/>
        <w:gridCol w:w="917"/>
        <w:gridCol w:w="1015"/>
        <w:gridCol w:w="963"/>
        <w:gridCol w:w="646"/>
        <w:gridCol w:w="4011"/>
      </w:tblGrid>
      <w:tr w:rsidR="00615E2D" w14:paraId="79B37CC6" w14:textId="77777777">
        <w:trPr>
          <w:trHeight w:val="672"/>
          <w:tblHeader/>
          <w:jc w:val="center"/>
        </w:trPr>
        <w:tc>
          <w:tcPr>
            <w:tcW w:w="674" w:type="dxa"/>
            <w:vMerge w:val="restart"/>
            <w:shd w:val="clear" w:color="auto" w:fill="BDD7EE"/>
            <w:vAlign w:val="center"/>
            <w:hideMark/>
          </w:tcPr>
          <w:p w14:paraId="5842FF0F" w14:textId="77777777" w:rsidR="00615E2D" w:rsidRDefault="00C83E46">
            <w:pPr>
              <w:pStyle w:val="P68B1DB1-Normal9"/>
              <w:spacing w:before="0" w:after="0" w:line="240" w:lineRule="auto"/>
              <w:jc w:val="center"/>
              <w:rPr>
                <w:noProof/>
              </w:rPr>
            </w:pPr>
            <w:r>
              <w:rPr>
                <w:noProof/>
              </w:rPr>
              <w:t>Sljedeće NUM.</w:t>
            </w:r>
          </w:p>
        </w:tc>
        <w:tc>
          <w:tcPr>
            <w:tcW w:w="1690" w:type="dxa"/>
            <w:vMerge w:val="restart"/>
            <w:shd w:val="clear" w:color="auto" w:fill="BDD7EE"/>
            <w:vAlign w:val="center"/>
            <w:hideMark/>
          </w:tcPr>
          <w:p w14:paraId="1D3FC296"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3218A9B1" w14:textId="77777777" w:rsidR="00615E2D" w:rsidRDefault="00C83E46">
            <w:pPr>
              <w:pStyle w:val="P68B1DB1-Normal9"/>
              <w:spacing w:before="0" w:after="0" w:line="240" w:lineRule="auto"/>
              <w:jc w:val="center"/>
              <w:rPr>
                <w:noProof/>
              </w:rPr>
            </w:pPr>
            <w:r>
              <w:rPr>
                <w:noProof/>
              </w:rPr>
              <w:t>Ključna etapa/ciljna vrijednost</w:t>
            </w:r>
          </w:p>
        </w:tc>
        <w:tc>
          <w:tcPr>
            <w:tcW w:w="1607" w:type="dxa"/>
            <w:vMerge w:val="restart"/>
            <w:shd w:val="clear" w:color="auto" w:fill="BDD7EE"/>
            <w:vAlign w:val="center"/>
            <w:hideMark/>
          </w:tcPr>
          <w:p w14:paraId="7732C3CA" w14:textId="77777777" w:rsidR="00615E2D" w:rsidRDefault="00C83E46">
            <w:pPr>
              <w:pStyle w:val="P68B1DB1-Normal9"/>
              <w:spacing w:before="0" w:after="0" w:line="240" w:lineRule="auto"/>
              <w:jc w:val="center"/>
              <w:rPr>
                <w:noProof/>
              </w:rPr>
            </w:pPr>
            <w:r>
              <w:rPr>
                <w:noProof/>
              </w:rPr>
              <w:t>Ime</w:t>
            </w:r>
          </w:p>
        </w:tc>
        <w:tc>
          <w:tcPr>
            <w:tcW w:w="1872" w:type="dxa"/>
            <w:vMerge w:val="restart"/>
            <w:shd w:val="clear" w:color="auto" w:fill="BDD7EE"/>
            <w:vAlign w:val="center"/>
            <w:hideMark/>
          </w:tcPr>
          <w:p w14:paraId="718E0A13"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2488" w:type="dxa"/>
            <w:gridSpan w:val="3"/>
            <w:shd w:val="clear" w:color="auto" w:fill="BDD7EE"/>
            <w:vAlign w:val="center"/>
            <w:hideMark/>
          </w:tcPr>
          <w:p w14:paraId="7125781B"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357" w:type="dxa"/>
            <w:gridSpan w:val="2"/>
            <w:shd w:val="clear" w:color="auto" w:fill="BDD7EE"/>
            <w:vAlign w:val="center"/>
            <w:hideMark/>
          </w:tcPr>
          <w:p w14:paraId="457D91BA"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310" w:type="dxa"/>
            <w:vMerge w:val="restart"/>
            <w:shd w:val="clear" w:color="auto" w:fill="BDD7EE"/>
            <w:vAlign w:val="center"/>
            <w:hideMark/>
          </w:tcPr>
          <w:p w14:paraId="7D4C7864"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65884A02" w14:textId="77777777">
        <w:trPr>
          <w:trHeight w:val="458"/>
          <w:tblHeader/>
          <w:jc w:val="center"/>
        </w:trPr>
        <w:tc>
          <w:tcPr>
            <w:tcW w:w="674" w:type="dxa"/>
            <w:vMerge/>
            <w:vAlign w:val="center"/>
            <w:hideMark/>
          </w:tcPr>
          <w:p w14:paraId="75C6C039" w14:textId="77777777" w:rsidR="00615E2D" w:rsidRDefault="00615E2D">
            <w:pPr>
              <w:spacing w:before="0" w:after="0" w:line="240" w:lineRule="auto"/>
              <w:rPr>
                <w:rFonts w:eastAsia="Times New Roman"/>
                <w:b/>
                <w:noProof/>
                <w:sz w:val="18"/>
              </w:rPr>
            </w:pPr>
          </w:p>
        </w:tc>
        <w:tc>
          <w:tcPr>
            <w:tcW w:w="1690" w:type="dxa"/>
            <w:vMerge/>
            <w:vAlign w:val="center"/>
            <w:hideMark/>
          </w:tcPr>
          <w:p w14:paraId="64C93421" w14:textId="77777777" w:rsidR="00615E2D" w:rsidRDefault="00615E2D">
            <w:pPr>
              <w:spacing w:before="0" w:after="0" w:line="240" w:lineRule="auto"/>
              <w:rPr>
                <w:rFonts w:eastAsia="Times New Roman"/>
                <w:b/>
                <w:noProof/>
                <w:sz w:val="18"/>
              </w:rPr>
            </w:pPr>
          </w:p>
        </w:tc>
        <w:tc>
          <w:tcPr>
            <w:tcW w:w="1134" w:type="dxa"/>
            <w:vMerge/>
            <w:vAlign w:val="center"/>
            <w:hideMark/>
          </w:tcPr>
          <w:p w14:paraId="15E1C5B6" w14:textId="77777777" w:rsidR="00615E2D" w:rsidRDefault="00615E2D">
            <w:pPr>
              <w:spacing w:before="0" w:after="0" w:line="240" w:lineRule="auto"/>
              <w:rPr>
                <w:rFonts w:eastAsia="Times New Roman"/>
                <w:b/>
                <w:noProof/>
                <w:sz w:val="18"/>
              </w:rPr>
            </w:pPr>
          </w:p>
        </w:tc>
        <w:tc>
          <w:tcPr>
            <w:tcW w:w="1607" w:type="dxa"/>
            <w:vMerge/>
            <w:vAlign w:val="center"/>
            <w:hideMark/>
          </w:tcPr>
          <w:p w14:paraId="116A83ED" w14:textId="77777777" w:rsidR="00615E2D" w:rsidRDefault="00615E2D">
            <w:pPr>
              <w:spacing w:before="0" w:after="0" w:line="240" w:lineRule="auto"/>
              <w:rPr>
                <w:rFonts w:eastAsia="Times New Roman"/>
                <w:b/>
                <w:noProof/>
                <w:sz w:val="18"/>
              </w:rPr>
            </w:pPr>
          </w:p>
        </w:tc>
        <w:tc>
          <w:tcPr>
            <w:tcW w:w="1872" w:type="dxa"/>
            <w:vMerge/>
            <w:vAlign w:val="center"/>
            <w:hideMark/>
          </w:tcPr>
          <w:p w14:paraId="3E53E667" w14:textId="77777777" w:rsidR="00615E2D" w:rsidRDefault="00615E2D">
            <w:pPr>
              <w:spacing w:before="0" w:after="0" w:line="240" w:lineRule="auto"/>
              <w:rPr>
                <w:rFonts w:eastAsia="Times New Roman"/>
                <w:b/>
                <w:noProof/>
                <w:sz w:val="18"/>
              </w:rPr>
            </w:pPr>
          </w:p>
        </w:tc>
        <w:tc>
          <w:tcPr>
            <w:tcW w:w="971" w:type="dxa"/>
            <w:shd w:val="clear" w:color="auto" w:fill="BDD7EE"/>
            <w:vAlign w:val="center"/>
            <w:hideMark/>
          </w:tcPr>
          <w:p w14:paraId="33BAC5F3" w14:textId="77777777" w:rsidR="00615E2D" w:rsidRDefault="00C83E46">
            <w:pPr>
              <w:pStyle w:val="P68B1DB1-Normal9"/>
              <w:spacing w:before="0" w:after="0" w:line="240" w:lineRule="auto"/>
              <w:jc w:val="center"/>
              <w:rPr>
                <w:noProof/>
              </w:rPr>
            </w:pPr>
            <w:r>
              <w:rPr>
                <w:noProof/>
              </w:rPr>
              <w:t>Jedinica mjere</w:t>
            </w:r>
          </w:p>
        </w:tc>
        <w:tc>
          <w:tcPr>
            <w:tcW w:w="971" w:type="dxa"/>
            <w:shd w:val="clear" w:color="auto" w:fill="BDD7EE"/>
            <w:vAlign w:val="center"/>
            <w:hideMark/>
          </w:tcPr>
          <w:p w14:paraId="1F48CE86" w14:textId="77777777" w:rsidR="00615E2D" w:rsidRDefault="00C83E46">
            <w:pPr>
              <w:pStyle w:val="P68B1DB1-Normal9"/>
              <w:spacing w:before="0" w:after="0" w:line="240" w:lineRule="auto"/>
              <w:jc w:val="center"/>
              <w:rPr>
                <w:noProof/>
              </w:rPr>
            </w:pPr>
            <w:r>
              <w:rPr>
                <w:noProof/>
              </w:rPr>
              <w:t xml:space="preserve">Osnovna vrijednost </w:t>
            </w:r>
          </w:p>
        </w:tc>
        <w:tc>
          <w:tcPr>
            <w:tcW w:w="1077" w:type="dxa"/>
            <w:shd w:val="clear" w:color="auto" w:fill="BDD7EE"/>
            <w:vAlign w:val="center"/>
            <w:hideMark/>
          </w:tcPr>
          <w:p w14:paraId="4727BCF3" w14:textId="77777777" w:rsidR="00615E2D" w:rsidRDefault="00C83E46">
            <w:pPr>
              <w:pStyle w:val="P68B1DB1-Normal9"/>
              <w:spacing w:before="0" w:after="0" w:line="240" w:lineRule="auto"/>
              <w:jc w:val="center"/>
              <w:rPr>
                <w:noProof/>
              </w:rPr>
            </w:pPr>
            <w:r>
              <w:rPr>
                <w:noProof/>
              </w:rPr>
              <w:t xml:space="preserve">Cilj </w:t>
            </w:r>
          </w:p>
        </w:tc>
        <w:tc>
          <w:tcPr>
            <w:tcW w:w="1021" w:type="dxa"/>
            <w:shd w:val="clear" w:color="auto" w:fill="BDD7EE"/>
            <w:vAlign w:val="center"/>
            <w:hideMark/>
          </w:tcPr>
          <w:p w14:paraId="5A88A10D" w14:textId="77777777" w:rsidR="00615E2D" w:rsidRDefault="00C83E46">
            <w:pPr>
              <w:pStyle w:val="P68B1DB1-Normal9"/>
              <w:spacing w:before="0" w:after="0" w:line="240" w:lineRule="auto"/>
              <w:jc w:val="center"/>
              <w:rPr>
                <w:noProof/>
              </w:rPr>
            </w:pPr>
            <w:r>
              <w:rPr>
                <w:noProof/>
              </w:rPr>
              <w:t>Tromjesečje</w:t>
            </w:r>
          </w:p>
        </w:tc>
        <w:tc>
          <w:tcPr>
            <w:tcW w:w="678" w:type="dxa"/>
            <w:shd w:val="clear" w:color="auto" w:fill="BDD7EE"/>
            <w:vAlign w:val="center"/>
            <w:hideMark/>
          </w:tcPr>
          <w:p w14:paraId="46974358" w14:textId="77777777" w:rsidR="00615E2D" w:rsidRDefault="00C83E46">
            <w:pPr>
              <w:pStyle w:val="P68B1DB1-Normal9"/>
              <w:spacing w:before="0" w:after="0" w:line="240" w:lineRule="auto"/>
              <w:jc w:val="center"/>
              <w:rPr>
                <w:noProof/>
              </w:rPr>
            </w:pPr>
            <w:r>
              <w:rPr>
                <w:noProof/>
              </w:rPr>
              <w:t>Godina</w:t>
            </w:r>
          </w:p>
        </w:tc>
        <w:tc>
          <w:tcPr>
            <w:tcW w:w="4310" w:type="dxa"/>
            <w:vMerge/>
            <w:vAlign w:val="center"/>
            <w:hideMark/>
          </w:tcPr>
          <w:p w14:paraId="33FF55B8" w14:textId="77777777" w:rsidR="00615E2D" w:rsidRDefault="00615E2D">
            <w:pPr>
              <w:spacing w:before="0" w:after="0" w:line="240" w:lineRule="auto"/>
              <w:rPr>
                <w:rFonts w:eastAsia="Times New Roman"/>
                <w:b/>
                <w:noProof/>
                <w:sz w:val="18"/>
              </w:rPr>
            </w:pPr>
          </w:p>
        </w:tc>
      </w:tr>
      <w:tr w:rsidR="00615E2D" w14:paraId="6BE0F578" w14:textId="77777777">
        <w:trPr>
          <w:trHeight w:val="309"/>
          <w:jc w:val="center"/>
        </w:trPr>
        <w:tc>
          <w:tcPr>
            <w:tcW w:w="674" w:type="dxa"/>
            <w:shd w:val="clear" w:color="auto" w:fill="C6EFCE"/>
            <w:vAlign w:val="center"/>
            <w:hideMark/>
          </w:tcPr>
          <w:p w14:paraId="388C2A95" w14:textId="0D1A9C98" w:rsidR="00615E2D" w:rsidRDefault="00C83E46">
            <w:pPr>
              <w:pStyle w:val="P68B1DB1-Normal15"/>
              <w:spacing w:before="0" w:after="0" w:line="240" w:lineRule="auto"/>
              <w:jc w:val="center"/>
              <w:rPr>
                <w:noProof/>
              </w:rPr>
            </w:pPr>
            <w:r>
              <w:rPr>
                <w:noProof/>
              </w:rPr>
              <w:t>264</w:t>
            </w:r>
          </w:p>
        </w:tc>
        <w:tc>
          <w:tcPr>
            <w:tcW w:w="1690" w:type="dxa"/>
            <w:shd w:val="clear" w:color="auto" w:fill="C6EFCE"/>
            <w:vAlign w:val="center"/>
            <w:hideMark/>
          </w:tcPr>
          <w:p w14:paraId="744A79A1" w14:textId="77777777" w:rsidR="00615E2D" w:rsidRDefault="00C83E46">
            <w:pPr>
              <w:pStyle w:val="P68B1DB1-Normal15"/>
              <w:spacing w:after="0" w:line="240" w:lineRule="auto"/>
              <w:rPr>
                <w:noProof/>
              </w:rPr>
            </w:pPr>
            <w:r>
              <w:rPr>
                <w:noProof/>
              </w:rPr>
              <w:t>Ulaganje 1:</w:t>
            </w:r>
          </w:p>
          <w:p w14:paraId="0C73EA91" w14:textId="196E89BA" w:rsidR="00615E2D" w:rsidRDefault="00C83E46">
            <w:pPr>
              <w:pStyle w:val="P68B1DB1-Normal15"/>
              <w:spacing w:before="0" w:after="0" w:line="240" w:lineRule="auto"/>
              <w:rPr>
                <w:noProof/>
              </w:rPr>
            </w:pPr>
            <w:r>
              <w:rPr>
                <w:noProof/>
              </w:rPr>
              <w:t>Povlaštena kreditna linija</w:t>
            </w:r>
          </w:p>
        </w:tc>
        <w:tc>
          <w:tcPr>
            <w:tcW w:w="1134" w:type="dxa"/>
            <w:shd w:val="clear" w:color="auto" w:fill="C6EFCE"/>
            <w:vAlign w:val="center"/>
            <w:hideMark/>
          </w:tcPr>
          <w:p w14:paraId="55FA7578" w14:textId="77777777" w:rsidR="00615E2D" w:rsidRDefault="00C83E46">
            <w:pPr>
              <w:pStyle w:val="P68B1DB1-Normal15"/>
              <w:spacing w:before="0" w:after="0" w:line="240" w:lineRule="auto"/>
              <w:jc w:val="center"/>
              <w:rPr>
                <w:noProof/>
              </w:rPr>
            </w:pPr>
            <w:r>
              <w:rPr>
                <w:noProof/>
              </w:rPr>
              <w:t>Prekretnica</w:t>
            </w:r>
          </w:p>
        </w:tc>
        <w:tc>
          <w:tcPr>
            <w:tcW w:w="1607" w:type="dxa"/>
            <w:shd w:val="clear" w:color="auto" w:fill="C6EFCE"/>
            <w:vAlign w:val="center"/>
            <w:hideMark/>
          </w:tcPr>
          <w:p w14:paraId="047970A9" w14:textId="025B44B6" w:rsidR="00615E2D" w:rsidRDefault="00C83E46">
            <w:pPr>
              <w:pStyle w:val="P68B1DB1-Normal15"/>
              <w:spacing w:before="0" w:after="0" w:line="240" w:lineRule="auto"/>
              <w:rPr>
                <w:noProof/>
              </w:rPr>
            </w:pPr>
            <w:r>
              <w:rPr>
                <w:noProof/>
              </w:rPr>
              <w:t>Provedbeni sporazum</w:t>
            </w:r>
          </w:p>
        </w:tc>
        <w:tc>
          <w:tcPr>
            <w:tcW w:w="1872" w:type="dxa"/>
            <w:shd w:val="clear" w:color="auto" w:fill="C6EFCE"/>
            <w:hideMark/>
          </w:tcPr>
          <w:p w14:paraId="41E3C4BB" w14:textId="5D2FE9F0" w:rsidR="00615E2D" w:rsidRDefault="00C83E46">
            <w:pPr>
              <w:pStyle w:val="P68B1DB1-Normal15"/>
              <w:spacing w:before="0" w:after="0" w:line="240" w:lineRule="auto"/>
              <w:rPr>
                <w:noProof/>
              </w:rPr>
            </w:pPr>
            <w:r>
              <w:rPr>
                <w:noProof/>
              </w:rPr>
              <w:t>Stupanje na snagu provedbenog sporazuma</w:t>
            </w:r>
          </w:p>
        </w:tc>
        <w:tc>
          <w:tcPr>
            <w:tcW w:w="971" w:type="dxa"/>
            <w:shd w:val="clear" w:color="auto" w:fill="C6EFCE"/>
            <w:vAlign w:val="center"/>
          </w:tcPr>
          <w:p w14:paraId="59FF22C2" w14:textId="17BFA386" w:rsidR="00615E2D" w:rsidRDefault="00615E2D">
            <w:pPr>
              <w:spacing w:before="0" w:after="0" w:line="240" w:lineRule="auto"/>
              <w:jc w:val="center"/>
              <w:rPr>
                <w:rFonts w:eastAsia="Times New Roman"/>
                <w:noProof/>
                <w:color w:val="004300"/>
                <w:sz w:val="18"/>
              </w:rPr>
            </w:pPr>
          </w:p>
        </w:tc>
        <w:tc>
          <w:tcPr>
            <w:tcW w:w="971" w:type="dxa"/>
            <w:shd w:val="clear" w:color="auto" w:fill="C6EFCE"/>
            <w:vAlign w:val="center"/>
          </w:tcPr>
          <w:p w14:paraId="2BE54ABD" w14:textId="2DF118B5" w:rsidR="00615E2D" w:rsidRDefault="00615E2D">
            <w:pPr>
              <w:spacing w:before="0" w:after="0" w:line="240" w:lineRule="auto"/>
              <w:jc w:val="center"/>
              <w:rPr>
                <w:rFonts w:eastAsia="Times New Roman"/>
                <w:noProof/>
                <w:color w:val="004300"/>
                <w:sz w:val="18"/>
              </w:rPr>
            </w:pPr>
          </w:p>
        </w:tc>
        <w:tc>
          <w:tcPr>
            <w:tcW w:w="1077" w:type="dxa"/>
            <w:shd w:val="clear" w:color="auto" w:fill="C6EFCE"/>
            <w:vAlign w:val="center"/>
          </w:tcPr>
          <w:p w14:paraId="1670FB78" w14:textId="154DA71B" w:rsidR="00615E2D" w:rsidRDefault="00615E2D">
            <w:pPr>
              <w:spacing w:before="0" w:after="0" w:line="240" w:lineRule="auto"/>
              <w:jc w:val="center"/>
              <w:rPr>
                <w:rFonts w:eastAsia="Times New Roman"/>
                <w:noProof/>
                <w:color w:val="004300"/>
                <w:sz w:val="18"/>
              </w:rPr>
            </w:pPr>
          </w:p>
        </w:tc>
        <w:tc>
          <w:tcPr>
            <w:tcW w:w="1021" w:type="dxa"/>
            <w:shd w:val="clear" w:color="auto" w:fill="C6EFCE"/>
            <w:vAlign w:val="center"/>
            <w:hideMark/>
          </w:tcPr>
          <w:p w14:paraId="076BF706" w14:textId="1C263D51" w:rsidR="00615E2D" w:rsidRDefault="00C83E46">
            <w:pPr>
              <w:pStyle w:val="P68B1DB1-Normal15"/>
              <w:spacing w:before="0" w:after="0" w:line="240" w:lineRule="auto"/>
              <w:jc w:val="center"/>
              <w:rPr>
                <w:noProof/>
              </w:rPr>
            </w:pPr>
            <w:r>
              <w:rPr>
                <w:noProof/>
              </w:rPr>
              <w:t>TROMJESEČJE</w:t>
            </w:r>
          </w:p>
        </w:tc>
        <w:tc>
          <w:tcPr>
            <w:tcW w:w="678" w:type="dxa"/>
            <w:shd w:val="clear" w:color="auto" w:fill="C6EFCE"/>
            <w:vAlign w:val="center"/>
            <w:hideMark/>
          </w:tcPr>
          <w:p w14:paraId="53F05F25" w14:textId="77777777" w:rsidR="00615E2D" w:rsidRDefault="00C83E46">
            <w:pPr>
              <w:pStyle w:val="P68B1DB1-Normal15"/>
              <w:spacing w:before="0" w:after="0" w:line="240" w:lineRule="auto"/>
              <w:jc w:val="center"/>
              <w:rPr>
                <w:noProof/>
              </w:rPr>
            </w:pPr>
            <w:r>
              <w:rPr>
                <w:noProof/>
              </w:rPr>
              <w:t>2024</w:t>
            </w:r>
          </w:p>
        </w:tc>
        <w:tc>
          <w:tcPr>
            <w:tcW w:w="4310" w:type="dxa"/>
            <w:shd w:val="clear" w:color="auto" w:fill="C6EFCE"/>
            <w:vAlign w:val="center"/>
            <w:hideMark/>
          </w:tcPr>
          <w:p w14:paraId="477EF099" w14:textId="3B6A6758" w:rsidR="00615E2D" w:rsidRDefault="00C83E46">
            <w:pPr>
              <w:pStyle w:val="P68B1DB1-Normal15"/>
              <w:spacing w:before="0" w:after="0" w:line="240" w:lineRule="auto"/>
              <w:rPr>
                <w:noProof/>
              </w:rPr>
            </w:pPr>
            <w:r>
              <w:rPr>
                <w:noProof/>
              </w:rPr>
              <w:t>Stupanje na snagu provedbenog sporazuma.</w:t>
            </w:r>
          </w:p>
        </w:tc>
      </w:tr>
      <w:tr w:rsidR="00615E2D" w14:paraId="247D8AB6" w14:textId="77777777">
        <w:trPr>
          <w:trHeight w:val="309"/>
          <w:jc w:val="center"/>
        </w:trPr>
        <w:tc>
          <w:tcPr>
            <w:tcW w:w="674" w:type="dxa"/>
            <w:shd w:val="clear" w:color="auto" w:fill="C6EFCE"/>
            <w:vAlign w:val="center"/>
          </w:tcPr>
          <w:p w14:paraId="51F2B08D" w14:textId="23314F13" w:rsidR="00615E2D" w:rsidRDefault="00C83E46">
            <w:pPr>
              <w:pStyle w:val="P68B1DB1-Normal15"/>
              <w:spacing w:before="0" w:after="0" w:line="240" w:lineRule="auto"/>
              <w:jc w:val="center"/>
              <w:rPr>
                <w:noProof/>
              </w:rPr>
            </w:pPr>
            <w:r>
              <w:rPr>
                <w:noProof/>
              </w:rPr>
              <w:t>265</w:t>
            </w:r>
          </w:p>
        </w:tc>
        <w:tc>
          <w:tcPr>
            <w:tcW w:w="1690" w:type="dxa"/>
            <w:shd w:val="clear" w:color="auto" w:fill="C6EFCE"/>
            <w:vAlign w:val="center"/>
          </w:tcPr>
          <w:p w14:paraId="666BEA4F" w14:textId="77777777" w:rsidR="00615E2D" w:rsidRDefault="00C83E46">
            <w:pPr>
              <w:pStyle w:val="P68B1DB1-Normal15"/>
              <w:spacing w:after="0" w:line="240" w:lineRule="auto"/>
              <w:rPr>
                <w:noProof/>
              </w:rPr>
            </w:pPr>
            <w:r>
              <w:rPr>
                <w:noProof/>
              </w:rPr>
              <w:t>Ulaganje 1:</w:t>
            </w:r>
          </w:p>
          <w:p w14:paraId="5508D7C7" w14:textId="6F8A05C5" w:rsidR="00615E2D" w:rsidRDefault="00C83E46">
            <w:pPr>
              <w:pStyle w:val="P68B1DB1-Normal15"/>
              <w:spacing w:before="0" w:after="0" w:line="240" w:lineRule="auto"/>
              <w:rPr>
                <w:noProof/>
              </w:rPr>
            </w:pPr>
            <w:r>
              <w:rPr>
                <w:noProof/>
              </w:rPr>
              <w:t>Povlaštena kreditna linija</w:t>
            </w:r>
          </w:p>
        </w:tc>
        <w:tc>
          <w:tcPr>
            <w:tcW w:w="1134" w:type="dxa"/>
            <w:shd w:val="clear" w:color="auto" w:fill="C6EFCE"/>
            <w:vAlign w:val="center"/>
          </w:tcPr>
          <w:p w14:paraId="4F4AC987" w14:textId="77777777" w:rsidR="00615E2D" w:rsidRDefault="00C83E46">
            <w:pPr>
              <w:pStyle w:val="P68B1DB1-Normal15"/>
              <w:spacing w:before="0" w:after="0" w:line="240" w:lineRule="auto"/>
              <w:rPr>
                <w:noProof/>
              </w:rPr>
            </w:pPr>
            <w:r>
              <w:rPr>
                <w:noProof/>
              </w:rPr>
              <w:t>Ciljna</w:t>
            </w:r>
          </w:p>
        </w:tc>
        <w:tc>
          <w:tcPr>
            <w:tcW w:w="1607" w:type="dxa"/>
            <w:shd w:val="clear" w:color="auto" w:fill="C6EFCE"/>
            <w:vAlign w:val="center"/>
          </w:tcPr>
          <w:p w14:paraId="032230E4" w14:textId="15BFF2A6" w:rsidR="00615E2D" w:rsidRDefault="00C83E46">
            <w:pPr>
              <w:pStyle w:val="P68B1DB1-Normal15"/>
              <w:spacing w:before="0" w:after="0" w:line="240" w:lineRule="auto"/>
              <w:rPr>
                <w:noProof/>
              </w:rPr>
            </w:pPr>
            <w:r>
              <w:rPr>
                <w:noProof/>
              </w:rPr>
              <w:t>Pravni sporazumi potpisani s krajnjim korisnicima</w:t>
            </w:r>
          </w:p>
        </w:tc>
        <w:tc>
          <w:tcPr>
            <w:tcW w:w="1872" w:type="dxa"/>
            <w:shd w:val="clear" w:color="auto" w:fill="C6EFCE"/>
            <w:vAlign w:val="center"/>
          </w:tcPr>
          <w:p w14:paraId="51BA3D12" w14:textId="75FAC86F" w:rsidR="00615E2D" w:rsidRDefault="00615E2D">
            <w:pPr>
              <w:spacing w:before="0" w:after="0" w:line="240" w:lineRule="auto"/>
              <w:rPr>
                <w:rFonts w:eastAsia="Times New Roman"/>
                <w:noProof/>
                <w:color w:val="004300"/>
                <w:sz w:val="18"/>
              </w:rPr>
            </w:pPr>
          </w:p>
        </w:tc>
        <w:tc>
          <w:tcPr>
            <w:tcW w:w="971" w:type="dxa"/>
            <w:shd w:val="clear" w:color="auto" w:fill="C6EFCE"/>
            <w:vAlign w:val="center"/>
          </w:tcPr>
          <w:p w14:paraId="70C5B5C1" w14:textId="77777777" w:rsidR="00615E2D" w:rsidRDefault="00C83E46">
            <w:pPr>
              <w:pStyle w:val="P68B1DB1-Normal15"/>
              <w:spacing w:before="0" w:after="0" w:line="240" w:lineRule="auto"/>
              <w:rPr>
                <w:noProof/>
              </w:rPr>
            </w:pPr>
            <w:r>
              <w:rPr>
                <w:noProof/>
              </w:rPr>
              <w:t>% (postotak)</w:t>
            </w:r>
          </w:p>
        </w:tc>
        <w:tc>
          <w:tcPr>
            <w:tcW w:w="971" w:type="dxa"/>
            <w:shd w:val="clear" w:color="auto" w:fill="C6EFCE"/>
            <w:vAlign w:val="center"/>
          </w:tcPr>
          <w:p w14:paraId="6BDA9244" w14:textId="50617CB3" w:rsidR="00615E2D" w:rsidRDefault="00C83E46">
            <w:pPr>
              <w:pStyle w:val="P68B1DB1-Normal15"/>
              <w:spacing w:before="0" w:after="0" w:line="240" w:lineRule="auto"/>
              <w:jc w:val="center"/>
              <w:rPr>
                <w:noProof/>
              </w:rPr>
            </w:pPr>
            <w:r>
              <w:rPr>
                <w:noProof/>
              </w:rPr>
              <w:t>0</w:t>
            </w:r>
          </w:p>
        </w:tc>
        <w:tc>
          <w:tcPr>
            <w:tcW w:w="1077" w:type="dxa"/>
            <w:shd w:val="clear" w:color="auto" w:fill="C6EFCE"/>
            <w:vAlign w:val="center"/>
          </w:tcPr>
          <w:p w14:paraId="3B2A1CEF" w14:textId="77777777" w:rsidR="00615E2D" w:rsidRDefault="00C83E46">
            <w:pPr>
              <w:pStyle w:val="P68B1DB1-Normal15"/>
              <w:spacing w:before="0" w:after="0" w:line="240" w:lineRule="auto"/>
              <w:jc w:val="center"/>
              <w:rPr>
                <w:noProof/>
              </w:rPr>
            </w:pPr>
            <w:r>
              <w:rPr>
                <w:noProof/>
              </w:rPr>
              <w:t>100</w:t>
            </w:r>
          </w:p>
        </w:tc>
        <w:tc>
          <w:tcPr>
            <w:tcW w:w="1021" w:type="dxa"/>
            <w:shd w:val="clear" w:color="auto" w:fill="C6EFCE"/>
            <w:vAlign w:val="center"/>
          </w:tcPr>
          <w:p w14:paraId="59A4DBC2" w14:textId="77777777" w:rsidR="00615E2D" w:rsidRDefault="00C83E46">
            <w:pPr>
              <w:pStyle w:val="P68B1DB1-Normal15"/>
              <w:spacing w:before="0" w:after="0" w:line="240" w:lineRule="auto"/>
              <w:jc w:val="center"/>
              <w:rPr>
                <w:noProof/>
              </w:rPr>
            </w:pPr>
            <w:r>
              <w:rPr>
                <w:noProof/>
              </w:rPr>
              <w:t>TROMJESEČJE</w:t>
            </w:r>
          </w:p>
        </w:tc>
        <w:tc>
          <w:tcPr>
            <w:tcW w:w="678" w:type="dxa"/>
            <w:shd w:val="clear" w:color="auto" w:fill="C6EFCE"/>
            <w:vAlign w:val="center"/>
          </w:tcPr>
          <w:p w14:paraId="248F80A3" w14:textId="77777777" w:rsidR="00615E2D" w:rsidRDefault="00C83E46">
            <w:pPr>
              <w:pStyle w:val="P68B1DB1-Normal15"/>
              <w:spacing w:before="0" w:after="0" w:line="240" w:lineRule="auto"/>
              <w:jc w:val="center"/>
              <w:rPr>
                <w:noProof/>
              </w:rPr>
            </w:pPr>
            <w:r>
              <w:rPr>
                <w:noProof/>
              </w:rPr>
              <w:t>2026</w:t>
            </w:r>
          </w:p>
        </w:tc>
        <w:tc>
          <w:tcPr>
            <w:tcW w:w="4310" w:type="dxa"/>
            <w:shd w:val="clear" w:color="auto" w:fill="C6EFCE"/>
            <w:vAlign w:val="center"/>
          </w:tcPr>
          <w:p w14:paraId="3046BAEB" w14:textId="4447587C" w:rsidR="00615E2D" w:rsidRDefault="00C83E46">
            <w:pPr>
              <w:pStyle w:val="P68B1DB1-Normal15"/>
              <w:spacing w:before="0" w:after="0" w:line="240" w:lineRule="auto"/>
              <w:rPr>
                <w:noProof/>
              </w:rPr>
            </w:pPr>
            <w:r>
              <w:rPr>
                <w:noProof/>
              </w:rPr>
              <w:t>Državni fond za potporu ulaganjima sklapa pravne sporazume o financiranju s krajnjim korisnicima u iznosu potrebnom za upotrebu 100 % ulaganja iz Mehanizma za oporavak i otpornost (uzimajući u obzir naknade za upravljanje).</w:t>
            </w:r>
          </w:p>
        </w:tc>
      </w:tr>
      <w:tr w:rsidR="00615E2D" w14:paraId="46D0CC12" w14:textId="77777777">
        <w:trPr>
          <w:trHeight w:val="309"/>
          <w:jc w:val="center"/>
        </w:trPr>
        <w:tc>
          <w:tcPr>
            <w:tcW w:w="674" w:type="dxa"/>
            <w:shd w:val="clear" w:color="auto" w:fill="C6EFCE"/>
            <w:vAlign w:val="center"/>
          </w:tcPr>
          <w:p w14:paraId="7F3F2A93" w14:textId="23314F13" w:rsidR="00615E2D" w:rsidRDefault="00C83E46">
            <w:pPr>
              <w:pStyle w:val="P68B1DB1-Normal15"/>
              <w:spacing w:before="0" w:after="0" w:line="240" w:lineRule="auto"/>
              <w:jc w:val="center"/>
              <w:rPr>
                <w:noProof/>
              </w:rPr>
            </w:pPr>
            <w:r>
              <w:rPr>
                <w:noProof/>
              </w:rPr>
              <w:t>266</w:t>
            </w:r>
          </w:p>
        </w:tc>
        <w:tc>
          <w:tcPr>
            <w:tcW w:w="1690" w:type="dxa"/>
            <w:shd w:val="clear" w:color="auto" w:fill="C6EFCE"/>
            <w:vAlign w:val="center"/>
          </w:tcPr>
          <w:p w14:paraId="35514E07" w14:textId="77777777" w:rsidR="00615E2D" w:rsidRDefault="00C83E46">
            <w:pPr>
              <w:pStyle w:val="P68B1DB1-Normal15"/>
              <w:spacing w:after="0" w:line="240" w:lineRule="auto"/>
              <w:rPr>
                <w:noProof/>
              </w:rPr>
            </w:pPr>
            <w:r>
              <w:rPr>
                <w:noProof/>
              </w:rPr>
              <w:t>Ulaganje 1:</w:t>
            </w:r>
          </w:p>
          <w:p w14:paraId="11E3EDDE" w14:textId="57517A55" w:rsidR="00615E2D" w:rsidRDefault="00C83E46">
            <w:pPr>
              <w:pStyle w:val="P68B1DB1-Normal15"/>
              <w:spacing w:before="0" w:after="0" w:line="240" w:lineRule="auto"/>
              <w:rPr>
                <w:noProof/>
              </w:rPr>
            </w:pPr>
            <w:r>
              <w:rPr>
                <w:noProof/>
              </w:rPr>
              <w:t>Povlaštena kreditna linija</w:t>
            </w:r>
          </w:p>
        </w:tc>
        <w:tc>
          <w:tcPr>
            <w:tcW w:w="1134" w:type="dxa"/>
            <w:shd w:val="clear" w:color="auto" w:fill="C6EFCE"/>
            <w:vAlign w:val="center"/>
          </w:tcPr>
          <w:p w14:paraId="7029135F" w14:textId="7A16E8F0" w:rsidR="00615E2D" w:rsidRDefault="00C83E46">
            <w:pPr>
              <w:pStyle w:val="P68B1DB1-Normal15"/>
              <w:spacing w:before="0" w:after="0" w:line="240" w:lineRule="auto"/>
              <w:rPr>
                <w:noProof/>
              </w:rPr>
            </w:pPr>
            <w:r>
              <w:rPr>
                <w:noProof/>
              </w:rPr>
              <w:t>Prekretnica</w:t>
            </w:r>
          </w:p>
        </w:tc>
        <w:tc>
          <w:tcPr>
            <w:tcW w:w="1607" w:type="dxa"/>
            <w:shd w:val="clear" w:color="auto" w:fill="C6EFCE"/>
            <w:vAlign w:val="center"/>
          </w:tcPr>
          <w:p w14:paraId="72D9066A" w14:textId="3B48A11B" w:rsidR="00615E2D" w:rsidRDefault="00C83E46">
            <w:pPr>
              <w:pStyle w:val="P68B1DB1-Normal15"/>
              <w:spacing w:before="0" w:after="0" w:line="240" w:lineRule="auto"/>
              <w:rPr>
                <w:noProof/>
              </w:rPr>
            </w:pPr>
            <w:r>
              <w:rPr>
                <w:noProof/>
              </w:rPr>
              <w:t>Ministarstvo je dovršilo ulaganje</w:t>
            </w:r>
          </w:p>
        </w:tc>
        <w:tc>
          <w:tcPr>
            <w:tcW w:w="1872" w:type="dxa"/>
            <w:shd w:val="clear" w:color="auto" w:fill="C6EFCE"/>
            <w:vAlign w:val="center"/>
          </w:tcPr>
          <w:p w14:paraId="0AD807B9" w14:textId="5422E62C" w:rsidR="00615E2D" w:rsidRDefault="00C83E46">
            <w:pPr>
              <w:pStyle w:val="P68B1DB1-Normal15"/>
              <w:spacing w:before="0" w:after="0" w:line="240" w:lineRule="auto"/>
              <w:rPr>
                <w:noProof/>
              </w:rPr>
            </w:pPr>
            <w:r>
              <w:rPr>
                <w:noProof/>
              </w:rPr>
              <w:t>Potvrda o prijenosu</w:t>
            </w:r>
          </w:p>
        </w:tc>
        <w:tc>
          <w:tcPr>
            <w:tcW w:w="971" w:type="dxa"/>
            <w:shd w:val="clear" w:color="auto" w:fill="C6EFCE"/>
            <w:vAlign w:val="center"/>
          </w:tcPr>
          <w:p w14:paraId="1CACF763" w14:textId="211FF971" w:rsidR="00615E2D" w:rsidRDefault="00615E2D">
            <w:pPr>
              <w:spacing w:before="0" w:after="0" w:line="240" w:lineRule="auto"/>
              <w:rPr>
                <w:rFonts w:eastAsia="Times New Roman"/>
                <w:noProof/>
                <w:color w:val="004300"/>
                <w:sz w:val="18"/>
              </w:rPr>
            </w:pPr>
          </w:p>
        </w:tc>
        <w:tc>
          <w:tcPr>
            <w:tcW w:w="971" w:type="dxa"/>
            <w:shd w:val="clear" w:color="auto" w:fill="C6EFCE"/>
            <w:vAlign w:val="center"/>
          </w:tcPr>
          <w:p w14:paraId="329B46C4" w14:textId="7291AB44" w:rsidR="00615E2D" w:rsidRDefault="00615E2D">
            <w:pPr>
              <w:spacing w:before="0" w:after="0" w:line="240" w:lineRule="auto"/>
              <w:jc w:val="center"/>
              <w:rPr>
                <w:rFonts w:eastAsia="Times New Roman"/>
                <w:noProof/>
                <w:color w:val="004300"/>
                <w:sz w:val="18"/>
              </w:rPr>
            </w:pPr>
          </w:p>
        </w:tc>
        <w:tc>
          <w:tcPr>
            <w:tcW w:w="1077" w:type="dxa"/>
            <w:shd w:val="clear" w:color="auto" w:fill="C6EFCE"/>
            <w:vAlign w:val="center"/>
          </w:tcPr>
          <w:p w14:paraId="09F690B8" w14:textId="7AEA6F55" w:rsidR="00615E2D" w:rsidRDefault="00615E2D">
            <w:pPr>
              <w:spacing w:before="0" w:after="0" w:line="240" w:lineRule="auto"/>
              <w:jc w:val="center"/>
              <w:rPr>
                <w:rFonts w:eastAsia="Times New Roman"/>
                <w:noProof/>
                <w:color w:val="004300"/>
                <w:sz w:val="18"/>
              </w:rPr>
            </w:pPr>
          </w:p>
        </w:tc>
        <w:tc>
          <w:tcPr>
            <w:tcW w:w="1021" w:type="dxa"/>
            <w:shd w:val="clear" w:color="auto" w:fill="C6EFCE"/>
            <w:vAlign w:val="center"/>
          </w:tcPr>
          <w:p w14:paraId="531A8935" w14:textId="77777777" w:rsidR="00615E2D" w:rsidRDefault="00C83E46">
            <w:pPr>
              <w:pStyle w:val="P68B1DB1-Normal15"/>
              <w:spacing w:before="0" w:after="0" w:line="240" w:lineRule="auto"/>
              <w:jc w:val="center"/>
              <w:rPr>
                <w:noProof/>
              </w:rPr>
            </w:pPr>
            <w:r>
              <w:rPr>
                <w:noProof/>
              </w:rPr>
              <w:t>TROMJESEČJE</w:t>
            </w:r>
          </w:p>
        </w:tc>
        <w:tc>
          <w:tcPr>
            <w:tcW w:w="678" w:type="dxa"/>
            <w:shd w:val="clear" w:color="auto" w:fill="C6EFCE"/>
            <w:vAlign w:val="center"/>
          </w:tcPr>
          <w:p w14:paraId="3C0E9018" w14:textId="77777777" w:rsidR="00615E2D" w:rsidRDefault="00C83E46">
            <w:pPr>
              <w:pStyle w:val="P68B1DB1-Normal15"/>
              <w:spacing w:before="0" w:after="0" w:line="240" w:lineRule="auto"/>
              <w:jc w:val="center"/>
              <w:rPr>
                <w:noProof/>
              </w:rPr>
            </w:pPr>
            <w:r>
              <w:rPr>
                <w:noProof/>
              </w:rPr>
              <w:t>2026</w:t>
            </w:r>
          </w:p>
        </w:tc>
        <w:tc>
          <w:tcPr>
            <w:tcW w:w="4310" w:type="dxa"/>
            <w:shd w:val="clear" w:color="auto" w:fill="C6EFCE"/>
            <w:vAlign w:val="center"/>
          </w:tcPr>
          <w:p w14:paraId="378D67B8" w14:textId="64A53A30" w:rsidR="00615E2D" w:rsidRDefault="00C83E46">
            <w:pPr>
              <w:pStyle w:val="P68B1DB1-Normal15"/>
              <w:spacing w:before="0" w:after="0" w:line="240" w:lineRule="auto"/>
              <w:rPr>
                <w:noProof/>
              </w:rPr>
            </w:pPr>
            <w:r>
              <w:rPr>
                <w:noProof/>
              </w:rPr>
              <w:t>Češka prenosi 170 460 000 EUR Državnom fondu za potporu ulaganjima za Instrument.</w:t>
            </w:r>
          </w:p>
        </w:tc>
      </w:tr>
      <w:tr w:rsidR="00615E2D" w14:paraId="6DEBE224" w14:textId="77777777">
        <w:trPr>
          <w:trHeight w:val="309"/>
          <w:jc w:val="center"/>
        </w:trPr>
        <w:tc>
          <w:tcPr>
            <w:tcW w:w="674" w:type="dxa"/>
            <w:shd w:val="clear" w:color="auto" w:fill="C6EFCE"/>
            <w:vAlign w:val="center"/>
          </w:tcPr>
          <w:p w14:paraId="53319A4A" w14:textId="7E920FAC" w:rsidR="00615E2D" w:rsidRDefault="00C83E46">
            <w:pPr>
              <w:pStyle w:val="P68B1DB1-Normal15"/>
              <w:spacing w:before="0" w:after="0" w:line="240" w:lineRule="auto"/>
              <w:jc w:val="center"/>
              <w:rPr>
                <w:noProof/>
              </w:rPr>
            </w:pPr>
            <w:r>
              <w:rPr>
                <w:noProof/>
              </w:rPr>
              <w:t>267</w:t>
            </w:r>
          </w:p>
        </w:tc>
        <w:tc>
          <w:tcPr>
            <w:tcW w:w="1690" w:type="dxa"/>
            <w:shd w:val="clear" w:color="auto" w:fill="C6EFCE"/>
            <w:vAlign w:val="center"/>
          </w:tcPr>
          <w:p w14:paraId="30F8FB3A" w14:textId="77777777" w:rsidR="00615E2D" w:rsidRDefault="00C83E46">
            <w:pPr>
              <w:pStyle w:val="P68B1DB1-Normal15"/>
              <w:spacing w:after="0" w:line="240" w:lineRule="auto"/>
              <w:rPr>
                <w:noProof/>
              </w:rPr>
            </w:pPr>
            <w:r>
              <w:rPr>
                <w:noProof/>
              </w:rPr>
              <w:t xml:space="preserve">Ulaganje 2: </w:t>
            </w:r>
          </w:p>
          <w:p w14:paraId="5ACA9A97" w14:textId="440F82E4" w:rsidR="00615E2D" w:rsidRDefault="00C83E46">
            <w:pPr>
              <w:pStyle w:val="P68B1DB1-Normal15"/>
              <w:spacing w:before="0" w:after="0" w:line="240" w:lineRule="auto"/>
              <w:rPr>
                <w:noProof/>
              </w:rPr>
            </w:pPr>
            <w:r>
              <w:rPr>
                <w:noProof/>
              </w:rPr>
              <w:t>Podređeni kreditni instrument</w:t>
            </w:r>
          </w:p>
        </w:tc>
        <w:tc>
          <w:tcPr>
            <w:tcW w:w="1134" w:type="dxa"/>
            <w:shd w:val="clear" w:color="auto" w:fill="C6EFCE"/>
            <w:vAlign w:val="center"/>
          </w:tcPr>
          <w:p w14:paraId="29996760" w14:textId="77777777" w:rsidR="00615E2D" w:rsidRDefault="00C83E46">
            <w:pPr>
              <w:pStyle w:val="P68B1DB1-Normal15"/>
              <w:spacing w:before="0" w:after="0" w:line="240" w:lineRule="auto"/>
              <w:rPr>
                <w:noProof/>
              </w:rPr>
            </w:pPr>
            <w:r>
              <w:rPr>
                <w:noProof/>
              </w:rPr>
              <w:t>Prekretnica</w:t>
            </w:r>
          </w:p>
        </w:tc>
        <w:tc>
          <w:tcPr>
            <w:tcW w:w="1607" w:type="dxa"/>
            <w:shd w:val="clear" w:color="auto" w:fill="C6EFCE"/>
            <w:vAlign w:val="center"/>
          </w:tcPr>
          <w:p w14:paraId="7D1FA384" w14:textId="76406CDF" w:rsidR="00615E2D" w:rsidRDefault="00C83E46">
            <w:pPr>
              <w:pStyle w:val="P68B1DB1-Normal15"/>
              <w:spacing w:before="0" w:after="0" w:line="240" w:lineRule="auto"/>
              <w:rPr>
                <w:noProof/>
              </w:rPr>
            </w:pPr>
            <w:r>
              <w:rPr>
                <w:noProof/>
              </w:rPr>
              <w:t>Provedbeni sporazum</w:t>
            </w:r>
          </w:p>
        </w:tc>
        <w:tc>
          <w:tcPr>
            <w:tcW w:w="1872" w:type="dxa"/>
            <w:shd w:val="clear" w:color="auto" w:fill="C6EFCE"/>
            <w:vAlign w:val="center"/>
          </w:tcPr>
          <w:p w14:paraId="41D0F065" w14:textId="071A593F" w:rsidR="00615E2D" w:rsidRDefault="00C83E46">
            <w:pPr>
              <w:pStyle w:val="P68B1DB1-Normal15"/>
              <w:spacing w:before="0" w:after="0" w:line="240" w:lineRule="auto"/>
              <w:rPr>
                <w:noProof/>
              </w:rPr>
            </w:pPr>
            <w:r>
              <w:rPr>
                <w:noProof/>
              </w:rPr>
              <w:t>Stupanje na snagu provedbenog sporazuma</w:t>
            </w:r>
          </w:p>
        </w:tc>
        <w:tc>
          <w:tcPr>
            <w:tcW w:w="971" w:type="dxa"/>
            <w:shd w:val="clear" w:color="auto" w:fill="C6EFCE"/>
            <w:vAlign w:val="center"/>
          </w:tcPr>
          <w:p w14:paraId="07A32CD5" w14:textId="77777777" w:rsidR="00615E2D" w:rsidRDefault="00615E2D">
            <w:pPr>
              <w:spacing w:before="0" w:after="0" w:line="240" w:lineRule="auto"/>
              <w:rPr>
                <w:rFonts w:eastAsia="Times New Roman"/>
                <w:noProof/>
                <w:color w:val="004300"/>
                <w:sz w:val="18"/>
              </w:rPr>
            </w:pPr>
          </w:p>
        </w:tc>
        <w:tc>
          <w:tcPr>
            <w:tcW w:w="971" w:type="dxa"/>
            <w:shd w:val="clear" w:color="auto" w:fill="C6EFCE"/>
            <w:vAlign w:val="center"/>
          </w:tcPr>
          <w:p w14:paraId="19FBAE90" w14:textId="77777777" w:rsidR="00615E2D" w:rsidRDefault="00615E2D">
            <w:pPr>
              <w:spacing w:before="0" w:after="0" w:line="240" w:lineRule="auto"/>
              <w:jc w:val="center"/>
              <w:rPr>
                <w:rFonts w:eastAsia="Times New Roman"/>
                <w:noProof/>
                <w:color w:val="004300"/>
                <w:sz w:val="18"/>
              </w:rPr>
            </w:pPr>
          </w:p>
        </w:tc>
        <w:tc>
          <w:tcPr>
            <w:tcW w:w="1077" w:type="dxa"/>
            <w:shd w:val="clear" w:color="auto" w:fill="C6EFCE"/>
            <w:vAlign w:val="center"/>
          </w:tcPr>
          <w:p w14:paraId="67649337" w14:textId="77777777" w:rsidR="00615E2D" w:rsidRDefault="00615E2D">
            <w:pPr>
              <w:spacing w:before="0" w:after="0" w:line="240" w:lineRule="auto"/>
              <w:jc w:val="center"/>
              <w:rPr>
                <w:rFonts w:eastAsia="Times New Roman"/>
                <w:noProof/>
                <w:color w:val="004300"/>
                <w:sz w:val="18"/>
              </w:rPr>
            </w:pPr>
          </w:p>
        </w:tc>
        <w:tc>
          <w:tcPr>
            <w:tcW w:w="1021" w:type="dxa"/>
            <w:shd w:val="clear" w:color="auto" w:fill="C6EFCE"/>
            <w:vAlign w:val="center"/>
          </w:tcPr>
          <w:p w14:paraId="18709B12" w14:textId="27CE01E4" w:rsidR="00615E2D" w:rsidRDefault="00C83E46">
            <w:pPr>
              <w:pStyle w:val="P68B1DB1-Normal15"/>
              <w:spacing w:before="0" w:after="0" w:line="240" w:lineRule="auto"/>
              <w:jc w:val="center"/>
              <w:rPr>
                <w:noProof/>
              </w:rPr>
            </w:pPr>
            <w:r>
              <w:rPr>
                <w:noProof/>
              </w:rPr>
              <w:t>TROMJESEČJE</w:t>
            </w:r>
          </w:p>
        </w:tc>
        <w:tc>
          <w:tcPr>
            <w:tcW w:w="678" w:type="dxa"/>
            <w:shd w:val="clear" w:color="auto" w:fill="C6EFCE"/>
            <w:vAlign w:val="center"/>
          </w:tcPr>
          <w:p w14:paraId="32F9BF35" w14:textId="1BF532F2" w:rsidR="00615E2D" w:rsidRDefault="00C83E46">
            <w:pPr>
              <w:pStyle w:val="P68B1DB1-Normal15"/>
              <w:spacing w:before="0" w:after="0" w:line="240" w:lineRule="auto"/>
              <w:jc w:val="center"/>
              <w:rPr>
                <w:noProof/>
              </w:rPr>
            </w:pPr>
            <w:r>
              <w:rPr>
                <w:noProof/>
              </w:rPr>
              <w:t>2024</w:t>
            </w:r>
          </w:p>
        </w:tc>
        <w:tc>
          <w:tcPr>
            <w:tcW w:w="4310" w:type="dxa"/>
            <w:shd w:val="clear" w:color="auto" w:fill="C6EFCE"/>
            <w:vAlign w:val="center"/>
          </w:tcPr>
          <w:p w14:paraId="32291A8A" w14:textId="79FB80D5" w:rsidR="00615E2D" w:rsidRDefault="00C83E46">
            <w:pPr>
              <w:pStyle w:val="P68B1DB1-Normal15"/>
              <w:spacing w:line="240" w:lineRule="auto"/>
              <w:rPr>
                <w:noProof/>
              </w:rPr>
            </w:pPr>
            <w:r>
              <w:rPr>
                <w:noProof/>
              </w:rPr>
              <w:t>Stupanje na snagu provedbenog sporazuma.</w:t>
            </w:r>
          </w:p>
        </w:tc>
      </w:tr>
      <w:tr w:rsidR="00615E2D" w14:paraId="2C4568A5" w14:textId="77777777">
        <w:trPr>
          <w:trHeight w:val="309"/>
          <w:jc w:val="center"/>
        </w:trPr>
        <w:tc>
          <w:tcPr>
            <w:tcW w:w="674" w:type="dxa"/>
            <w:shd w:val="clear" w:color="auto" w:fill="C6EFCE"/>
            <w:vAlign w:val="center"/>
          </w:tcPr>
          <w:p w14:paraId="2C90C4C3" w14:textId="221DCAE9" w:rsidR="00615E2D" w:rsidRDefault="00C83E46">
            <w:pPr>
              <w:pStyle w:val="P68B1DB1-Normal15"/>
              <w:spacing w:before="0" w:after="0" w:line="240" w:lineRule="auto"/>
              <w:jc w:val="center"/>
              <w:rPr>
                <w:noProof/>
              </w:rPr>
            </w:pPr>
            <w:r>
              <w:rPr>
                <w:noProof/>
              </w:rPr>
              <w:t>268</w:t>
            </w:r>
          </w:p>
        </w:tc>
        <w:tc>
          <w:tcPr>
            <w:tcW w:w="1690" w:type="dxa"/>
            <w:shd w:val="clear" w:color="auto" w:fill="C6EFCE"/>
            <w:vAlign w:val="center"/>
          </w:tcPr>
          <w:p w14:paraId="48D92C74" w14:textId="77777777" w:rsidR="00615E2D" w:rsidRDefault="00C83E46">
            <w:pPr>
              <w:pStyle w:val="P68B1DB1-Normal15"/>
              <w:spacing w:after="0" w:line="240" w:lineRule="auto"/>
              <w:rPr>
                <w:noProof/>
              </w:rPr>
            </w:pPr>
            <w:r>
              <w:rPr>
                <w:noProof/>
              </w:rPr>
              <w:t xml:space="preserve">Ulaganje 2: </w:t>
            </w:r>
          </w:p>
          <w:p w14:paraId="4E8B4025" w14:textId="5A1982C5" w:rsidR="00615E2D" w:rsidRDefault="00C83E46">
            <w:pPr>
              <w:pStyle w:val="P68B1DB1-Normal15"/>
              <w:spacing w:before="0" w:after="0" w:line="240" w:lineRule="auto"/>
              <w:rPr>
                <w:noProof/>
              </w:rPr>
            </w:pPr>
            <w:r>
              <w:rPr>
                <w:noProof/>
              </w:rPr>
              <w:t>Podređeni kreditni instrument</w:t>
            </w:r>
          </w:p>
        </w:tc>
        <w:tc>
          <w:tcPr>
            <w:tcW w:w="1134" w:type="dxa"/>
            <w:shd w:val="clear" w:color="auto" w:fill="C6EFCE"/>
            <w:vAlign w:val="center"/>
          </w:tcPr>
          <w:p w14:paraId="4F28BBC2" w14:textId="618AAEFA" w:rsidR="00615E2D" w:rsidRDefault="00C83E46">
            <w:pPr>
              <w:pStyle w:val="P68B1DB1-Normal15"/>
              <w:spacing w:before="0" w:after="0" w:line="240" w:lineRule="auto"/>
              <w:rPr>
                <w:noProof/>
              </w:rPr>
            </w:pPr>
            <w:r>
              <w:rPr>
                <w:noProof/>
              </w:rPr>
              <w:t>Ciljna</w:t>
            </w:r>
          </w:p>
        </w:tc>
        <w:tc>
          <w:tcPr>
            <w:tcW w:w="1607" w:type="dxa"/>
            <w:shd w:val="clear" w:color="auto" w:fill="C6EFCE"/>
            <w:vAlign w:val="center"/>
          </w:tcPr>
          <w:p w14:paraId="68B7E607" w14:textId="4E5B9849" w:rsidR="00615E2D" w:rsidRDefault="00C83E46">
            <w:pPr>
              <w:pStyle w:val="P68B1DB1-Normal15"/>
              <w:spacing w:before="0" w:after="0" w:line="240" w:lineRule="auto"/>
              <w:rPr>
                <w:noProof/>
              </w:rPr>
            </w:pPr>
            <w:r>
              <w:rPr>
                <w:noProof/>
              </w:rPr>
              <w:t>Pravni sporazumi potpisani s krajnjim korisnicima</w:t>
            </w:r>
          </w:p>
        </w:tc>
        <w:tc>
          <w:tcPr>
            <w:tcW w:w="1872" w:type="dxa"/>
            <w:shd w:val="clear" w:color="auto" w:fill="C6EFCE"/>
            <w:vAlign w:val="center"/>
          </w:tcPr>
          <w:p w14:paraId="7200919A" w14:textId="77777777" w:rsidR="00615E2D" w:rsidRDefault="00615E2D">
            <w:pPr>
              <w:spacing w:before="0" w:after="0" w:line="240" w:lineRule="auto"/>
              <w:rPr>
                <w:rFonts w:eastAsia="Times New Roman"/>
                <w:noProof/>
                <w:color w:val="004300"/>
                <w:sz w:val="18"/>
              </w:rPr>
            </w:pPr>
          </w:p>
        </w:tc>
        <w:tc>
          <w:tcPr>
            <w:tcW w:w="971" w:type="dxa"/>
            <w:shd w:val="clear" w:color="auto" w:fill="C6EFCE"/>
            <w:vAlign w:val="center"/>
          </w:tcPr>
          <w:p w14:paraId="1ADEB2D7" w14:textId="77777777" w:rsidR="00615E2D" w:rsidRDefault="00C83E46">
            <w:pPr>
              <w:pStyle w:val="P68B1DB1-Normal15"/>
              <w:spacing w:before="0" w:after="0" w:line="240" w:lineRule="auto"/>
              <w:rPr>
                <w:noProof/>
              </w:rPr>
            </w:pPr>
            <w:r>
              <w:rPr>
                <w:noProof/>
              </w:rPr>
              <w:t>% (postotak)</w:t>
            </w:r>
          </w:p>
        </w:tc>
        <w:tc>
          <w:tcPr>
            <w:tcW w:w="971" w:type="dxa"/>
            <w:shd w:val="clear" w:color="auto" w:fill="C6EFCE"/>
            <w:vAlign w:val="center"/>
          </w:tcPr>
          <w:p w14:paraId="6C7F992D" w14:textId="6E7050C1" w:rsidR="00615E2D" w:rsidRDefault="00C83E46">
            <w:pPr>
              <w:pStyle w:val="P68B1DB1-Normal15"/>
              <w:spacing w:before="0" w:after="0" w:line="240" w:lineRule="auto"/>
              <w:jc w:val="center"/>
              <w:rPr>
                <w:noProof/>
              </w:rPr>
            </w:pPr>
            <w:r>
              <w:rPr>
                <w:noProof/>
              </w:rPr>
              <w:t>0</w:t>
            </w:r>
          </w:p>
        </w:tc>
        <w:tc>
          <w:tcPr>
            <w:tcW w:w="1077" w:type="dxa"/>
            <w:shd w:val="clear" w:color="auto" w:fill="C6EFCE"/>
            <w:vAlign w:val="center"/>
          </w:tcPr>
          <w:p w14:paraId="76244097" w14:textId="77777777" w:rsidR="00615E2D" w:rsidRDefault="00C83E46">
            <w:pPr>
              <w:pStyle w:val="P68B1DB1-Normal15"/>
              <w:spacing w:before="0" w:after="0" w:line="240" w:lineRule="auto"/>
              <w:jc w:val="center"/>
              <w:rPr>
                <w:noProof/>
              </w:rPr>
            </w:pPr>
            <w:r>
              <w:rPr>
                <w:noProof/>
              </w:rPr>
              <w:t>100</w:t>
            </w:r>
          </w:p>
        </w:tc>
        <w:tc>
          <w:tcPr>
            <w:tcW w:w="1021" w:type="dxa"/>
            <w:shd w:val="clear" w:color="auto" w:fill="C6EFCE"/>
            <w:vAlign w:val="center"/>
          </w:tcPr>
          <w:p w14:paraId="67CEDAC3" w14:textId="77777777" w:rsidR="00615E2D" w:rsidRDefault="00C83E46">
            <w:pPr>
              <w:pStyle w:val="P68B1DB1-Normal15"/>
              <w:spacing w:before="0" w:after="0" w:line="240" w:lineRule="auto"/>
              <w:jc w:val="center"/>
              <w:rPr>
                <w:noProof/>
              </w:rPr>
            </w:pPr>
            <w:r>
              <w:rPr>
                <w:noProof/>
              </w:rPr>
              <w:t>TROMJESEČJE</w:t>
            </w:r>
          </w:p>
        </w:tc>
        <w:tc>
          <w:tcPr>
            <w:tcW w:w="678" w:type="dxa"/>
            <w:shd w:val="clear" w:color="auto" w:fill="C6EFCE"/>
            <w:vAlign w:val="center"/>
          </w:tcPr>
          <w:p w14:paraId="09A471C1" w14:textId="7967D502" w:rsidR="00615E2D" w:rsidRDefault="00C83E46">
            <w:pPr>
              <w:pStyle w:val="P68B1DB1-Normal15"/>
              <w:spacing w:after="0" w:line="240" w:lineRule="auto"/>
              <w:jc w:val="center"/>
              <w:rPr>
                <w:noProof/>
              </w:rPr>
            </w:pPr>
            <w:r>
              <w:rPr>
                <w:noProof/>
              </w:rPr>
              <w:t>2026</w:t>
            </w:r>
          </w:p>
        </w:tc>
        <w:tc>
          <w:tcPr>
            <w:tcW w:w="4310" w:type="dxa"/>
            <w:shd w:val="clear" w:color="auto" w:fill="C6EFCE"/>
            <w:vAlign w:val="center"/>
          </w:tcPr>
          <w:p w14:paraId="716E371E" w14:textId="1982176E" w:rsidR="00615E2D" w:rsidRDefault="00C83E46">
            <w:pPr>
              <w:pStyle w:val="P68B1DB1-Normal15"/>
              <w:spacing w:before="0" w:after="0" w:line="240" w:lineRule="auto"/>
              <w:rPr>
                <w:noProof/>
              </w:rPr>
            </w:pPr>
            <w:r>
              <w:rPr>
                <w:noProof/>
              </w:rPr>
              <w:t>Nacionalna razvojna banka sklopila je pravne sporazume o financiranju s krajnjim korisnicima u iznosu potrebnom za upotrebu 100 % ulaganja iz Mehanizma za oporavak i otpornost (uzimajući u obzir naknade za upravljanje).</w:t>
            </w:r>
          </w:p>
        </w:tc>
      </w:tr>
      <w:tr w:rsidR="00615E2D" w14:paraId="48656236" w14:textId="77777777">
        <w:trPr>
          <w:trHeight w:val="309"/>
          <w:jc w:val="center"/>
        </w:trPr>
        <w:tc>
          <w:tcPr>
            <w:tcW w:w="674" w:type="dxa"/>
            <w:shd w:val="clear" w:color="auto" w:fill="C6EFCE"/>
            <w:vAlign w:val="center"/>
          </w:tcPr>
          <w:p w14:paraId="7DCC4766" w14:textId="1A37C084" w:rsidR="00615E2D" w:rsidRDefault="00C83E46">
            <w:pPr>
              <w:pStyle w:val="P68B1DB1-Normal15"/>
              <w:spacing w:before="0" w:after="0" w:line="240" w:lineRule="auto"/>
              <w:jc w:val="center"/>
              <w:rPr>
                <w:noProof/>
              </w:rPr>
            </w:pPr>
            <w:r>
              <w:rPr>
                <w:noProof/>
              </w:rPr>
              <w:t>269</w:t>
            </w:r>
          </w:p>
        </w:tc>
        <w:tc>
          <w:tcPr>
            <w:tcW w:w="1690" w:type="dxa"/>
            <w:shd w:val="clear" w:color="auto" w:fill="C6EFCE"/>
            <w:vAlign w:val="center"/>
          </w:tcPr>
          <w:p w14:paraId="20DBFC82" w14:textId="77777777" w:rsidR="00615E2D" w:rsidRDefault="00C83E46">
            <w:pPr>
              <w:pStyle w:val="P68B1DB1-Normal15"/>
              <w:spacing w:after="0" w:line="240" w:lineRule="auto"/>
              <w:rPr>
                <w:noProof/>
              </w:rPr>
            </w:pPr>
            <w:r>
              <w:rPr>
                <w:noProof/>
              </w:rPr>
              <w:t xml:space="preserve">Ulaganje 2: </w:t>
            </w:r>
          </w:p>
          <w:p w14:paraId="3272C2CC" w14:textId="1E6D7B39" w:rsidR="00615E2D" w:rsidRDefault="00C83E46">
            <w:pPr>
              <w:pStyle w:val="P68B1DB1-Normal15"/>
              <w:spacing w:before="0" w:after="0" w:line="240" w:lineRule="auto"/>
              <w:rPr>
                <w:noProof/>
              </w:rPr>
            </w:pPr>
            <w:r>
              <w:rPr>
                <w:noProof/>
              </w:rPr>
              <w:t>Podređeni kreditni instrument</w:t>
            </w:r>
          </w:p>
        </w:tc>
        <w:tc>
          <w:tcPr>
            <w:tcW w:w="1134" w:type="dxa"/>
            <w:shd w:val="clear" w:color="auto" w:fill="C6EFCE"/>
            <w:vAlign w:val="center"/>
          </w:tcPr>
          <w:p w14:paraId="77A7CF18" w14:textId="21732EB9" w:rsidR="00615E2D" w:rsidRDefault="00C83E46">
            <w:pPr>
              <w:pStyle w:val="P68B1DB1-Normal15"/>
              <w:spacing w:before="0" w:after="0" w:line="240" w:lineRule="auto"/>
              <w:rPr>
                <w:noProof/>
              </w:rPr>
            </w:pPr>
            <w:r>
              <w:rPr>
                <w:noProof/>
              </w:rPr>
              <w:t>Prekretnica</w:t>
            </w:r>
          </w:p>
        </w:tc>
        <w:tc>
          <w:tcPr>
            <w:tcW w:w="1607" w:type="dxa"/>
            <w:shd w:val="clear" w:color="auto" w:fill="C6EFCE"/>
            <w:vAlign w:val="center"/>
          </w:tcPr>
          <w:p w14:paraId="7BC0B464" w14:textId="1A83101C" w:rsidR="00615E2D" w:rsidRDefault="00C83E46">
            <w:pPr>
              <w:pStyle w:val="P68B1DB1-Normal15"/>
              <w:spacing w:before="0" w:after="0" w:line="240" w:lineRule="auto"/>
              <w:rPr>
                <w:noProof/>
              </w:rPr>
            </w:pPr>
            <w:r>
              <w:rPr>
                <w:noProof/>
              </w:rPr>
              <w:t>Ministarstvo je dovršilo ulaganje</w:t>
            </w:r>
          </w:p>
        </w:tc>
        <w:tc>
          <w:tcPr>
            <w:tcW w:w="1872" w:type="dxa"/>
            <w:shd w:val="clear" w:color="auto" w:fill="C6EFCE"/>
            <w:vAlign w:val="center"/>
          </w:tcPr>
          <w:p w14:paraId="2AD55717" w14:textId="7F8EAFB9" w:rsidR="00615E2D" w:rsidRDefault="00C83E46">
            <w:pPr>
              <w:pStyle w:val="P68B1DB1-Normal15"/>
              <w:spacing w:before="0" w:after="0" w:line="240" w:lineRule="auto"/>
              <w:rPr>
                <w:noProof/>
              </w:rPr>
            </w:pPr>
            <w:r>
              <w:rPr>
                <w:noProof/>
              </w:rPr>
              <w:t>Potvrda o prijenosu</w:t>
            </w:r>
          </w:p>
        </w:tc>
        <w:tc>
          <w:tcPr>
            <w:tcW w:w="971" w:type="dxa"/>
            <w:shd w:val="clear" w:color="auto" w:fill="C6EFCE"/>
            <w:vAlign w:val="center"/>
          </w:tcPr>
          <w:p w14:paraId="557AE372" w14:textId="7B483122" w:rsidR="00615E2D" w:rsidRDefault="00615E2D">
            <w:pPr>
              <w:spacing w:before="0" w:after="0" w:line="240" w:lineRule="auto"/>
              <w:rPr>
                <w:rFonts w:eastAsia="Times New Roman"/>
                <w:noProof/>
                <w:color w:val="004300"/>
                <w:sz w:val="18"/>
              </w:rPr>
            </w:pPr>
          </w:p>
        </w:tc>
        <w:tc>
          <w:tcPr>
            <w:tcW w:w="971" w:type="dxa"/>
            <w:shd w:val="clear" w:color="auto" w:fill="C6EFCE"/>
            <w:vAlign w:val="center"/>
          </w:tcPr>
          <w:p w14:paraId="6674814D" w14:textId="0D03E36A" w:rsidR="00615E2D" w:rsidRDefault="00615E2D">
            <w:pPr>
              <w:spacing w:before="0" w:after="0" w:line="240" w:lineRule="auto"/>
              <w:jc w:val="center"/>
              <w:rPr>
                <w:rFonts w:eastAsia="Times New Roman"/>
                <w:noProof/>
                <w:color w:val="004300"/>
                <w:sz w:val="18"/>
              </w:rPr>
            </w:pPr>
          </w:p>
        </w:tc>
        <w:tc>
          <w:tcPr>
            <w:tcW w:w="1077" w:type="dxa"/>
            <w:shd w:val="clear" w:color="auto" w:fill="C6EFCE"/>
            <w:vAlign w:val="center"/>
          </w:tcPr>
          <w:p w14:paraId="1E914E9A" w14:textId="02F57654" w:rsidR="00615E2D" w:rsidRDefault="00615E2D">
            <w:pPr>
              <w:spacing w:before="0" w:after="0" w:line="240" w:lineRule="auto"/>
              <w:jc w:val="center"/>
              <w:rPr>
                <w:rFonts w:eastAsia="Times New Roman"/>
                <w:noProof/>
                <w:color w:val="004300"/>
                <w:sz w:val="18"/>
              </w:rPr>
            </w:pPr>
          </w:p>
        </w:tc>
        <w:tc>
          <w:tcPr>
            <w:tcW w:w="1021" w:type="dxa"/>
            <w:shd w:val="clear" w:color="auto" w:fill="C6EFCE"/>
            <w:vAlign w:val="center"/>
          </w:tcPr>
          <w:p w14:paraId="47812570" w14:textId="77777777" w:rsidR="00615E2D" w:rsidRDefault="00C83E46">
            <w:pPr>
              <w:pStyle w:val="P68B1DB1-Normal15"/>
              <w:spacing w:before="0" w:after="0" w:line="240" w:lineRule="auto"/>
              <w:jc w:val="center"/>
              <w:rPr>
                <w:noProof/>
              </w:rPr>
            </w:pPr>
            <w:r>
              <w:rPr>
                <w:noProof/>
              </w:rPr>
              <w:t>TROMJESEČJE</w:t>
            </w:r>
          </w:p>
        </w:tc>
        <w:tc>
          <w:tcPr>
            <w:tcW w:w="678" w:type="dxa"/>
            <w:shd w:val="clear" w:color="auto" w:fill="C6EFCE"/>
            <w:vAlign w:val="center"/>
          </w:tcPr>
          <w:p w14:paraId="4B98B468" w14:textId="7A1E7A9B" w:rsidR="00615E2D" w:rsidRDefault="00C83E46">
            <w:pPr>
              <w:pStyle w:val="P68B1DB1-Normal15"/>
              <w:spacing w:after="0" w:line="240" w:lineRule="auto"/>
              <w:jc w:val="center"/>
              <w:rPr>
                <w:noProof/>
              </w:rPr>
            </w:pPr>
            <w:r>
              <w:rPr>
                <w:noProof/>
              </w:rPr>
              <w:t>2026</w:t>
            </w:r>
          </w:p>
        </w:tc>
        <w:tc>
          <w:tcPr>
            <w:tcW w:w="4310" w:type="dxa"/>
            <w:shd w:val="clear" w:color="auto" w:fill="C6EFCE"/>
            <w:vAlign w:val="center"/>
          </w:tcPr>
          <w:p w14:paraId="0FA858DA" w14:textId="45918816" w:rsidR="00615E2D" w:rsidRDefault="00C83E46">
            <w:pPr>
              <w:pStyle w:val="P68B1DB1-Normal15"/>
              <w:spacing w:after="0" w:line="240" w:lineRule="auto"/>
              <w:rPr>
                <w:noProof/>
              </w:rPr>
            </w:pPr>
            <w:r>
              <w:rPr>
                <w:noProof/>
              </w:rPr>
              <w:t>Češka prenosi 94 770 000 EUR Nacionalnoj razvojnoj banci za Instrument.</w:t>
            </w:r>
          </w:p>
        </w:tc>
      </w:tr>
      <w:tr w:rsidR="00615E2D" w14:paraId="3B5CE449" w14:textId="77777777">
        <w:trPr>
          <w:trHeight w:val="309"/>
          <w:jc w:val="center"/>
        </w:trPr>
        <w:tc>
          <w:tcPr>
            <w:tcW w:w="674" w:type="dxa"/>
            <w:shd w:val="clear" w:color="auto" w:fill="C6EFCE"/>
            <w:vAlign w:val="center"/>
          </w:tcPr>
          <w:p w14:paraId="7AED0861" w14:textId="21064A15" w:rsidR="00615E2D" w:rsidRDefault="00C83E46">
            <w:pPr>
              <w:pStyle w:val="P68B1DB1-Normal15"/>
              <w:spacing w:before="0" w:after="0" w:line="240" w:lineRule="auto"/>
              <w:jc w:val="center"/>
              <w:rPr>
                <w:noProof/>
              </w:rPr>
            </w:pPr>
            <w:r>
              <w:rPr>
                <w:noProof/>
              </w:rPr>
              <w:t>270</w:t>
            </w:r>
          </w:p>
        </w:tc>
        <w:tc>
          <w:tcPr>
            <w:tcW w:w="1690" w:type="dxa"/>
            <w:shd w:val="clear" w:color="auto" w:fill="C6EFCE"/>
            <w:vAlign w:val="center"/>
          </w:tcPr>
          <w:p w14:paraId="032CCCCE" w14:textId="77777777" w:rsidR="00615E2D" w:rsidRDefault="00C83E46">
            <w:pPr>
              <w:pStyle w:val="P68B1DB1-Normal15"/>
              <w:spacing w:before="0" w:after="0" w:line="240" w:lineRule="auto"/>
              <w:rPr>
                <w:noProof/>
              </w:rPr>
            </w:pPr>
            <w:r>
              <w:rPr>
                <w:noProof/>
              </w:rPr>
              <w:t xml:space="preserve">Ulaganje 3: </w:t>
            </w:r>
          </w:p>
          <w:p w14:paraId="72677D20" w14:textId="68B9AB16" w:rsidR="00615E2D" w:rsidRDefault="00C83E46">
            <w:pPr>
              <w:pStyle w:val="P68B1DB1-Normal15"/>
              <w:spacing w:before="0" w:after="0" w:line="240" w:lineRule="auto"/>
              <w:rPr>
                <w:noProof/>
              </w:rPr>
            </w:pPr>
            <w:r>
              <w:rPr>
                <w:noProof/>
              </w:rPr>
              <w:t>Instrument za zajedničko ulaganje</w:t>
            </w:r>
          </w:p>
        </w:tc>
        <w:tc>
          <w:tcPr>
            <w:tcW w:w="1134" w:type="dxa"/>
            <w:shd w:val="clear" w:color="auto" w:fill="C6EFCE"/>
            <w:vAlign w:val="center"/>
          </w:tcPr>
          <w:p w14:paraId="073839A0" w14:textId="503FFA8C" w:rsidR="00615E2D" w:rsidRDefault="00C83E46">
            <w:pPr>
              <w:pStyle w:val="P68B1DB1-Normal15"/>
              <w:spacing w:before="0" w:after="0" w:line="240" w:lineRule="auto"/>
              <w:rPr>
                <w:noProof/>
              </w:rPr>
            </w:pPr>
            <w:r>
              <w:rPr>
                <w:noProof/>
              </w:rPr>
              <w:t>Prekretnica</w:t>
            </w:r>
          </w:p>
        </w:tc>
        <w:tc>
          <w:tcPr>
            <w:tcW w:w="1607" w:type="dxa"/>
            <w:shd w:val="clear" w:color="auto" w:fill="C6EFCE"/>
            <w:vAlign w:val="center"/>
          </w:tcPr>
          <w:p w14:paraId="1307727D" w14:textId="75DE7DBD" w:rsidR="00615E2D" w:rsidRDefault="00C83E46">
            <w:pPr>
              <w:pStyle w:val="P68B1DB1-Normal15"/>
              <w:spacing w:before="0" w:after="0" w:line="240" w:lineRule="auto"/>
              <w:rPr>
                <w:noProof/>
              </w:rPr>
            </w:pPr>
            <w:r>
              <w:rPr>
                <w:noProof/>
              </w:rPr>
              <w:t>Provedbeni sporazum</w:t>
            </w:r>
          </w:p>
        </w:tc>
        <w:tc>
          <w:tcPr>
            <w:tcW w:w="1872" w:type="dxa"/>
            <w:shd w:val="clear" w:color="auto" w:fill="C6EFCE"/>
            <w:vAlign w:val="center"/>
          </w:tcPr>
          <w:p w14:paraId="1FBFE434" w14:textId="0F657C1D" w:rsidR="00615E2D" w:rsidRDefault="00C83E46">
            <w:pPr>
              <w:pStyle w:val="P68B1DB1-Normal15"/>
              <w:spacing w:before="0" w:after="0" w:line="240" w:lineRule="auto"/>
              <w:rPr>
                <w:noProof/>
              </w:rPr>
            </w:pPr>
            <w:r>
              <w:rPr>
                <w:noProof/>
              </w:rPr>
              <w:t>Stupanje na snagu provedbenog sporazuma</w:t>
            </w:r>
          </w:p>
        </w:tc>
        <w:tc>
          <w:tcPr>
            <w:tcW w:w="971" w:type="dxa"/>
            <w:shd w:val="clear" w:color="auto" w:fill="C6EFCE"/>
            <w:vAlign w:val="center"/>
          </w:tcPr>
          <w:p w14:paraId="1FA25A9C" w14:textId="77777777" w:rsidR="00615E2D" w:rsidRDefault="00615E2D">
            <w:pPr>
              <w:spacing w:before="0" w:after="0" w:line="240" w:lineRule="auto"/>
              <w:rPr>
                <w:rFonts w:eastAsia="Times New Roman"/>
                <w:noProof/>
                <w:color w:val="004300"/>
                <w:sz w:val="18"/>
              </w:rPr>
            </w:pPr>
          </w:p>
        </w:tc>
        <w:tc>
          <w:tcPr>
            <w:tcW w:w="971" w:type="dxa"/>
            <w:shd w:val="clear" w:color="auto" w:fill="C6EFCE"/>
            <w:vAlign w:val="center"/>
          </w:tcPr>
          <w:p w14:paraId="327AE398" w14:textId="77777777" w:rsidR="00615E2D" w:rsidRDefault="00615E2D">
            <w:pPr>
              <w:spacing w:before="0" w:after="0" w:line="240" w:lineRule="auto"/>
              <w:jc w:val="center"/>
              <w:rPr>
                <w:rFonts w:eastAsia="Times New Roman"/>
                <w:noProof/>
                <w:color w:val="004300"/>
                <w:sz w:val="18"/>
              </w:rPr>
            </w:pPr>
          </w:p>
        </w:tc>
        <w:tc>
          <w:tcPr>
            <w:tcW w:w="1077" w:type="dxa"/>
            <w:shd w:val="clear" w:color="auto" w:fill="C6EFCE"/>
            <w:vAlign w:val="center"/>
          </w:tcPr>
          <w:p w14:paraId="2F7A1EA7" w14:textId="77777777" w:rsidR="00615E2D" w:rsidRDefault="00615E2D">
            <w:pPr>
              <w:spacing w:before="0" w:after="0" w:line="240" w:lineRule="auto"/>
              <w:jc w:val="center"/>
              <w:rPr>
                <w:rFonts w:eastAsia="Times New Roman"/>
                <w:noProof/>
                <w:color w:val="004300"/>
                <w:sz w:val="18"/>
              </w:rPr>
            </w:pPr>
          </w:p>
        </w:tc>
        <w:tc>
          <w:tcPr>
            <w:tcW w:w="1021" w:type="dxa"/>
            <w:shd w:val="clear" w:color="auto" w:fill="C6EFCE"/>
            <w:vAlign w:val="center"/>
          </w:tcPr>
          <w:p w14:paraId="7AF6BDBD" w14:textId="074C9617" w:rsidR="00615E2D" w:rsidRDefault="00C83E46">
            <w:pPr>
              <w:pStyle w:val="P68B1DB1-Normal15"/>
              <w:spacing w:before="0" w:after="0" w:line="240" w:lineRule="auto"/>
              <w:jc w:val="center"/>
              <w:rPr>
                <w:noProof/>
              </w:rPr>
            </w:pPr>
            <w:r>
              <w:rPr>
                <w:noProof/>
              </w:rPr>
              <w:t>TROMJESEČJE</w:t>
            </w:r>
          </w:p>
        </w:tc>
        <w:tc>
          <w:tcPr>
            <w:tcW w:w="678" w:type="dxa"/>
            <w:shd w:val="clear" w:color="auto" w:fill="C6EFCE"/>
            <w:vAlign w:val="center"/>
          </w:tcPr>
          <w:p w14:paraId="66D9EA07" w14:textId="03844235" w:rsidR="00615E2D" w:rsidRDefault="00C83E46">
            <w:pPr>
              <w:pStyle w:val="P68B1DB1-Normal15"/>
              <w:spacing w:after="0" w:line="240" w:lineRule="auto"/>
              <w:jc w:val="center"/>
              <w:rPr>
                <w:noProof/>
              </w:rPr>
            </w:pPr>
            <w:r>
              <w:rPr>
                <w:noProof/>
              </w:rPr>
              <w:t>2024</w:t>
            </w:r>
          </w:p>
        </w:tc>
        <w:tc>
          <w:tcPr>
            <w:tcW w:w="4310" w:type="dxa"/>
            <w:shd w:val="clear" w:color="auto" w:fill="C6EFCE"/>
            <w:vAlign w:val="center"/>
          </w:tcPr>
          <w:p w14:paraId="50F3FDD0" w14:textId="6EBE9926" w:rsidR="00615E2D" w:rsidRDefault="00C83E46">
            <w:pPr>
              <w:pStyle w:val="P68B1DB1-Normal15"/>
              <w:spacing w:after="0" w:line="240" w:lineRule="auto"/>
              <w:rPr>
                <w:noProof/>
              </w:rPr>
            </w:pPr>
            <w:r>
              <w:rPr>
                <w:noProof/>
              </w:rPr>
              <w:t>Stupanje na snagu provedbenog sporazuma.</w:t>
            </w:r>
          </w:p>
        </w:tc>
      </w:tr>
      <w:tr w:rsidR="00615E2D" w14:paraId="18547449" w14:textId="77777777">
        <w:trPr>
          <w:trHeight w:val="309"/>
          <w:jc w:val="center"/>
        </w:trPr>
        <w:tc>
          <w:tcPr>
            <w:tcW w:w="674" w:type="dxa"/>
            <w:shd w:val="clear" w:color="auto" w:fill="C6EFCE"/>
            <w:vAlign w:val="center"/>
          </w:tcPr>
          <w:p w14:paraId="3AAFB56E" w14:textId="567DE6B9" w:rsidR="00615E2D" w:rsidRDefault="00C83E46">
            <w:pPr>
              <w:pStyle w:val="P68B1DB1-Normal15"/>
              <w:spacing w:before="0" w:after="0" w:line="240" w:lineRule="auto"/>
              <w:jc w:val="center"/>
              <w:rPr>
                <w:noProof/>
              </w:rPr>
            </w:pPr>
            <w:r>
              <w:rPr>
                <w:noProof/>
              </w:rPr>
              <w:t>271</w:t>
            </w:r>
          </w:p>
        </w:tc>
        <w:tc>
          <w:tcPr>
            <w:tcW w:w="1690" w:type="dxa"/>
            <w:shd w:val="clear" w:color="auto" w:fill="C6EFCE"/>
            <w:vAlign w:val="center"/>
          </w:tcPr>
          <w:p w14:paraId="01D0106F" w14:textId="77777777" w:rsidR="00615E2D" w:rsidRDefault="00C83E46">
            <w:pPr>
              <w:pStyle w:val="P68B1DB1-Normal15"/>
              <w:spacing w:after="0" w:line="240" w:lineRule="auto"/>
              <w:rPr>
                <w:noProof/>
              </w:rPr>
            </w:pPr>
            <w:r>
              <w:rPr>
                <w:noProof/>
              </w:rPr>
              <w:t xml:space="preserve">Ulaganje 3: </w:t>
            </w:r>
          </w:p>
          <w:p w14:paraId="499DA420" w14:textId="757212B1" w:rsidR="00615E2D" w:rsidRDefault="00C83E46">
            <w:pPr>
              <w:pStyle w:val="P68B1DB1-Normal15"/>
              <w:spacing w:before="0" w:after="0" w:line="240" w:lineRule="auto"/>
              <w:rPr>
                <w:noProof/>
              </w:rPr>
            </w:pPr>
            <w:r>
              <w:rPr>
                <w:noProof/>
              </w:rPr>
              <w:t>Instrument za zajedničko ulaganje</w:t>
            </w:r>
          </w:p>
        </w:tc>
        <w:tc>
          <w:tcPr>
            <w:tcW w:w="1134" w:type="dxa"/>
            <w:shd w:val="clear" w:color="auto" w:fill="C6EFCE"/>
            <w:vAlign w:val="center"/>
          </w:tcPr>
          <w:p w14:paraId="1C8E5CFF" w14:textId="53AD7CC8" w:rsidR="00615E2D" w:rsidRDefault="00C83E46">
            <w:pPr>
              <w:pStyle w:val="P68B1DB1-Normal15"/>
              <w:spacing w:line="240" w:lineRule="auto"/>
              <w:rPr>
                <w:noProof/>
              </w:rPr>
            </w:pPr>
            <w:r>
              <w:rPr>
                <w:noProof/>
              </w:rPr>
              <w:t>Ciljna</w:t>
            </w:r>
          </w:p>
        </w:tc>
        <w:tc>
          <w:tcPr>
            <w:tcW w:w="1607" w:type="dxa"/>
            <w:shd w:val="clear" w:color="auto" w:fill="C6EFCE"/>
            <w:vAlign w:val="center"/>
          </w:tcPr>
          <w:p w14:paraId="1C92622E" w14:textId="00A0C6EA" w:rsidR="00615E2D" w:rsidRDefault="00C83E46">
            <w:pPr>
              <w:pStyle w:val="P68B1DB1-Normal15"/>
              <w:spacing w:after="0" w:line="240" w:lineRule="auto"/>
              <w:rPr>
                <w:noProof/>
              </w:rPr>
            </w:pPr>
            <w:r>
              <w:rPr>
                <w:noProof/>
              </w:rPr>
              <w:t>Pravni sporazumi potpisani s krajnjim korisnicima</w:t>
            </w:r>
          </w:p>
        </w:tc>
        <w:tc>
          <w:tcPr>
            <w:tcW w:w="1872" w:type="dxa"/>
            <w:shd w:val="clear" w:color="auto" w:fill="C6EFCE"/>
            <w:vAlign w:val="center"/>
          </w:tcPr>
          <w:p w14:paraId="79392B09" w14:textId="53FAEEBA" w:rsidR="00615E2D" w:rsidRDefault="00615E2D">
            <w:pPr>
              <w:spacing w:line="240" w:lineRule="auto"/>
              <w:jc w:val="center"/>
              <w:rPr>
                <w:rFonts w:eastAsia="Times New Roman"/>
                <w:noProof/>
                <w:color w:val="004300"/>
                <w:sz w:val="18"/>
              </w:rPr>
            </w:pPr>
          </w:p>
        </w:tc>
        <w:tc>
          <w:tcPr>
            <w:tcW w:w="971" w:type="dxa"/>
            <w:shd w:val="clear" w:color="auto" w:fill="C6EFCE"/>
            <w:vAlign w:val="center"/>
          </w:tcPr>
          <w:p w14:paraId="213502D0" w14:textId="59BA5D78" w:rsidR="00615E2D" w:rsidRDefault="00C83E46">
            <w:pPr>
              <w:pStyle w:val="P68B1DB1-Normal15"/>
              <w:spacing w:before="0" w:after="0" w:line="240" w:lineRule="auto"/>
              <w:rPr>
                <w:noProof/>
              </w:rPr>
            </w:pPr>
            <w:r>
              <w:rPr>
                <w:noProof/>
              </w:rPr>
              <w:t>% (postotak)</w:t>
            </w:r>
          </w:p>
        </w:tc>
        <w:tc>
          <w:tcPr>
            <w:tcW w:w="971" w:type="dxa"/>
            <w:shd w:val="clear" w:color="auto" w:fill="C6EFCE"/>
            <w:vAlign w:val="center"/>
          </w:tcPr>
          <w:p w14:paraId="09B9B9DC" w14:textId="7F637473" w:rsidR="00615E2D" w:rsidRDefault="00C83E46">
            <w:pPr>
              <w:pStyle w:val="P68B1DB1-Normal15"/>
              <w:spacing w:before="0" w:after="0" w:line="240" w:lineRule="auto"/>
              <w:jc w:val="center"/>
              <w:rPr>
                <w:noProof/>
              </w:rPr>
            </w:pPr>
            <w:r>
              <w:rPr>
                <w:noProof/>
              </w:rPr>
              <w:t>0</w:t>
            </w:r>
          </w:p>
        </w:tc>
        <w:tc>
          <w:tcPr>
            <w:tcW w:w="1077" w:type="dxa"/>
            <w:shd w:val="clear" w:color="auto" w:fill="C6EFCE"/>
            <w:vAlign w:val="center"/>
          </w:tcPr>
          <w:p w14:paraId="351BEDA9" w14:textId="3D039BA7" w:rsidR="00615E2D" w:rsidRDefault="00C83E46">
            <w:pPr>
              <w:pStyle w:val="P68B1DB1-Normal15"/>
              <w:spacing w:before="0" w:after="0" w:line="240" w:lineRule="auto"/>
              <w:jc w:val="center"/>
              <w:rPr>
                <w:noProof/>
              </w:rPr>
            </w:pPr>
            <w:r>
              <w:rPr>
                <w:noProof/>
              </w:rPr>
              <w:t>100</w:t>
            </w:r>
          </w:p>
        </w:tc>
        <w:tc>
          <w:tcPr>
            <w:tcW w:w="1021" w:type="dxa"/>
            <w:shd w:val="clear" w:color="auto" w:fill="C6EFCE"/>
            <w:vAlign w:val="center"/>
          </w:tcPr>
          <w:p w14:paraId="0B7943D7" w14:textId="228CD15B" w:rsidR="00615E2D" w:rsidRDefault="00C83E46">
            <w:pPr>
              <w:pStyle w:val="P68B1DB1-Normal15"/>
              <w:spacing w:before="0" w:after="0" w:line="240" w:lineRule="auto"/>
              <w:jc w:val="center"/>
              <w:rPr>
                <w:noProof/>
              </w:rPr>
            </w:pPr>
            <w:r>
              <w:rPr>
                <w:noProof/>
              </w:rPr>
              <w:t>TROMJESEČJE</w:t>
            </w:r>
          </w:p>
        </w:tc>
        <w:tc>
          <w:tcPr>
            <w:tcW w:w="678" w:type="dxa"/>
            <w:shd w:val="clear" w:color="auto" w:fill="C6EFCE"/>
            <w:vAlign w:val="center"/>
          </w:tcPr>
          <w:p w14:paraId="462C419B" w14:textId="0082D7DB" w:rsidR="00615E2D" w:rsidRDefault="00C83E46">
            <w:pPr>
              <w:pStyle w:val="P68B1DB1-Normal15"/>
              <w:spacing w:after="0" w:line="240" w:lineRule="auto"/>
              <w:jc w:val="center"/>
              <w:rPr>
                <w:noProof/>
              </w:rPr>
            </w:pPr>
            <w:r>
              <w:rPr>
                <w:noProof/>
              </w:rPr>
              <w:t>2026</w:t>
            </w:r>
          </w:p>
        </w:tc>
        <w:tc>
          <w:tcPr>
            <w:tcW w:w="4310" w:type="dxa"/>
            <w:shd w:val="clear" w:color="auto" w:fill="C6EFCE"/>
            <w:vAlign w:val="center"/>
          </w:tcPr>
          <w:p w14:paraId="2ADDC17C" w14:textId="16BA02D4" w:rsidR="00615E2D" w:rsidRDefault="00C83E46">
            <w:pPr>
              <w:pStyle w:val="P68B1DB1-NormalWeb40"/>
              <w:rPr>
                <w:noProof/>
              </w:rPr>
            </w:pPr>
            <w:r>
              <w:rPr>
                <w:noProof/>
              </w:rPr>
              <w:t>Nacionalna razvojna banka sklopit će pravni sporazum o financiranju s instrumentom za zajedničko ulaganje u iznosu potrebnom za upotrebu 100 % ulaganja iz Mehanizma za oporavak i otpornost (uzimajući u obzir naknade za upravljanje).</w:t>
            </w:r>
          </w:p>
        </w:tc>
      </w:tr>
      <w:tr w:rsidR="00615E2D" w14:paraId="6F3A2B34" w14:textId="77777777">
        <w:trPr>
          <w:trHeight w:val="309"/>
          <w:jc w:val="center"/>
        </w:trPr>
        <w:tc>
          <w:tcPr>
            <w:tcW w:w="674" w:type="dxa"/>
            <w:shd w:val="clear" w:color="auto" w:fill="C6EFCE"/>
            <w:vAlign w:val="center"/>
          </w:tcPr>
          <w:p w14:paraId="6C705F1F" w14:textId="567DE6B9" w:rsidR="00615E2D" w:rsidRDefault="00C83E46">
            <w:pPr>
              <w:pStyle w:val="P68B1DB1-Normal15"/>
              <w:spacing w:before="0" w:after="0" w:line="240" w:lineRule="auto"/>
              <w:jc w:val="center"/>
              <w:rPr>
                <w:noProof/>
              </w:rPr>
            </w:pPr>
            <w:r>
              <w:rPr>
                <w:noProof/>
              </w:rPr>
              <w:t>272</w:t>
            </w:r>
          </w:p>
        </w:tc>
        <w:tc>
          <w:tcPr>
            <w:tcW w:w="1690" w:type="dxa"/>
            <w:shd w:val="clear" w:color="auto" w:fill="C6EFCE"/>
            <w:vAlign w:val="center"/>
          </w:tcPr>
          <w:p w14:paraId="144A5AA1" w14:textId="77777777" w:rsidR="00615E2D" w:rsidRDefault="00C83E46">
            <w:pPr>
              <w:pStyle w:val="P68B1DB1-Normal15"/>
              <w:spacing w:after="0" w:line="240" w:lineRule="auto"/>
              <w:rPr>
                <w:noProof/>
              </w:rPr>
            </w:pPr>
            <w:r>
              <w:rPr>
                <w:noProof/>
              </w:rPr>
              <w:t xml:space="preserve">Ulaganje 3: </w:t>
            </w:r>
          </w:p>
          <w:p w14:paraId="2DFE1116" w14:textId="04F5C025" w:rsidR="00615E2D" w:rsidRDefault="00C83E46">
            <w:pPr>
              <w:pStyle w:val="P68B1DB1-Normal15"/>
              <w:spacing w:before="0" w:after="0" w:line="240" w:lineRule="auto"/>
              <w:rPr>
                <w:noProof/>
              </w:rPr>
            </w:pPr>
            <w:r>
              <w:rPr>
                <w:noProof/>
              </w:rPr>
              <w:t>Instrument za zajedničko ulaganje</w:t>
            </w:r>
          </w:p>
        </w:tc>
        <w:tc>
          <w:tcPr>
            <w:tcW w:w="1134" w:type="dxa"/>
            <w:shd w:val="clear" w:color="auto" w:fill="C6EFCE"/>
            <w:vAlign w:val="center"/>
          </w:tcPr>
          <w:p w14:paraId="06E25755" w14:textId="10828093" w:rsidR="00615E2D" w:rsidRDefault="00C83E46">
            <w:pPr>
              <w:pStyle w:val="P68B1DB1-Normal15"/>
              <w:spacing w:line="240" w:lineRule="auto"/>
              <w:rPr>
                <w:noProof/>
              </w:rPr>
            </w:pPr>
            <w:r>
              <w:rPr>
                <w:noProof/>
              </w:rPr>
              <w:t>Prekretnica</w:t>
            </w:r>
          </w:p>
        </w:tc>
        <w:tc>
          <w:tcPr>
            <w:tcW w:w="1607" w:type="dxa"/>
            <w:shd w:val="clear" w:color="auto" w:fill="C6EFCE"/>
            <w:vAlign w:val="center"/>
          </w:tcPr>
          <w:p w14:paraId="343CFF4B" w14:textId="23668440" w:rsidR="00615E2D" w:rsidRDefault="00C83E46">
            <w:pPr>
              <w:pStyle w:val="P68B1DB1-Normal15"/>
              <w:spacing w:after="0" w:line="240" w:lineRule="auto"/>
              <w:rPr>
                <w:noProof/>
              </w:rPr>
            </w:pPr>
            <w:r>
              <w:rPr>
                <w:noProof/>
              </w:rPr>
              <w:t>Ministarstvo je dovršilo ulaganje</w:t>
            </w:r>
          </w:p>
        </w:tc>
        <w:tc>
          <w:tcPr>
            <w:tcW w:w="1872" w:type="dxa"/>
            <w:shd w:val="clear" w:color="auto" w:fill="C6EFCE"/>
            <w:vAlign w:val="center"/>
          </w:tcPr>
          <w:p w14:paraId="231AA88E" w14:textId="78C209DD" w:rsidR="00615E2D" w:rsidRDefault="00C83E46">
            <w:pPr>
              <w:pStyle w:val="P68B1DB1-Normal15"/>
              <w:spacing w:line="240" w:lineRule="auto"/>
              <w:jc w:val="center"/>
              <w:rPr>
                <w:noProof/>
              </w:rPr>
            </w:pPr>
            <w:r>
              <w:rPr>
                <w:noProof/>
              </w:rPr>
              <w:t>Potvrda o prijenosu</w:t>
            </w:r>
          </w:p>
        </w:tc>
        <w:tc>
          <w:tcPr>
            <w:tcW w:w="971" w:type="dxa"/>
            <w:shd w:val="clear" w:color="auto" w:fill="C6EFCE"/>
            <w:vAlign w:val="center"/>
          </w:tcPr>
          <w:p w14:paraId="50C10DED" w14:textId="77777777" w:rsidR="00615E2D" w:rsidRDefault="00615E2D">
            <w:pPr>
              <w:spacing w:before="0" w:after="0" w:line="240" w:lineRule="auto"/>
              <w:rPr>
                <w:rFonts w:eastAsia="Times New Roman"/>
                <w:noProof/>
                <w:color w:val="004300"/>
                <w:sz w:val="18"/>
              </w:rPr>
            </w:pPr>
          </w:p>
        </w:tc>
        <w:tc>
          <w:tcPr>
            <w:tcW w:w="971" w:type="dxa"/>
            <w:shd w:val="clear" w:color="auto" w:fill="C6EFCE"/>
            <w:vAlign w:val="center"/>
          </w:tcPr>
          <w:p w14:paraId="19401BBC" w14:textId="77777777" w:rsidR="00615E2D" w:rsidRDefault="00615E2D">
            <w:pPr>
              <w:spacing w:before="0" w:after="0" w:line="240" w:lineRule="auto"/>
              <w:jc w:val="center"/>
              <w:rPr>
                <w:rFonts w:eastAsia="Times New Roman"/>
                <w:noProof/>
                <w:color w:val="004300"/>
                <w:sz w:val="18"/>
              </w:rPr>
            </w:pPr>
          </w:p>
        </w:tc>
        <w:tc>
          <w:tcPr>
            <w:tcW w:w="1077" w:type="dxa"/>
            <w:shd w:val="clear" w:color="auto" w:fill="C6EFCE"/>
            <w:vAlign w:val="center"/>
          </w:tcPr>
          <w:p w14:paraId="4B74BE95" w14:textId="77777777" w:rsidR="00615E2D" w:rsidRDefault="00615E2D">
            <w:pPr>
              <w:spacing w:before="0" w:after="0" w:line="240" w:lineRule="auto"/>
              <w:jc w:val="center"/>
              <w:rPr>
                <w:rFonts w:eastAsia="Times New Roman"/>
                <w:noProof/>
                <w:color w:val="004300"/>
                <w:sz w:val="18"/>
              </w:rPr>
            </w:pPr>
          </w:p>
        </w:tc>
        <w:tc>
          <w:tcPr>
            <w:tcW w:w="1021" w:type="dxa"/>
            <w:shd w:val="clear" w:color="auto" w:fill="C6EFCE"/>
            <w:vAlign w:val="center"/>
          </w:tcPr>
          <w:p w14:paraId="58C03850" w14:textId="1B6AF61D" w:rsidR="00615E2D" w:rsidRDefault="00C83E46">
            <w:pPr>
              <w:pStyle w:val="P68B1DB1-Normal15"/>
              <w:spacing w:before="0" w:after="0" w:line="240" w:lineRule="auto"/>
              <w:jc w:val="center"/>
              <w:rPr>
                <w:noProof/>
              </w:rPr>
            </w:pPr>
            <w:r>
              <w:rPr>
                <w:noProof/>
              </w:rPr>
              <w:t>TROMJESEČJE</w:t>
            </w:r>
          </w:p>
        </w:tc>
        <w:tc>
          <w:tcPr>
            <w:tcW w:w="678" w:type="dxa"/>
            <w:shd w:val="clear" w:color="auto" w:fill="C6EFCE"/>
            <w:vAlign w:val="center"/>
          </w:tcPr>
          <w:p w14:paraId="613D3B43" w14:textId="395D860A" w:rsidR="00615E2D" w:rsidRDefault="00C83E46">
            <w:pPr>
              <w:pStyle w:val="P68B1DB1-Normal15"/>
              <w:spacing w:after="0" w:line="240" w:lineRule="auto"/>
              <w:jc w:val="center"/>
              <w:rPr>
                <w:noProof/>
              </w:rPr>
            </w:pPr>
            <w:r>
              <w:rPr>
                <w:noProof/>
              </w:rPr>
              <w:t>2026</w:t>
            </w:r>
          </w:p>
        </w:tc>
        <w:tc>
          <w:tcPr>
            <w:tcW w:w="4310" w:type="dxa"/>
            <w:shd w:val="clear" w:color="auto" w:fill="C6EFCE"/>
            <w:vAlign w:val="center"/>
          </w:tcPr>
          <w:p w14:paraId="05177041" w14:textId="76C3A609" w:rsidR="00615E2D" w:rsidRDefault="00C83E46">
            <w:pPr>
              <w:pStyle w:val="P68B1DB1-Normal15"/>
              <w:spacing w:after="0" w:line="240" w:lineRule="auto"/>
              <w:rPr>
                <w:noProof/>
              </w:rPr>
            </w:pPr>
            <w:r>
              <w:rPr>
                <w:noProof/>
              </w:rPr>
              <w:t>Češka prenosi 39 574 000 EUR Nacionalnoj razvojnoj banci za Instrument.</w:t>
            </w:r>
          </w:p>
        </w:tc>
      </w:tr>
    </w:tbl>
    <w:p w14:paraId="61BB6263" w14:textId="11CC3847" w:rsidR="00615E2D" w:rsidRDefault="00615E2D">
      <w:pPr>
        <w:keepNext/>
        <w:tabs>
          <w:tab w:val="left" w:pos="850"/>
        </w:tabs>
        <w:spacing w:before="360" w:line="240" w:lineRule="auto"/>
        <w:jc w:val="both"/>
        <w:outlineLvl w:val="0"/>
        <w:rPr>
          <w:b/>
          <w:smallCaps/>
          <w:noProof/>
        </w:rPr>
        <w:sectPr w:rsidR="00615E2D" w:rsidSect="003A6FF0">
          <w:headerReference w:type="even" r:id="rId276"/>
          <w:headerReference w:type="default" r:id="rId277"/>
          <w:footerReference w:type="even" r:id="rId278"/>
          <w:footerReference w:type="default" r:id="rId279"/>
          <w:headerReference w:type="first" r:id="rId280"/>
          <w:footerReference w:type="first" r:id="rId281"/>
          <w:pgSz w:w="16839" w:h="11907" w:orient="landscape"/>
          <w:pgMar w:top="1134" w:right="1134" w:bottom="1134" w:left="1134" w:header="567" w:footer="567" w:gutter="0"/>
          <w:cols w:space="708"/>
          <w:docGrid w:linePitch="326"/>
        </w:sectPr>
      </w:pPr>
    </w:p>
    <w:p w14:paraId="7987E3CB" w14:textId="55DB956E" w:rsidR="00615E2D" w:rsidRDefault="00C83E46">
      <w:pPr>
        <w:pStyle w:val="P68B1DB1-Normal2"/>
        <w:keepNext/>
        <w:tabs>
          <w:tab w:val="left" w:pos="850"/>
        </w:tabs>
        <w:spacing w:line="240" w:lineRule="auto"/>
        <w:jc w:val="both"/>
        <w:outlineLvl w:val="0"/>
        <w:rPr>
          <w:noProof/>
        </w:rPr>
      </w:pPr>
      <w:r>
        <w:rPr>
          <w:noProof/>
        </w:rPr>
        <w:t>R. SASTAVNI DIO 3.1.: Inovacije u obrazovanju u kontekstu digitalizacije</w:t>
      </w:r>
    </w:p>
    <w:p w14:paraId="6D3AE066" w14:textId="77777777" w:rsidR="00615E2D" w:rsidRDefault="00C83E46">
      <w:pPr>
        <w:pStyle w:val="P68B1DB1-Normal3"/>
        <w:spacing w:line="240" w:lineRule="auto"/>
        <w:jc w:val="both"/>
        <w:rPr>
          <w:noProof/>
        </w:rPr>
      </w:pPr>
      <w:r>
        <w:rPr>
          <w:noProof/>
          <w:color w:val="000000"/>
        </w:rPr>
        <w:t>Ta komponenta češkog plana za oporavak i otpornost pridonosi</w:t>
      </w:r>
      <w:r>
        <w:rPr>
          <w:noProof/>
        </w:rPr>
        <w:t xml:space="preserve"> svladavanju izazova povezanih s digitalnom tranzicijom obrazovnog sustava, posebno jačanju digitalne pismenosti i računalnog razmišljanja učenika te poticanju nastavnika da upotrebljavaju digitalne tehnologije. To će se postići revizijom kurikuluma za osnovnoškolsko i srednjoškolsko obrazovanje kako bi se ojačalo obrazovanje u području IT-a, proširilo njegovo područje primjene na napredne digitalne tehnologije i poticale digitalne vještine u svim obrazovnim područjima. Promiče i digitalne vještine nastavnika i poboljšava razinu digitalne opreme u školama. Komponenta je usmjerena i na rješavanje problema digitalnog jaza, pogoršanog produljenim ograničenjem kretanja u školama, uspostavom fonda za mobilne digitalne uređaje koji su na raspolaganju učenicima i studentima u nepovoljnom položaju. Krajnji je cilj komponente prilagoditi obrazovanje promjenjivim potrebama tržišta rada, riješiti problem nedostatka IT stručnjaka i naprednih digitalnih vještina u radnoj snazi te osigurati dugoročnu zapošljivost.</w:t>
      </w:r>
    </w:p>
    <w:p w14:paraId="06BF9A6D" w14:textId="77777777" w:rsidR="00615E2D" w:rsidRDefault="00C83E46">
      <w:pPr>
        <w:pStyle w:val="P68B1DB1-Normal3"/>
        <w:spacing w:line="240" w:lineRule="auto"/>
        <w:jc w:val="both"/>
        <w:rPr>
          <w:noProof/>
        </w:rPr>
      </w:pPr>
      <w:r>
        <w:rPr>
          <w:noProof/>
        </w:rPr>
        <w:t>Reformama iz komponente podupire se odgovor na 2. preporuku za pojedinu zemlju, u skladu s kojom Češka povećava kvalitetu i uključivost sustava obrazovanja i osposobljavanja, među ostalim poticanjem tehničkih i digitalnih vještina te promicanjem nastavničke profesije, te 2. preporuku za pojedinu zemlju, u skladu s kojom Češka podupire zapošljavanje aktivnim politikama tržišta rada, pružanjem vještina, uključujući digitalne vještine, i pristupom digitalnom učenju.</w:t>
      </w:r>
    </w:p>
    <w:p w14:paraId="7F93F454" w14:textId="77777777" w:rsidR="00615E2D" w:rsidRDefault="00C83E46">
      <w:pPr>
        <w:pStyle w:val="P68B1DB1-Normal3"/>
        <w:spacing w:line="240" w:lineRule="auto"/>
        <w:jc w:val="both"/>
        <w:rPr>
          <w:noProof/>
        </w:rPr>
      </w:pPr>
      <w:r>
        <w:rPr>
          <w:noProof/>
        </w:rPr>
        <w:t>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w:t>
      </w:r>
    </w:p>
    <w:p w14:paraId="6A112536" w14:textId="77777777" w:rsidR="00615E2D" w:rsidRDefault="00615E2D">
      <w:pPr>
        <w:spacing w:line="240" w:lineRule="auto"/>
        <w:jc w:val="both"/>
        <w:rPr>
          <w:rFonts w:eastAsia="Times New Roman"/>
          <w:i/>
          <w:noProof/>
        </w:rPr>
      </w:pPr>
    </w:p>
    <w:p w14:paraId="2ECD7BA2" w14:textId="58BBC6A9" w:rsidR="00615E2D" w:rsidRDefault="00C83E46">
      <w:pPr>
        <w:pStyle w:val="P68B1DB1-Normal32"/>
        <w:spacing w:line="240" w:lineRule="auto"/>
        <w:jc w:val="both"/>
        <w:rPr>
          <w:noProof/>
        </w:rPr>
      </w:pPr>
      <w:r>
        <w:rPr>
          <w:noProof/>
        </w:rPr>
        <w:t>R.1. Opis reformi i ulaganja za programe bespovratne financijske potpore</w:t>
      </w:r>
    </w:p>
    <w:p w14:paraId="1C0CC8BA" w14:textId="77777777" w:rsidR="00615E2D" w:rsidRDefault="00C83E46">
      <w:pPr>
        <w:pStyle w:val="P68B1DB1-Normal26"/>
        <w:spacing w:line="240" w:lineRule="auto"/>
        <w:jc w:val="both"/>
        <w:rPr>
          <w:noProof/>
        </w:rPr>
      </w:pPr>
      <w:r>
        <w:rPr>
          <w:noProof/>
        </w:rPr>
        <w:t xml:space="preserve">Reforma 1.: Reforma kurikuluma i jačanje obrazovanja u području IT-a </w:t>
      </w:r>
    </w:p>
    <w:p w14:paraId="317D3700" w14:textId="20D3E460" w:rsidR="00615E2D" w:rsidRDefault="00C83E46">
      <w:pPr>
        <w:pStyle w:val="P68B1DB1-Normal3"/>
        <w:spacing w:line="240" w:lineRule="auto"/>
        <w:jc w:val="both"/>
        <w:rPr>
          <w:noProof/>
        </w:rPr>
      </w:pPr>
      <w:r>
        <w:rPr>
          <w:noProof/>
        </w:rPr>
        <w:t>Reforma uključuje reviziju kurikuluma osnovnih škola, škola nižih srednjih škola i škola višeg sekundarnog obrazovanja</w:t>
      </w:r>
      <w:r>
        <w:rPr>
          <w:i/>
          <w:noProof/>
        </w:rPr>
        <w:t>(</w:t>
      </w:r>
      <w:r>
        <w:rPr>
          <w:noProof/>
        </w:rPr>
        <w:t xml:space="preserve">gymnázium) u cilju promicanja digitalne pismenosti i informatičkih vještina. Poučavanje informatike mora se pojačati s obzirom na broj sati koji se podučavaju. Proširuje se i na nova područja kao što su obrada i modeliranje podataka, kodiranje i programiranje, robotika i napredne digitalne tehnologije (proširena stvarnost, virtualna stvarnost, 3D ispis). Osim toga, novim se kurikulumom predviđa da će se te digitalne vještine razvijati kao ključna kompetencija u svim obrazovnim područjima, uključujući predmete koji nisu IT. Revizija kurikuluma za osnovne i niže srednje škole i gimnáziju </w:t>
      </w:r>
      <w:r>
        <w:rPr>
          <w:i/>
          <w:noProof/>
        </w:rPr>
        <w:t xml:space="preserve">odobrava </w:t>
      </w:r>
      <w:r>
        <w:rPr>
          <w:noProof/>
        </w:rPr>
        <w:t xml:space="preserve">se do 30. rujna 2021. Škole nastoje postupno uvoditi nove kurikulume. Rok za potpunu usklađenost s novim kurikulumom je 1. rujna 2023. za osnovne škole, 1. rujna 2024. za niže srednje škole i 1. rujna 2025. za </w:t>
      </w:r>
      <w:r>
        <w:rPr>
          <w:i/>
          <w:noProof/>
        </w:rPr>
        <w:t>gimnáziju</w:t>
      </w:r>
      <w:r>
        <w:rPr>
          <w:noProof/>
        </w:rPr>
        <w:t xml:space="preserve">. </w:t>
      </w:r>
    </w:p>
    <w:p w14:paraId="2BB3D404" w14:textId="77777777" w:rsidR="00615E2D" w:rsidRDefault="00C83E46">
      <w:pPr>
        <w:pStyle w:val="P68B1DB1-Normal3"/>
        <w:spacing w:line="240" w:lineRule="auto"/>
        <w:jc w:val="both"/>
        <w:rPr>
          <w:noProof/>
        </w:rPr>
      </w:pPr>
      <w:r>
        <w:rPr>
          <w:noProof/>
        </w:rPr>
        <w:t xml:space="preserve">Reforma će stoga u potpunosti biti dovršena do 1. rujna 2025. </w:t>
      </w:r>
    </w:p>
    <w:p w14:paraId="2CD96F34" w14:textId="77777777" w:rsidR="00615E2D" w:rsidRDefault="00C83E46">
      <w:pPr>
        <w:pStyle w:val="P68B1DB1-Normal26"/>
        <w:spacing w:line="240" w:lineRule="auto"/>
        <w:jc w:val="both"/>
        <w:rPr>
          <w:noProof/>
        </w:rPr>
      </w:pPr>
      <w:r>
        <w:rPr>
          <w:noProof/>
        </w:rPr>
        <w:t>Ulaganje 1: Provedba revidiranog kurikuluma i digitalnih vještina nastavnika</w:t>
      </w:r>
    </w:p>
    <w:p w14:paraId="2C8BD7E3" w14:textId="77777777" w:rsidR="00615E2D" w:rsidRDefault="00C83E46">
      <w:pPr>
        <w:pStyle w:val="P68B1DB1-Normal3"/>
        <w:spacing w:line="240" w:lineRule="auto"/>
        <w:jc w:val="both"/>
        <w:rPr>
          <w:noProof/>
        </w:rPr>
      </w:pPr>
      <w:r>
        <w:rPr>
          <w:noProof/>
        </w:rPr>
        <w:t xml:space="preserve">Cilj je mjere poduprijeti provedbu revidiranih kurikuluma i okvira digitalnih vještina učitelja i nastavnika (DigCompEdu) u školama. Potpora se temelji na potražnji i obuhvaća najmanje 4000 škola. Izravna djelovanja sadrže: </w:t>
      </w:r>
    </w:p>
    <w:p w14:paraId="0BE5E993" w14:textId="77777777" w:rsidR="00615E2D" w:rsidRDefault="00C83E46">
      <w:pPr>
        <w:pStyle w:val="P68B1DB1-Normal3"/>
        <w:numPr>
          <w:ilvl w:val="0"/>
          <w:numId w:val="162"/>
        </w:numPr>
        <w:spacing w:line="259" w:lineRule="auto"/>
        <w:ind w:left="360"/>
        <w:contextualSpacing/>
        <w:jc w:val="both"/>
        <w:rPr>
          <w:noProof/>
        </w:rPr>
      </w:pPr>
      <w:r>
        <w:rPr>
          <w:noProof/>
        </w:rPr>
        <w:t xml:space="preserve">financijska potpora za osposobljavanje nastavnika u području digitalnih vještina i informatičke pismenosti u skladu s revidiranim kurikulumom; </w:t>
      </w:r>
    </w:p>
    <w:p w14:paraId="0E3E522B" w14:textId="77777777" w:rsidR="00615E2D" w:rsidRDefault="00C83E46">
      <w:pPr>
        <w:pStyle w:val="P68B1DB1-Normal3"/>
        <w:numPr>
          <w:ilvl w:val="0"/>
          <w:numId w:val="162"/>
        </w:numPr>
        <w:spacing w:line="259" w:lineRule="auto"/>
        <w:ind w:left="360"/>
        <w:contextualSpacing/>
        <w:jc w:val="both"/>
        <w:rPr>
          <w:noProof/>
        </w:rPr>
      </w:pPr>
      <w:r>
        <w:rPr>
          <w:noProof/>
        </w:rPr>
        <w:t>usmjeravanje (radionice, internetski seminari, individualno savjetovanje) za ravnatelje, koordinatore škola u području IKT-a, koordinatore kurikuluma i nastavnike u području IT-a kako bi pomogli u učinkovitoj provedbi kurikularne reforme;</w:t>
      </w:r>
    </w:p>
    <w:p w14:paraId="07E30415" w14:textId="77777777" w:rsidR="00615E2D" w:rsidRDefault="00C83E46">
      <w:pPr>
        <w:pStyle w:val="P68B1DB1-Normal3"/>
        <w:numPr>
          <w:ilvl w:val="0"/>
          <w:numId w:val="162"/>
        </w:numPr>
        <w:spacing w:line="259" w:lineRule="auto"/>
        <w:ind w:left="360"/>
        <w:contextualSpacing/>
        <w:jc w:val="both"/>
        <w:rPr>
          <w:rFonts w:ascii="Calibri" w:hAnsi="Calibri"/>
          <w:noProof/>
          <w:sz w:val="22"/>
        </w:rPr>
      </w:pPr>
      <w:r>
        <w:rPr>
          <w:noProof/>
        </w:rPr>
        <w:t xml:space="preserve">uspostava digitalne platforme do 31. prosinca 2024. kojom se nastavnicima omogućuje pristup postojećim bazama podataka s obrazovnim sadržajima (kao što su internetski nastavni materijali, internetski seminari, tečajevi e-učenja). </w:t>
      </w:r>
    </w:p>
    <w:p w14:paraId="2B203F8B" w14:textId="77777777" w:rsidR="00615E2D" w:rsidRDefault="00C83E46">
      <w:pPr>
        <w:pStyle w:val="P68B1DB1-Normal3"/>
        <w:spacing w:line="240" w:lineRule="auto"/>
        <w:jc w:val="both"/>
        <w:rPr>
          <w:noProof/>
        </w:rPr>
      </w:pPr>
      <w:r>
        <w:rPr>
          <w:noProof/>
        </w:rPr>
        <w:t>Ulaganje mora biti dovršeno do 31. ožujka 2026.</w:t>
      </w:r>
    </w:p>
    <w:p w14:paraId="0F328DE4" w14:textId="77777777" w:rsidR="00615E2D" w:rsidRDefault="00C83E46">
      <w:pPr>
        <w:pStyle w:val="P68B1DB1-Normal3"/>
        <w:spacing w:line="240" w:lineRule="auto"/>
        <w:jc w:val="both"/>
        <w:rPr>
          <w:noProof/>
        </w:rPr>
      </w:pPr>
      <w:r>
        <w:rPr>
          <w:b/>
          <w:noProof/>
        </w:rPr>
        <w:t>Ulaganje 2:</w:t>
      </w:r>
      <w:r>
        <w:rPr>
          <w:noProof/>
        </w:rPr>
        <w:t xml:space="preserve"> </w:t>
      </w:r>
      <w:r>
        <w:rPr>
          <w:b/>
          <w:noProof/>
        </w:rPr>
        <w:t>Digitalna oprema za škole</w:t>
      </w:r>
    </w:p>
    <w:p w14:paraId="217A27DD" w14:textId="77777777" w:rsidR="00615E2D" w:rsidRDefault="00C83E46">
      <w:pPr>
        <w:pStyle w:val="P68B1DB1-Normal3"/>
        <w:spacing w:line="240" w:lineRule="auto"/>
        <w:jc w:val="both"/>
        <w:rPr>
          <w:noProof/>
        </w:rPr>
      </w:pPr>
      <w:r>
        <w:rPr>
          <w:noProof/>
        </w:rPr>
        <w:t>Prvi je cilj ulaganja spriječiti digitalnu isključenost osiguravanjem da digitalna oprema bude dostupna svim učenicima. Ulaganjem će se riješiti sve veće nejednakosti u obrazovanju, koje su dodatno pogoršane produljenim ograničenjem kretanja u školama. Kao prvi korak, školama je do 31. prosinca 2020. trebalo osigurati financiranje IKT opreme za učenje na daljinu kako bi se omogućilo učenje na daljinu tijekom ograničenja kretanja u školama, među ostalim za učenike u nepovoljnom socioekonomskom položaju. Kao drugi korak, školama će se osigurati dodatna sredstva za osnivanje fonda za mobilne digitalne uređaje za učenike u nepovoljnom položaju do 31. prosinca 2025. Sredstva se dodjeljuju školama na temelju kriterija o tome nalazi li se škola u socijalno isključenom području i procijenjenom broju učenika kojima su potrebni digitalni mobilni uređaji za posudbu. Škole će nabaviti 70000 uređaja za potporu 70000 učenika kojima je potrebna pomoć.</w:t>
      </w:r>
    </w:p>
    <w:p w14:paraId="6658206D" w14:textId="77777777" w:rsidR="00615E2D" w:rsidRDefault="00C83E46">
      <w:pPr>
        <w:pStyle w:val="P68B1DB1-Normal3"/>
        <w:spacing w:line="240" w:lineRule="auto"/>
        <w:jc w:val="both"/>
        <w:rPr>
          <w:noProof/>
        </w:rPr>
      </w:pPr>
      <w:r>
        <w:rPr>
          <w:noProof/>
        </w:rPr>
        <w:t>Drugi je cilj ulaganja osigurati da škole budu na odgovarajući način opremljene osnovnim i naprednim digitalnim tehnologijama za potporu digitalnoj pismenosti i provedbu revidiranih kurikuluma u okviru reforme 1. te komponente. Od ukupno 10000 vrtića, osnovnih i srednjih škola, najmanje 9260 do 31. ožujka 2024. mora biti opremljeno osnovnim i naprednim digitalnim tehnologijama (kao što su proširena stvarnost, virtualna stvarnost, robotika i 3D ispis). Financiranje je popraćeno tehničkom pomoći školama kako bi se osiguralo učinkovito trošenje sredstava. Ta tehnička pomoć pruža se školama putem središnjih smjernica (namjenska internetska stranica, internetski seminari, internetski alati za evaluaciju, primjeri dobre prakse) ili putem nove mreže IT savjetnika („IT gurus”) na regionalnoj razini koji će školama pružati ciljano mentorstvo u pogledu nabave informatičke opreme, uspostave IT administracije, povezivosti i unutarnjih školskih mreža. IT guru mrežom podupire se najmanje 1120 škola u razdoblju od 1. siječnja 2022. do 31. prosinca 2025., što je otprilike jedna petina škola, s posebnim naglaskom na manje ruralne škole, koje imaju najveće izazove u širenju IT-a.</w:t>
      </w:r>
    </w:p>
    <w:p w14:paraId="5DE0D8F3" w14:textId="77777777" w:rsidR="00615E2D" w:rsidRDefault="00C83E46">
      <w:pPr>
        <w:pStyle w:val="P68B1DB1-Normal3"/>
        <w:spacing w:line="240" w:lineRule="auto"/>
        <w:jc w:val="both"/>
        <w:rPr>
          <w:noProof/>
        </w:rPr>
      </w:pPr>
      <w:r>
        <w:rPr>
          <w:noProof/>
        </w:rPr>
        <w:t>Ulaganje mora biti dovršeno do 31. ožujka 2026.</w:t>
      </w:r>
    </w:p>
    <w:p w14:paraId="15EFDCF0" w14:textId="77777777" w:rsidR="00615E2D" w:rsidRDefault="00615E2D">
      <w:pPr>
        <w:spacing w:line="240" w:lineRule="auto"/>
        <w:jc w:val="both"/>
        <w:rPr>
          <w:rFonts w:eastAsia="Times New Roman"/>
          <w:noProof/>
        </w:rPr>
        <w:sectPr w:rsidR="00615E2D" w:rsidSect="003A6FF0">
          <w:headerReference w:type="even" r:id="rId282"/>
          <w:headerReference w:type="default" r:id="rId283"/>
          <w:footerReference w:type="even" r:id="rId284"/>
          <w:footerReference w:type="default" r:id="rId285"/>
          <w:headerReference w:type="first" r:id="rId286"/>
          <w:footerReference w:type="first" r:id="rId287"/>
          <w:pgSz w:w="11907" w:h="16839"/>
          <w:pgMar w:top="1134" w:right="1134" w:bottom="1134" w:left="1134" w:header="567" w:footer="567" w:gutter="0"/>
          <w:cols w:space="708"/>
          <w:docGrid w:linePitch="326"/>
        </w:sectPr>
      </w:pPr>
    </w:p>
    <w:p w14:paraId="29CC928A" w14:textId="1DADC9D1" w:rsidR="00615E2D" w:rsidRDefault="00C83E46">
      <w:pPr>
        <w:pStyle w:val="P68B1DB1-Normal33"/>
        <w:pBdr>
          <w:top w:val="nil"/>
          <w:left w:val="nil"/>
          <w:bottom w:val="nil"/>
          <w:right w:val="nil"/>
          <w:between w:val="nil"/>
        </w:pBdr>
        <w:tabs>
          <w:tab w:val="left" w:pos="993"/>
        </w:tabs>
        <w:spacing w:line="240" w:lineRule="auto"/>
        <w:jc w:val="both"/>
        <w:rPr>
          <w:noProof/>
          <w:color w:val="000000"/>
        </w:rPr>
      </w:pPr>
      <w:r>
        <w:rPr>
          <w:noProof/>
        </w:rPr>
        <w:t xml:space="preserve">R.2. Ključne etape, ciljne vrijednosti i vremenski raspored za praćenje i provedbu programa bespovratne financijske potpore </w:t>
      </w:r>
    </w:p>
    <w:tbl>
      <w:tblPr>
        <w:tblW w:w="0" w:type="auto"/>
        <w:tblLayout w:type="fixed"/>
        <w:tblLook w:val="04A0" w:firstRow="1" w:lastRow="0" w:firstColumn="1" w:lastColumn="0" w:noHBand="0" w:noVBand="1"/>
      </w:tblPr>
      <w:tblGrid>
        <w:gridCol w:w="675"/>
        <w:gridCol w:w="1276"/>
        <w:gridCol w:w="1077"/>
        <w:gridCol w:w="1560"/>
        <w:gridCol w:w="1417"/>
        <w:gridCol w:w="1077"/>
        <w:gridCol w:w="1077"/>
        <w:gridCol w:w="708"/>
        <w:gridCol w:w="1134"/>
        <w:gridCol w:w="639"/>
        <w:gridCol w:w="4745"/>
      </w:tblGrid>
      <w:tr w:rsidR="00615E2D" w14:paraId="0C8E688B" w14:textId="77777777">
        <w:trPr>
          <w:trHeight w:val="107"/>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81E9100" w14:textId="77777777" w:rsidR="00615E2D" w:rsidRDefault="00C83E46">
            <w:pPr>
              <w:pStyle w:val="P68B1DB1-Normal27"/>
              <w:spacing w:line="240" w:lineRule="auto"/>
              <w:jc w:val="center"/>
              <w:rPr>
                <w:noProof/>
              </w:rPr>
            </w:pPr>
            <w:r>
              <w:rPr>
                <w:noProof/>
              </w:rPr>
              <w:t>Sljedeće NUM.</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7AD70D0" w14:textId="77777777" w:rsidR="00615E2D" w:rsidRDefault="00C83E46">
            <w:pPr>
              <w:pStyle w:val="P68B1DB1-Normal9"/>
              <w:spacing w:line="240" w:lineRule="auto"/>
              <w:jc w:val="center"/>
              <w:rPr>
                <w:noProof/>
              </w:rPr>
            </w:pPr>
            <w:r>
              <w:rPr>
                <w:noProof/>
              </w:rPr>
              <w:t xml:space="preserve">Povezana mjera (reforma ili ulaganje) </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13CD9DCD" w14:textId="77777777" w:rsidR="00615E2D" w:rsidRDefault="00C83E46">
            <w:pPr>
              <w:pStyle w:val="P68B1DB1-Normal9"/>
              <w:spacing w:line="240" w:lineRule="auto"/>
              <w:jc w:val="center"/>
              <w:rPr>
                <w:noProof/>
              </w:rPr>
            </w:pPr>
            <w:r>
              <w:rPr>
                <w:noProof/>
              </w:rPr>
              <w:t xml:space="preserve">Ključna etapa/ciljna vrijednost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522B8AD4" w14:textId="77777777" w:rsidR="00615E2D" w:rsidRDefault="00C83E46">
            <w:pPr>
              <w:pStyle w:val="P68B1DB1-Normal9"/>
              <w:spacing w:line="240" w:lineRule="auto"/>
              <w:jc w:val="center"/>
              <w:rPr>
                <w:noProof/>
              </w:rPr>
            </w:pPr>
            <w:r>
              <w:rPr>
                <w:noProof/>
              </w:rPr>
              <w:t xml:space="preserve">Ime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B79BA2F"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2126" w:type="dxa"/>
            <w:gridSpan w:val="3"/>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37E88EBE"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1773" w:type="dxa"/>
            <w:gridSpan w:val="2"/>
            <w:tcBorders>
              <w:top w:val="single" w:sz="8" w:space="0" w:color="auto"/>
              <w:left w:val="nil"/>
              <w:bottom w:val="single" w:sz="8" w:space="0" w:color="auto"/>
              <w:right w:val="single" w:sz="4" w:space="0" w:color="auto"/>
            </w:tcBorders>
            <w:shd w:val="clear" w:color="auto" w:fill="BDD7EE"/>
            <w:vAlign w:val="center"/>
          </w:tcPr>
          <w:p w14:paraId="6FB8D7A0" w14:textId="77777777" w:rsidR="00615E2D" w:rsidRDefault="00C83E46">
            <w:pPr>
              <w:pStyle w:val="P68B1DB1-Normal9"/>
              <w:spacing w:line="240" w:lineRule="auto"/>
              <w:jc w:val="center"/>
              <w:rPr>
                <w:noProof/>
              </w:rPr>
            </w:pPr>
            <w:r>
              <w:rPr>
                <w:noProof/>
              </w:rPr>
              <w:t xml:space="preserve">Okvirni vremenski okvir za dovršetak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13515B4"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3183A05D" w14:textId="77777777">
        <w:trPr>
          <w:trHeight w:val="173"/>
          <w:tblHeader/>
        </w:trPr>
        <w:tc>
          <w:tcPr>
            <w:tcW w:w="675" w:type="dxa"/>
            <w:vMerge/>
            <w:tcBorders>
              <w:top w:val="single" w:sz="4" w:space="0" w:color="auto"/>
              <w:left w:val="single" w:sz="4" w:space="0" w:color="auto"/>
              <w:bottom w:val="single" w:sz="4" w:space="0" w:color="auto"/>
              <w:right w:val="single" w:sz="4" w:space="0" w:color="auto"/>
            </w:tcBorders>
            <w:vAlign w:val="center"/>
          </w:tcPr>
          <w:p w14:paraId="4E4D6148" w14:textId="77777777" w:rsidR="00615E2D" w:rsidRDefault="00615E2D">
            <w:pPr>
              <w:spacing w:line="240" w:lineRule="auto"/>
              <w:jc w:val="center"/>
              <w:rPr>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999D742" w14:textId="77777777" w:rsidR="00615E2D" w:rsidRDefault="00615E2D">
            <w:pPr>
              <w:spacing w:line="240" w:lineRule="auto"/>
              <w:jc w:val="center"/>
              <w:rPr>
                <w:noProof/>
                <w:sz w:val="18"/>
              </w:rPr>
            </w:pPr>
          </w:p>
        </w:tc>
        <w:tc>
          <w:tcPr>
            <w:tcW w:w="1077" w:type="dxa"/>
            <w:vMerge/>
            <w:tcBorders>
              <w:left w:val="single" w:sz="4" w:space="0" w:color="auto"/>
              <w:right w:val="single" w:sz="4" w:space="0" w:color="auto"/>
            </w:tcBorders>
            <w:vAlign w:val="center"/>
          </w:tcPr>
          <w:p w14:paraId="6DE3B91E" w14:textId="77777777" w:rsidR="00615E2D" w:rsidRDefault="00615E2D">
            <w:pPr>
              <w:spacing w:line="240" w:lineRule="auto"/>
              <w:jc w:val="center"/>
              <w:rPr>
                <w:noProof/>
                <w:sz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5441B24D" w14:textId="77777777" w:rsidR="00615E2D" w:rsidRDefault="00615E2D">
            <w:pPr>
              <w:spacing w:line="240" w:lineRule="auto"/>
              <w:jc w:val="center"/>
              <w:rPr>
                <w:noProof/>
                <w:sz w:val="18"/>
              </w:rPr>
            </w:pPr>
          </w:p>
        </w:tc>
        <w:tc>
          <w:tcPr>
            <w:tcW w:w="1417" w:type="dxa"/>
            <w:vMerge/>
            <w:tcBorders>
              <w:left w:val="single" w:sz="4" w:space="0" w:color="auto"/>
            </w:tcBorders>
            <w:vAlign w:val="center"/>
          </w:tcPr>
          <w:p w14:paraId="77621E4B" w14:textId="77777777" w:rsidR="00615E2D" w:rsidRDefault="00615E2D">
            <w:pPr>
              <w:spacing w:line="240" w:lineRule="auto"/>
              <w:jc w:val="center"/>
              <w:rPr>
                <w:noProof/>
                <w:sz w:val="18"/>
              </w:rPr>
            </w:pPr>
          </w:p>
        </w:tc>
        <w:tc>
          <w:tcPr>
            <w:tcW w:w="1077" w:type="dxa"/>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0A3119C9" w14:textId="77777777" w:rsidR="00615E2D" w:rsidRDefault="00C83E46">
            <w:pPr>
              <w:pStyle w:val="P68B1DB1-Normal9"/>
              <w:spacing w:line="240" w:lineRule="auto"/>
              <w:jc w:val="center"/>
              <w:rPr>
                <w:noProof/>
              </w:rPr>
            </w:pPr>
            <w:r>
              <w:rPr>
                <w:noProof/>
              </w:rPr>
              <w:t>Jedinica mjere</w:t>
            </w:r>
          </w:p>
        </w:tc>
        <w:tc>
          <w:tcPr>
            <w:tcW w:w="1077" w:type="dxa"/>
            <w:tcBorders>
              <w:top w:val="nil"/>
              <w:left w:val="single" w:sz="8" w:space="0" w:color="auto"/>
              <w:bottom w:val="single" w:sz="8" w:space="0" w:color="auto"/>
              <w:right w:val="single" w:sz="8" w:space="0" w:color="auto"/>
            </w:tcBorders>
            <w:shd w:val="clear" w:color="auto" w:fill="BDD7EE"/>
            <w:vAlign w:val="center"/>
          </w:tcPr>
          <w:p w14:paraId="18B6F549" w14:textId="77777777" w:rsidR="00615E2D" w:rsidRDefault="00C83E46">
            <w:pPr>
              <w:pStyle w:val="P68B1DB1-Normal9"/>
              <w:spacing w:line="240" w:lineRule="auto"/>
              <w:jc w:val="center"/>
              <w:rPr>
                <w:noProof/>
              </w:rPr>
            </w:pPr>
            <w:r>
              <w:rPr>
                <w:noProof/>
              </w:rPr>
              <w:t>Osnovna vrijednost</w:t>
            </w:r>
          </w:p>
        </w:tc>
        <w:tc>
          <w:tcPr>
            <w:tcW w:w="708" w:type="dxa"/>
            <w:tcBorders>
              <w:top w:val="nil"/>
              <w:left w:val="single" w:sz="8" w:space="0" w:color="auto"/>
              <w:bottom w:val="single" w:sz="8" w:space="0" w:color="auto"/>
              <w:right w:val="single" w:sz="8" w:space="0" w:color="000000" w:themeColor="text1"/>
            </w:tcBorders>
            <w:shd w:val="clear" w:color="auto" w:fill="BDD7EE"/>
            <w:vAlign w:val="center"/>
          </w:tcPr>
          <w:p w14:paraId="3DECAD03" w14:textId="77777777" w:rsidR="00615E2D" w:rsidRDefault="00C83E46">
            <w:pPr>
              <w:pStyle w:val="P68B1DB1-Normal9"/>
              <w:spacing w:line="240" w:lineRule="auto"/>
              <w:jc w:val="center"/>
              <w:rPr>
                <w:noProof/>
              </w:rPr>
            </w:pPr>
            <w:r>
              <w:rPr>
                <w:noProof/>
              </w:rPr>
              <w:t>Cilj</w:t>
            </w:r>
          </w:p>
        </w:tc>
        <w:tc>
          <w:tcPr>
            <w:tcW w:w="1134" w:type="dxa"/>
            <w:tcBorders>
              <w:top w:val="single" w:sz="8" w:space="0" w:color="auto"/>
              <w:left w:val="single" w:sz="8" w:space="0" w:color="auto"/>
              <w:bottom w:val="single" w:sz="8" w:space="0" w:color="auto"/>
              <w:right w:val="single" w:sz="8" w:space="0" w:color="000000" w:themeColor="text1"/>
            </w:tcBorders>
            <w:shd w:val="clear" w:color="auto" w:fill="BDD7EE"/>
            <w:vAlign w:val="center"/>
          </w:tcPr>
          <w:p w14:paraId="3BB62E79" w14:textId="77777777" w:rsidR="00615E2D" w:rsidRDefault="00C83E46">
            <w:pPr>
              <w:pStyle w:val="P68B1DB1-Normal9"/>
              <w:spacing w:line="240" w:lineRule="auto"/>
              <w:jc w:val="center"/>
              <w:rPr>
                <w:noProof/>
              </w:rPr>
            </w:pPr>
            <w:r>
              <w:rPr>
                <w:noProof/>
              </w:rPr>
              <w:t>Tromjesečje</w:t>
            </w:r>
          </w:p>
        </w:tc>
        <w:tc>
          <w:tcPr>
            <w:tcW w:w="639" w:type="dxa"/>
            <w:tcBorders>
              <w:top w:val="nil"/>
              <w:left w:val="single" w:sz="8" w:space="0" w:color="auto"/>
              <w:bottom w:val="single" w:sz="8" w:space="0" w:color="auto"/>
              <w:right w:val="single" w:sz="4" w:space="0" w:color="auto"/>
            </w:tcBorders>
            <w:shd w:val="clear" w:color="auto" w:fill="BDD7EE"/>
            <w:vAlign w:val="center"/>
          </w:tcPr>
          <w:p w14:paraId="57219E63" w14:textId="77777777" w:rsidR="00615E2D" w:rsidRDefault="00C83E46">
            <w:pPr>
              <w:pStyle w:val="P68B1DB1-Normal9"/>
              <w:spacing w:line="240" w:lineRule="auto"/>
              <w:jc w:val="center"/>
              <w:rPr>
                <w:noProof/>
              </w:rPr>
            </w:pPr>
            <w:r>
              <w:rPr>
                <w:noProof/>
              </w:rPr>
              <w:t>Godina</w:t>
            </w:r>
          </w:p>
        </w:tc>
        <w:tc>
          <w:tcPr>
            <w:tcW w:w="4745" w:type="dxa"/>
            <w:vMerge/>
            <w:tcBorders>
              <w:bottom w:val="single" w:sz="4" w:space="0" w:color="auto"/>
              <w:right w:val="single" w:sz="4" w:space="0" w:color="auto"/>
            </w:tcBorders>
            <w:vAlign w:val="center"/>
          </w:tcPr>
          <w:p w14:paraId="3FC63247" w14:textId="77777777" w:rsidR="00615E2D" w:rsidRDefault="00615E2D">
            <w:pPr>
              <w:spacing w:line="240" w:lineRule="auto"/>
              <w:jc w:val="center"/>
              <w:rPr>
                <w:noProof/>
                <w:sz w:val="18"/>
              </w:rPr>
            </w:pPr>
          </w:p>
        </w:tc>
      </w:tr>
      <w:tr w:rsidR="00615E2D" w14:paraId="302D735D" w14:textId="77777777">
        <w:trPr>
          <w:trHeight w:val="945"/>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14:paraId="21ABF012" w14:textId="77777777" w:rsidR="00615E2D" w:rsidRDefault="00C83E46">
            <w:pPr>
              <w:pStyle w:val="P68B1DB1-Normal16"/>
              <w:spacing w:line="240" w:lineRule="auto"/>
              <w:jc w:val="center"/>
              <w:rPr>
                <w:noProof/>
              </w:rPr>
            </w:pPr>
            <w:r>
              <w:rPr>
                <w:noProof/>
              </w:rPr>
              <w:t>168</w:t>
            </w:r>
          </w:p>
        </w:tc>
        <w:tc>
          <w:tcPr>
            <w:tcW w:w="1276" w:type="dxa"/>
            <w:tcBorders>
              <w:top w:val="single" w:sz="4" w:space="0" w:color="auto"/>
              <w:left w:val="single" w:sz="8" w:space="0" w:color="auto"/>
              <w:bottom w:val="single" w:sz="8" w:space="0" w:color="auto"/>
              <w:right w:val="single" w:sz="8" w:space="0" w:color="auto"/>
            </w:tcBorders>
            <w:shd w:val="clear" w:color="auto" w:fill="C6EFCE"/>
            <w:vAlign w:val="center"/>
          </w:tcPr>
          <w:p w14:paraId="5C25A5AC" w14:textId="77777777" w:rsidR="00615E2D" w:rsidRDefault="00C83E46">
            <w:pPr>
              <w:pStyle w:val="P68B1DB1-Normal16"/>
              <w:spacing w:line="240" w:lineRule="auto"/>
              <w:rPr>
                <w:noProof/>
              </w:rPr>
            </w:pPr>
            <w:r>
              <w:rPr>
                <w:noProof/>
              </w:rPr>
              <w:t>Reforma 1.: Reforma kurikuluma i jačanje obrazovanja u području IT-a</w:t>
            </w:r>
          </w:p>
        </w:tc>
        <w:tc>
          <w:tcPr>
            <w:tcW w:w="1077" w:type="dxa"/>
            <w:tcBorders>
              <w:top w:val="single" w:sz="4" w:space="0" w:color="auto"/>
              <w:left w:val="single" w:sz="8" w:space="0" w:color="auto"/>
              <w:bottom w:val="single" w:sz="8" w:space="0" w:color="auto"/>
              <w:right w:val="single" w:sz="8" w:space="0" w:color="auto"/>
            </w:tcBorders>
            <w:shd w:val="clear" w:color="auto" w:fill="C6EFCE"/>
            <w:vAlign w:val="center"/>
          </w:tcPr>
          <w:p w14:paraId="2B51AE19" w14:textId="77777777" w:rsidR="00615E2D" w:rsidRDefault="00C83E46">
            <w:pPr>
              <w:pStyle w:val="P68B1DB1-Normal16"/>
              <w:spacing w:line="240" w:lineRule="auto"/>
              <w:rPr>
                <w:noProof/>
              </w:rPr>
            </w:pPr>
            <w:r>
              <w:rPr>
                <w:noProof/>
              </w:rPr>
              <w:t>Prekretnica</w:t>
            </w:r>
          </w:p>
        </w:tc>
        <w:tc>
          <w:tcPr>
            <w:tcW w:w="1560" w:type="dxa"/>
            <w:tcBorders>
              <w:top w:val="single" w:sz="4" w:space="0" w:color="auto"/>
              <w:left w:val="single" w:sz="8" w:space="0" w:color="auto"/>
              <w:bottom w:val="single" w:sz="8" w:space="0" w:color="auto"/>
              <w:right w:val="single" w:sz="8" w:space="0" w:color="auto"/>
            </w:tcBorders>
            <w:shd w:val="clear" w:color="auto" w:fill="C6EFCE"/>
            <w:vAlign w:val="center"/>
          </w:tcPr>
          <w:p w14:paraId="7790BD29" w14:textId="77777777" w:rsidR="00615E2D" w:rsidRDefault="00C83E46">
            <w:pPr>
              <w:pStyle w:val="P68B1DB1-Normal16"/>
              <w:spacing w:line="240" w:lineRule="auto"/>
              <w:rPr>
                <w:noProof/>
              </w:rPr>
            </w:pPr>
            <w:r>
              <w:rPr>
                <w:noProof/>
              </w:rPr>
              <w:t xml:space="preserve">Odobrenje novih kurikuluma za jačanje digitalne pismenosti i računalnog razmišljanja </w:t>
            </w:r>
          </w:p>
        </w:tc>
        <w:tc>
          <w:tcPr>
            <w:tcW w:w="1417" w:type="dxa"/>
            <w:tcBorders>
              <w:top w:val="single" w:sz="4" w:space="0" w:color="auto"/>
              <w:left w:val="single" w:sz="8" w:space="0" w:color="auto"/>
              <w:bottom w:val="single" w:sz="8" w:space="0" w:color="auto"/>
              <w:right w:val="single" w:sz="8" w:space="0" w:color="auto"/>
            </w:tcBorders>
            <w:shd w:val="clear" w:color="auto" w:fill="C6EFCE"/>
            <w:vAlign w:val="center"/>
          </w:tcPr>
          <w:p w14:paraId="06B5C40F" w14:textId="77777777" w:rsidR="00615E2D" w:rsidRDefault="00C83E46">
            <w:pPr>
              <w:pStyle w:val="P68B1DB1-Normal16"/>
              <w:spacing w:line="240" w:lineRule="auto"/>
              <w:rPr>
                <w:noProof/>
              </w:rPr>
            </w:pPr>
            <w:r>
              <w:rPr>
                <w:i/>
                <w:noProof/>
              </w:rPr>
              <w:t xml:space="preserve">Ministarstvo </w:t>
            </w:r>
            <w:r>
              <w:rPr>
                <w:noProof/>
              </w:rPr>
              <w:t xml:space="preserve">obrazovanja, mladih i sporta odobrava nove kurikulume za osnovne, niže srednje škole i gimnáziju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62F382A"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C8A4606" w14:textId="77777777" w:rsidR="00615E2D" w:rsidRDefault="00615E2D">
            <w:pPr>
              <w:spacing w:line="240" w:lineRule="auto"/>
              <w:jc w:val="center"/>
              <w:rPr>
                <w:noProof/>
                <w:color w:val="004300"/>
                <w:sz w:val="18"/>
              </w:rPr>
            </w:pP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14:paraId="3FAD38CF" w14:textId="77777777" w:rsidR="00615E2D" w:rsidRDefault="00615E2D">
            <w:pPr>
              <w:spacing w:line="240" w:lineRule="auto"/>
              <w:jc w:val="center"/>
              <w:rPr>
                <w:noProof/>
                <w:color w:val="0043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36934DD" w14:textId="77777777" w:rsidR="00615E2D" w:rsidRDefault="00C83E46">
            <w:pPr>
              <w:pStyle w:val="P68B1DB1-Normal16"/>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261DF00F" w14:textId="77777777" w:rsidR="00615E2D" w:rsidRDefault="00C83E46">
            <w:pPr>
              <w:pStyle w:val="P68B1DB1-Normal16"/>
              <w:spacing w:line="240" w:lineRule="auto"/>
              <w:jc w:val="center"/>
              <w:rPr>
                <w:noProof/>
              </w:rPr>
            </w:pPr>
            <w:r>
              <w:rPr>
                <w:noProof/>
              </w:rPr>
              <w:t>2021</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14:paraId="658F26F8" w14:textId="77777777" w:rsidR="00615E2D" w:rsidRDefault="00C83E46">
            <w:pPr>
              <w:pStyle w:val="P68B1DB1-Normal16"/>
              <w:spacing w:line="240" w:lineRule="auto"/>
              <w:rPr>
                <w:noProof/>
              </w:rPr>
            </w:pPr>
            <w:r>
              <w:rPr>
                <w:noProof/>
              </w:rPr>
              <w:t xml:space="preserve">Novi kurikulum: </w:t>
            </w:r>
          </w:p>
          <w:p w14:paraId="3FD6E8C9" w14:textId="77777777" w:rsidR="00615E2D" w:rsidRDefault="00C83E46">
            <w:pPr>
              <w:pStyle w:val="P68B1DB1-Normal16"/>
              <w:numPr>
                <w:ilvl w:val="0"/>
                <w:numId w:val="197"/>
              </w:numPr>
              <w:spacing w:after="0" w:line="259" w:lineRule="auto"/>
              <w:contextualSpacing/>
              <w:rPr>
                <w:noProof/>
              </w:rPr>
            </w:pPr>
            <w:r>
              <w:rPr>
                <w:noProof/>
              </w:rPr>
              <w:t>jačanje obrazovanja u području informatike u smislu nastavnih sati</w:t>
            </w:r>
          </w:p>
          <w:p w14:paraId="32AD480E" w14:textId="77777777" w:rsidR="00615E2D" w:rsidRDefault="00C83E46">
            <w:pPr>
              <w:pStyle w:val="P68B1DB1-Normal16"/>
              <w:numPr>
                <w:ilvl w:val="0"/>
                <w:numId w:val="197"/>
              </w:numPr>
              <w:spacing w:after="0" w:line="259" w:lineRule="auto"/>
              <w:contextualSpacing/>
              <w:rPr>
                <w:noProof/>
              </w:rPr>
            </w:pPr>
            <w:r>
              <w:rPr>
                <w:noProof/>
              </w:rPr>
              <w:t>proširiti pokrivenost informatike na nova područja, kao što su obrada i modeliranje podataka, kodiranje i programiranje, robotika, proširena stvarnost, virtualna stvarnost i digitalna tehnologija.</w:t>
            </w:r>
          </w:p>
          <w:p w14:paraId="3CB1FD2E" w14:textId="77777777" w:rsidR="00615E2D" w:rsidRDefault="00C83E46">
            <w:pPr>
              <w:pStyle w:val="P68B1DB1-Normal16"/>
              <w:numPr>
                <w:ilvl w:val="0"/>
                <w:numId w:val="197"/>
              </w:numPr>
              <w:spacing w:after="0" w:line="259" w:lineRule="auto"/>
              <w:contextualSpacing/>
              <w:rPr>
                <w:rFonts w:eastAsia="Times New Roman"/>
                <w:noProof/>
              </w:rPr>
            </w:pPr>
            <w:r>
              <w:rPr>
                <w:noProof/>
              </w:rPr>
              <w:t>Uvođenje digitalne kompetencije kao jedne od ključnih kompetencija</w:t>
            </w:r>
          </w:p>
          <w:p w14:paraId="134A9B1D" w14:textId="77777777" w:rsidR="00615E2D" w:rsidRDefault="00C83E46">
            <w:pPr>
              <w:pStyle w:val="P68B1DB1-Normal16"/>
              <w:numPr>
                <w:ilvl w:val="0"/>
                <w:numId w:val="197"/>
              </w:numPr>
              <w:spacing w:after="0" w:line="259" w:lineRule="auto"/>
              <w:contextualSpacing/>
              <w:rPr>
                <w:noProof/>
              </w:rPr>
            </w:pPr>
            <w:r>
              <w:rPr>
                <w:noProof/>
              </w:rPr>
              <w:t xml:space="preserve">promicati upotrebu digitalnih tehnologija u svim obrazovnim područjima, uključujući predmete koji nisu povezani s informacijskim tehnologijama. </w:t>
            </w:r>
          </w:p>
        </w:tc>
      </w:tr>
      <w:tr w:rsidR="00615E2D" w14:paraId="0775AB0D"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AAF89BB" w14:textId="77777777" w:rsidR="00615E2D" w:rsidRDefault="00C83E46">
            <w:pPr>
              <w:pStyle w:val="P68B1DB1-Normal16"/>
              <w:spacing w:line="240" w:lineRule="auto"/>
              <w:jc w:val="center"/>
              <w:rPr>
                <w:noProof/>
              </w:rPr>
            </w:pPr>
            <w:r>
              <w:rPr>
                <w:noProof/>
              </w:rPr>
              <w:t>169</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B43A7B3" w14:textId="77777777" w:rsidR="00615E2D" w:rsidRDefault="00C83E46">
            <w:pPr>
              <w:pStyle w:val="P68B1DB1-Normal16"/>
              <w:spacing w:line="240" w:lineRule="auto"/>
              <w:rPr>
                <w:noProof/>
              </w:rPr>
            </w:pPr>
            <w:r>
              <w:rPr>
                <w:noProof/>
              </w:rPr>
              <w:t>Reforma 1.: Reforma kurikuluma i jačanje obrazovanja u području IT-a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D852C90" w14:textId="77777777" w:rsidR="00615E2D" w:rsidRDefault="00C83E46">
            <w:pPr>
              <w:pStyle w:val="P68B1DB1-Normal16"/>
              <w:spacing w:line="240" w:lineRule="auto"/>
              <w:rPr>
                <w:noProof/>
              </w:rPr>
            </w:pPr>
            <w:r>
              <w:rPr>
                <w:noProof/>
              </w:rPr>
              <w:t>Prekretnica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490B3C12" w14:textId="77777777" w:rsidR="00615E2D" w:rsidRDefault="00C83E46">
            <w:pPr>
              <w:pStyle w:val="P68B1DB1-Normal16"/>
              <w:spacing w:line="240" w:lineRule="auto"/>
              <w:rPr>
                <w:noProof/>
              </w:rPr>
            </w:pPr>
            <w:r>
              <w:rPr>
                <w:noProof/>
              </w:rPr>
              <w:t>Provedba novih kurikuluma za jačanje digitalne pismenosti i računalnog razmišljanja u školama</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4F0C5B60" w14:textId="77777777" w:rsidR="00615E2D" w:rsidRDefault="00C83E46">
            <w:pPr>
              <w:pStyle w:val="P68B1DB1-Normal16"/>
              <w:spacing w:line="240" w:lineRule="auto"/>
              <w:rPr>
                <w:noProof/>
              </w:rPr>
            </w:pPr>
            <w:r>
              <w:rPr>
                <w:noProof/>
              </w:rPr>
              <w:t xml:space="preserve">Provedba novih kurikuluma u osnovnim, nižim srednjim školama i </w:t>
            </w:r>
            <w:r>
              <w:rPr>
                <w:i/>
                <w:noProof/>
              </w:rPr>
              <w:t>gimnázije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81A4DBD"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42519AA" w14:textId="77777777" w:rsidR="00615E2D" w:rsidRDefault="00615E2D">
            <w:pPr>
              <w:spacing w:line="240" w:lineRule="auto"/>
              <w:jc w:val="center"/>
              <w:rPr>
                <w:noProof/>
                <w:color w:val="004300"/>
                <w:sz w:val="18"/>
              </w:rPr>
            </w:pP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14:paraId="6E56459A" w14:textId="77777777" w:rsidR="00615E2D" w:rsidRDefault="00615E2D">
            <w:pPr>
              <w:spacing w:line="240" w:lineRule="auto"/>
              <w:jc w:val="center"/>
              <w:rPr>
                <w:noProof/>
                <w:color w:val="0043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EB923A5" w14:textId="77777777" w:rsidR="00615E2D" w:rsidRDefault="00C83E46">
            <w:pPr>
              <w:pStyle w:val="P68B1DB1-Normal16"/>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1F997724" w14:textId="77777777" w:rsidR="00615E2D" w:rsidRDefault="00C83E46">
            <w:pPr>
              <w:pStyle w:val="P68B1DB1-Normal16"/>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D7C5FD7" w14:textId="4E1A8B82" w:rsidR="00615E2D" w:rsidRDefault="00C83E46">
            <w:pPr>
              <w:pStyle w:val="P68B1DB1-Normal16"/>
              <w:spacing w:line="240" w:lineRule="auto"/>
              <w:rPr>
                <w:noProof/>
              </w:rPr>
            </w:pPr>
            <w:r>
              <w:rPr>
                <w:noProof/>
              </w:rPr>
              <w:t>Provedba novih kurikuluma u školama trebala bi biti postupna. Osnovne škole moraju do 1. rujna 2023. postići potpunu usklađenost s novim kurikulumima, do 1. rujna 2024. niže srednje škole i do 1. rujna 2025. do gymnázia.</w:t>
            </w:r>
          </w:p>
        </w:tc>
      </w:tr>
      <w:tr w:rsidR="00615E2D" w14:paraId="78AE2C0C"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82FD36F" w14:textId="77777777" w:rsidR="00615E2D" w:rsidRDefault="00C83E46">
            <w:pPr>
              <w:pStyle w:val="P68B1DB1-Normal16"/>
              <w:spacing w:line="240" w:lineRule="auto"/>
              <w:jc w:val="center"/>
              <w:rPr>
                <w:noProof/>
              </w:rPr>
            </w:pPr>
            <w:r>
              <w:rPr>
                <w:noProof/>
              </w:rPr>
              <w:t>170</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6DCF2EA0" w14:textId="77777777" w:rsidR="00615E2D" w:rsidRDefault="00C83E46">
            <w:pPr>
              <w:pStyle w:val="P68B1DB1-Normal16"/>
              <w:spacing w:line="240" w:lineRule="auto"/>
              <w:rPr>
                <w:noProof/>
              </w:rPr>
            </w:pPr>
            <w:r>
              <w:rPr>
                <w:noProof/>
              </w:rPr>
              <w:t xml:space="preserve">Ulaganje 1: Provedba revidiranog kurikuluma i digitalnih vještina nastavnika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03CA025" w14:textId="77777777" w:rsidR="00615E2D" w:rsidRDefault="00C83E46">
            <w:pPr>
              <w:pStyle w:val="P68B1DB1-Normal16"/>
              <w:spacing w:line="240" w:lineRule="auto"/>
              <w:rPr>
                <w:noProof/>
              </w:rPr>
            </w:pPr>
            <w:r>
              <w:rPr>
                <w:noProof/>
              </w:rPr>
              <w:t>Prekretnica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70D87432" w14:textId="77777777" w:rsidR="00615E2D" w:rsidRDefault="00C83E46">
            <w:pPr>
              <w:pStyle w:val="P68B1DB1-Normal16"/>
              <w:spacing w:line="240" w:lineRule="auto"/>
              <w:rPr>
                <w:noProof/>
              </w:rPr>
            </w:pPr>
            <w:r>
              <w:rPr>
                <w:noProof/>
              </w:rPr>
              <w:t xml:space="preserve">Stvaranje digitalne platforme za učinkovito dijeljenje obrazovnih resursa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3AEE8A51" w14:textId="77777777" w:rsidR="00615E2D" w:rsidRDefault="00C83E46">
            <w:pPr>
              <w:pStyle w:val="P68B1DB1-Normal16"/>
              <w:spacing w:line="240" w:lineRule="auto"/>
              <w:rPr>
                <w:noProof/>
              </w:rPr>
            </w:pPr>
            <w:r>
              <w:rPr>
                <w:noProof/>
              </w:rPr>
              <w:t xml:space="preserve">Potpuno operativna digitalna platforma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C3D0B7B"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CEE6783" w14:textId="77777777" w:rsidR="00615E2D" w:rsidRDefault="00615E2D">
            <w:pPr>
              <w:spacing w:line="240" w:lineRule="auto"/>
              <w:jc w:val="center"/>
              <w:rPr>
                <w:noProof/>
                <w:color w:val="004300"/>
                <w:sz w:val="18"/>
              </w:rPr>
            </w:pP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14:paraId="61061A47" w14:textId="77777777" w:rsidR="00615E2D" w:rsidRDefault="00615E2D">
            <w:pPr>
              <w:spacing w:line="240" w:lineRule="auto"/>
              <w:jc w:val="center"/>
              <w:rPr>
                <w:noProof/>
                <w:color w:val="0043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22B0237" w14:textId="77777777" w:rsidR="00615E2D" w:rsidRDefault="00C83E46">
            <w:pPr>
              <w:pStyle w:val="P68B1DB1-Normal16"/>
              <w:spacing w:line="240" w:lineRule="auto"/>
              <w:jc w:val="center"/>
              <w:rPr>
                <w:noProof/>
              </w:rPr>
            </w:pPr>
            <w:r>
              <w:rPr>
                <w:noProof/>
              </w:rPr>
              <w:t>ČETVRTO 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0700CB74" w14:textId="77777777" w:rsidR="00615E2D" w:rsidRDefault="00C83E46">
            <w:pPr>
              <w:pStyle w:val="P68B1DB1-Normal16"/>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489E1F4" w14:textId="77777777" w:rsidR="00615E2D" w:rsidRDefault="00C83E46">
            <w:pPr>
              <w:pStyle w:val="P68B1DB1-Normal16"/>
              <w:spacing w:line="240" w:lineRule="auto"/>
              <w:rPr>
                <w:noProof/>
              </w:rPr>
            </w:pPr>
            <w:r>
              <w:rPr>
                <w:noProof/>
              </w:rPr>
              <w:t xml:space="preserve">Digitalna platforma za koju je nadležno Ministarstvo obrazovanja, mladih i sporta nastavnicima omogućuje pristup postojećem obrazovnom sadržaju (npr. digitalnim obrazovnim resursima, internetskim seminarima, tečajevima e-učenja). Uspostavlja poveznice na postojeće baze podataka materijala za digitalno obrazovanje.  </w:t>
            </w:r>
          </w:p>
        </w:tc>
      </w:tr>
      <w:tr w:rsidR="00615E2D" w14:paraId="697F2287" w14:textId="77777777">
        <w:trPr>
          <w:trHeight w:val="340"/>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CDCC377" w14:textId="77777777" w:rsidR="00615E2D" w:rsidRDefault="00C83E46">
            <w:pPr>
              <w:pStyle w:val="P68B1DB1-Normal16"/>
              <w:spacing w:line="240" w:lineRule="auto"/>
              <w:jc w:val="center"/>
              <w:rPr>
                <w:noProof/>
              </w:rPr>
            </w:pPr>
            <w:r>
              <w:rPr>
                <w:noProof/>
              </w:rPr>
              <w:t>171</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4C4396DA" w14:textId="77777777" w:rsidR="00615E2D" w:rsidRDefault="00C83E46">
            <w:pPr>
              <w:pStyle w:val="P68B1DB1-Normal16"/>
              <w:spacing w:line="240" w:lineRule="auto"/>
              <w:rPr>
                <w:noProof/>
              </w:rPr>
            </w:pPr>
            <w:r>
              <w:rPr>
                <w:noProof/>
              </w:rPr>
              <w:t>Ulaganje 1: Provedba revidiranog kurikuluma i digitalnih vještina nastavnika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7FF153E" w14:textId="77777777" w:rsidR="00615E2D" w:rsidRDefault="00C83E46">
            <w:pPr>
              <w:pStyle w:val="P68B1DB1-Normal16"/>
              <w:spacing w:line="240" w:lineRule="auto"/>
              <w:rPr>
                <w:noProof/>
              </w:rPr>
            </w:pPr>
            <w:r>
              <w:rPr>
                <w:noProof/>
              </w:rPr>
              <w:t xml:space="preserve">Ciljna </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6FDEC283" w14:textId="38A3DD34" w:rsidR="00615E2D" w:rsidRDefault="00C83E46">
            <w:pPr>
              <w:pStyle w:val="P68B1DB1-Normal16"/>
              <w:spacing w:line="240" w:lineRule="auto"/>
              <w:rPr>
                <w:noProof/>
              </w:rPr>
            </w:pPr>
            <w:r>
              <w:rPr>
                <w:noProof/>
              </w:rPr>
              <w:t xml:space="preserve">Broj škola koje su primile potporu za provedbu novih informatičkih kurikuluma (digitalne vještine nastavnika i usmjeravanje)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4FD9175F"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662740C" w14:textId="77777777" w:rsidR="00615E2D" w:rsidRDefault="00C83E46">
            <w:pPr>
              <w:pStyle w:val="P68B1DB1-Normal16"/>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A0AD6B7" w14:textId="77777777" w:rsidR="00615E2D" w:rsidRDefault="00C83E46">
            <w:pPr>
              <w:pStyle w:val="P68B1DB1-Normal16"/>
              <w:spacing w:line="240" w:lineRule="auto"/>
              <w:jc w:val="center"/>
              <w:rPr>
                <w:noProof/>
              </w:rPr>
            </w:pPr>
            <w:r>
              <w:rPr>
                <w:noProof/>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14:paraId="2CDBE29A" w14:textId="77777777" w:rsidR="00615E2D" w:rsidRDefault="00C83E46">
            <w:pPr>
              <w:pStyle w:val="P68B1DB1-Normal16"/>
              <w:spacing w:line="240" w:lineRule="auto"/>
              <w:jc w:val="center"/>
              <w:rPr>
                <w:noProof/>
              </w:rPr>
            </w:pPr>
            <w:r>
              <w:rPr>
                <w:noProof/>
              </w:rPr>
              <w:t>4 000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A9109A9" w14:textId="77777777" w:rsidR="00615E2D" w:rsidRDefault="00C83E46">
            <w:pPr>
              <w:pStyle w:val="P68B1DB1-Normal16"/>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792C5874" w14:textId="77777777" w:rsidR="00615E2D" w:rsidRDefault="00C83E46">
            <w:pPr>
              <w:pStyle w:val="P68B1DB1-Normal16"/>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354A65F5" w14:textId="77777777" w:rsidR="00615E2D" w:rsidRDefault="00C83E46">
            <w:pPr>
              <w:pStyle w:val="P68B1DB1-Normal16"/>
              <w:spacing w:line="240" w:lineRule="auto"/>
              <w:rPr>
                <w:noProof/>
              </w:rPr>
            </w:pPr>
            <w:r>
              <w:rPr>
                <w:noProof/>
              </w:rPr>
              <w:t xml:space="preserve">Potpora provedbi novih kurikuluma usmjerena je na osnovne i niže srednje škole. Sastoji se od: </w:t>
            </w:r>
          </w:p>
          <w:p w14:paraId="02363FC0" w14:textId="77777777" w:rsidR="00615E2D" w:rsidRDefault="00C83E46">
            <w:pPr>
              <w:pStyle w:val="P68B1DB1-Normal16"/>
              <w:numPr>
                <w:ilvl w:val="0"/>
                <w:numId w:val="178"/>
              </w:numPr>
              <w:spacing w:after="0" w:line="259" w:lineRule="auto"/>
              <w:contextualSpacing/>
              <w:rPr>
                <w:noProof/>
              </w:rPr>
            </w:pPr>
            <w:r>
              <w:rPr>
                <w:noProof/>
              </w:rPr>
              <w:t>osposobljavanje nastavnika u području digitalnih vještina i informatičke pismenosti</w:t>
            </w:r>
          </w:p>
          <w:p w14:paraId="763850C2" w14:textId="77777777" w:rsidR="00615E2D" w:rsidRDefault="00C83E46">
            <w:pPr>
              <w:pStyle w:val="P68B1DB1-Normal16"/>
              <w:numPr>
                <w:ilvl w:val="0"/>
                <w:numId w:val="178"/>
              </w:numPr>
              <w:spacing w:after="0" w:line="259" w:lineRule="auto"/>
              <w:contextualSpacing/>
              <w:rPr>
                <w:noProof/>
              </w:rPr>
            </w:pPr>
            <w:r>
              <w:rPr>
                <w:noProof/>
              </w:rPr>
              <w:t>smjernice (radionice, internetski seminari, individualno savjetovanje) za ravnatelje, školske koordinatore IKT-a, koordinatore kurikuluma i nastavnike u području IT-a</w:t>
            </w:r>
          </w:p>
        </w:tc>
      </w:tr>
      <w:tr w:rsidR="00615E2D" w14:paraId="19762857" w14:textId="77777777">
        <w:trPr>
          <w:trHeight w:val="309"/>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D5C9625" w14:textId="77777777" w:rsidR="00615E2D" w:rsidRDefault="00C83E46">
            <w:pPr>
              <w:pStyle w:val="P68B1DB1-Normal16"/>
              <w:spacing w:line="240" w:lineRule="auto"/>
              <w:jc w:val="center"/>
              <w:rPr>
                <w:noProof/>
              </w:rPr>
            </w:pPr>
            <w:r>
              <w:rPr>
                <w:noProof/>
              </w:rPr>
              <w:t>172</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73F8E201" w14:textId="77777777" w:rsidR="00615E2D" w:rsidRDefault="00C83E46">
            <w:pPr>
              <w:pStyle w:val="P68B1DB1-Normal16"/>
              <w:spacing w:line="240" w:lineRule="auto"/>
              <w:rPr>
                <w:noProof/>
              </w:rPr>
            </w:pPr>
            <w:r>
              <w:rPr>
                <w:noProof/>
              </w:rPr>
              <w:t>Ulaganje 2: Digitalna oprema za škole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E033507" w14:textId="77777777" w:rsidR="00615E2D" w:rsidRDefault="00C83E46">
            <w:pPr>
              <w:pStyle w:val="P68B1DB1-Normal16"/>
              <w:spacing w:line="240" w:lineRule="auto"/>
              <w:rPr>
                <w:noProof/>
              </w:rPr>
            </w:pPr>
            <w:r>
              <w:rPr>
                <w:noProof/>
              </w:rPr>
              <w:t>Ciljna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4C162057" w14:textId="77777777" w:rsidR="00615E2D" w:rsidRDefault="00C83E46">
            <w:pPr>
              <w:pStyle w:val="P68B1DB1-Normal16"/>
              <w:spacing w:line="240" w:lineRule="auto"/>
              <w:rPr>
                <w:noProof/>
              </w:rPr>
            </w:pPr>
            <w:r>
              <w:rPr>
                <w:noProof/>
              </w:rPr>
              <w:t xml:space="preserve">Broj digitalnih uređaja koje škole kupuju za učenje na daljinu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07E3786F"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C8FF119" w14:textId="77777777" w:rsidR="00615E2D" w:rsidRDefault="00C83E46">
            <w:pPr>
              <w:pStyle w:val="P68B1DB1-Normal16"/>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9211D73" w14:textId="77777777" w:rsidR="00615E2D" w:rsidRDefault="00C83E46">
            <w:pPr>
              <w:pStyle w:val="P68B1DB1-Normal16"/>
              <w:spacing w:line="240" w:lineRule="auto"/>
              <w:jc w:val="center"/>
              <w:rPr>
                <w:noProof/>
              </w:rPr>
            </w:pPr>
            <w:r>
              <w:rPr>
                <w:noProof/>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14:paraId="0673CF06" w14:textId="77777777" w:rsidR="00615E2D" w:rsidRDefault="00C83E46">
            <w:pPr>
              <w:pStyle w:val="P68B1DB1-Normal16"/>
              <w:spacing w:line="240" w:lineRule="auto"/>
              <w:jc w:val="center"/>
              <w:rPr>
                <w:noProof/>
              </w:rPr>
            </w:pPr>
            <w:r>
              <w:rPr>
                <w:noProof/>
              </w:rPr>
              <w:t>74000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3D9D19A" w14:textId="77777777" w:rsidR="00615E2D" w:rsidRDefault="00C83E46">
            <w:pPr>
              <w:pStyle w:val="P68B1DB1-Normal16"/>
              <w:spacing w:line="240" w:lineRule="auto"/>
              <w:jc w:val="center"/>
              <w:rPr>
                <w:noProof/>
              </w:rPr>
            </w:pPr>
            <w:r>
              <w:rPr>
                <w:noProof/>
              </w:rPr>
              <w:t>ČETVRTO 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764AD22A" w14:textId="77777777" w:rsidR="00615E2D" w:rsidRDefault="00C83E46">
            <w:pPr>
              <w:pStyle w:val="P68B1DB1-Normal16"/>
              <w:spacing w:line="240" w:lineRule="auto"/>
              <w:jc w:val="center"/>
              <w:rPr>
                <w:noProof/>
              </w:rPr>
            </w:pPr>
            <w:r>
              <w:rPr>
                <w:noProof/>
              </w:rPr>
              <w:t>2020</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2F6D9191" w14:textId="6B66E273" w:rsidR="00615E2D" w:rsidRDefault="00C83E46">
            <w:pPr>
              <w:pStyle w:val="P68B1DB1-Normal16"/>
              <w:spacing w:line="240" w:lineRule="auto"/>
              <w:rPr>
                <w:noProof/>
              </w:rPr>
            </w:pPr>
            <w:r>
              <w:rPr>
                <w:noProof/>
              </w:rPr>
              <w:t>Škole za učenje na daljinu kupuju najmanje 74000 digitalnih uređaja (tableta, prijenosnih računala, mobilnih telefona itd.). Najmanje 4102 osnovne i srednje škole primile su financijska sredstva za informatičku opremu za učenje na daljinu.</w:t>
            </w:r>
          </w:p>
        </w:tc>
      </w:tr>
      <w:tr w:rsidR="00615E2D" w14:paraId="4527F848"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4F66214" w14:textId="77777777" w:rsidR="00615E2D" w:rsidRDefault="00C83E46">
            <w:pPr>
              <w:pStyle w:val="P68B1DB1-Normal16"/>
              <w:spacing w:line="240" w:lineRule="auto"/>
              <w:jc w:val="center"/>
              <w:rPr>
                <w:noProof/>
              </w:rPr>
            </w:pPr>
            <w:r>
              <w:rPr>
                <w:noProof/>
              </w:rPr>
              <w:t>173</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5B1D7640" w14:textId="77777777" w:rsidR="00615E2D" w:rsidRDefault="00C83E46">
            <w:pPr>
              <w:pStyle w:val="P68B1DB1-Normal16"/>
              <w:spacing w:line="240" w:lineRule="auto"/>
              <w:rPr>
                <w:noProof/>
              </w:rPr>
            </w:pPr>
            <w:r>
              <w:rPr>
                <w:noProof/>
              </w:rPr>
              <w:t>Ulaganje 2: Digitalna oprema za škole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44E5F0D" w14:textId="71C8EFF0" w:rsidR="00615E2D" w:rsidRDefault="00C83E46">
            <w:pPr>
              <w:pStyle w:val="P68B1DB1-Normal35"/>
              <w:spacing w:line="240" w:lineRule="auto"/>
              <w:rPr>
                <w:noProof/>
                <w:color w:val="004300"/>
              </w:rPr>
            </w:pPr>
            <w:r>
              <w:rPr>
                <w:noProof/>
              </w:rPr>
              <w:t>Ciljna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1DA13B7C" w14:textId="77777777" w:rsidR="00615E2D" w:rsidRDefault="00C83E46">
            <w:pPr>
              <w:pStyle w:val="P68B1DB1-Normal16"/>
              <w:spacing w:line="240" w:lineRule="auto"/>
              <w:rPr>
                <w:noProof/>
              </w:rPr>
            </w:pPr>
            <w:r>
              <w:rPr>
                <w:noProof/>
              </w:rPr>
              <w:t>Broj informatičkih uređaja kupljenih za školski fond mobilnih digitalnih uređaja za učenike u nepovoljnom položaju</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4D73BBA5"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BF27A3C" w14:textId="77777777" w:rsidR="00615E2D" w:rsidRDefault="00C83E46">
            <w:pPr>
              <w:pStyle w:val="P68B1DB1-Normal16"/>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0485312" w14:textId="77777777" w:rsidR="00615E2D" w:rsidRDefault="00C83E46">
            <w:pPr>
              <w:pStyle w:val="P68B1DB1-Normal16"/>
              <w:spacing w:line="240" w:lineRule="auto"/>
              <w:jc w:val="center"/>
              <w:rPr>
                <w:noProof/>
              </w:rPr>
            </w:pPr>
            <w:r>
              <w:rPr>
                <w:noProof/>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14:paraId="01A7BC60" w14:textId="77777777" w:rsidR="00615E2D" w:rsidRDefault="00C83E46">
            <w:pPr>
              <w:pStyle w:val="P68B1DB1-Normal16"/>
              <w:spacing w:line="240" w:lineRule="auto"/>
              <w:jc w:val="center"/>
              <w:rPr>
                <w:noProof/>
              </w:rPr>
            </w:pPr>
            <w:r>
              <w:rPr>
                <w:noProof/>
              </w:rPr>
              <w:t>70 000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AF25265" w14:textId="77777777" w:rsidR="00615E2D" w:rsidRDefault="00C83E46">
            <w:pPr>
              <w:pStyle w:val="P68B1DB1-Normal16"/>
              <w:spacing w:line="240" w:lineRule="auto"/>
              <w:jc w:val="center"/>
              <w:rPr>
                <w:rFonts w:eastAsia="Times New Roman"/>
                <w:noProof/>
              </w:rPr>
            </w:pPr>
            <w:r>
              <w:rPr>
                <w:noProof/>
              </w:rPr>
              <w:t>ČETVRTO 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5D4FA3EA" w14:textId="77777777" w:rsidR="00615E2D" w:rsidRDefault="00C83E46">
            <w:pPr>
              <w:pStyle w:val="P68B1DB1-Normal16"/>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3502854" w14:textId="7DBA0634" w:rsidR="00615E2D" w:rsidRDefault="00C83E46">
            <w:pPr>
              <w:pStyle w:val="P68B1DB1-Normal16"/>
              <w:spacing w:line="240" w:lineRule="auto"/>
              <w:rPr>
                <w:noProof/>
              </w:rPr>
            </w:pPr>
            <w:r>
              <w:rPr>
                <w:noProof/>
              </w:rPr>
              <w:t xml:space="preserve">Kupnjom 70000 uređaja podupire se 70000 učenika kojima je potrebna pomoć. Najmanje 80 % škola uspostavilo je fond za mobilne digitalne uređaje za učenike u nepovoljnom položaju. Ta je informatička oprema dodatna uz opremu iz </w:t>
            </w:r>
            <w:r>
              <w:rPr>
                <w:noProof/>
                <w:u w:val="single"/>
              </w:rPr>
              <w:t>cilja 172</w:t>
            </w:r>
            <w:r>
              <w:rPr>
                <w:noProof/>
              </w:rPr>
              <w:t xml:space="preserve">. </w:t>
            </w:r>
          </w:p>
        </w:tc>
      </w:tr>
      <w:tr w:rsidR="00615E2D" w14:paraId="5380297C"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296CACDD" w14:textId="77777777" w:rsidR="00615E2D" w:rsidRDefault="00C83E46">
            <w:pPr>
              <w:pStyle w:val="P68B1DB1-Normal16"/>
              <w:spacing w:line="240" w:lineRule="auto"/>
              <w:jc w:val="center"/>
              <w:rPr>
                <w:noProof/>
              </w:rPr>
            </w:pPr>
            <w:r>
              <w:rPr>
                <w:noProof/>
              </w:rPr>
              <w:t>174</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4930516F" w14:textId="77777777" w:rsidR="00615E2D" w:rsidRDefault="00C83E46">
            <w:pPr>
              <w:pStyle w:val="P68B1DB1-Normal16"/>
              <w:spacing w:line="240" w:lineRule="auto"/>
              <w:rPr>
                <w:noProof/>
              </w:rPr>
            </w:pPr>
            <w:r>
              <w:rPr>
                <w:noProof/>
              </w:rPr>
              <w:t>Ulaganje 2: Digitalna oprema za škole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DB0DD2C" w14:textId="77777777" w:rsidR="00615E2D" w:rsidRDefault="00C83E46">
            <w:pPr>
              <w:pStyle w:val="P68B1DB1-Normal16"/>
              <w:spacing w:line="240" w:lineRule="auto"/>
              <w:rPr>
                <w:noProof/>
              </w:rPr>
            </w:pPr>
            <w:r>
              <w:rPr>
                <w:noProof/>
              </w:rPr>
              <w:t>Ciljna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6521D69F" w14:textId="77777777" w:rsidR="00615E2D" w:rsidRDefault="00C83E46">
            <w:pPr>
              <w:pStyle w:val="P68B1DB1-Normal16"/>
              <w:spacing w:line="240" w:lineRule="auto"/>
              <w:rPr>
                <w:noProof/>
              </w:rPr>
            </w:pPr>
            <w:r>
              <w:rPr>
                <w:noProof/>
              </w:rPr>
              <w:t xml:space="preserve">Broj škola s pomoću digitalnih tehnologija i opreme za promicanje digitalne pismenosti i provedbu novih kurikuluma u području IT-a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5E337258"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6B678FA" w14:textId="77777777" w:rsidR="00615E2D" w:rsidRDefault="00C83E46">
            <w:pPr>
              <w:pStyle w:val="P68B1DB1-Normal16"/>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14BF4F2" w14:textId="77777777" w:rsidR="00615E2D" w:rsidRDefault="00C83E46">
            <w:pPr>
              <w:pStyle w:val="P68B1DB1-Normal16"/>
              <w:spacing w:line="240" w:lineRule="auto"/>
              <w:jc w:val="center"/>
              <w:rPr>
                <w:noProof/>
              </w:rPr>
            </w:pPr>
            <w:r>
              <w:rPr>
                <w:noProof/>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14:paraId="6A00D7EE" w14:textId="77777777" w:rsidR="00615E2D" w:rsidRDefault="00C83E46">
            <w:pPr>
              <w:pStyle w:val="P68B1DB1-Normal16"/>
              <w:spacing w:line="240" w:lineRule="auto"/>
              <w:jc w:val="center"/>
              <w:rPr>
                <w:noProof/>
              </w:rPr>
            </w:pPr>
            <w:r>
              <w:rPr>
                <w:noProof/>
              </w:rPr>
              <w:t>9 260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D68B481" w14:textId="77777777" w:rsidR="00615E2D" w:rsidRDefault="00C83E46">
            <w:pPr>
              <w:pStyle w:val="P68B1DB1-Normal16"/>
              <w:spacing w:line="240" w:lineRule="auto"/>
              <w:jc w:val="center"/>
              <w:rPr>
                <w:rFonts w:eastAsia="Times New Roman"/>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74E19A0B" w14:textId="77777777" w:rsidR="00615E2D" w:rsidRDefault="00C83E46">
            <w:pPr>
              <w:pStyle w:val="P68B1DB1-Normal16"/>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DDF8864" w14:textId="77777777" w:rsidR="00615E2D" w:rsidRDefault="00C83E46">
            <w:pPr>
              <w:pStyle w:val="P68B1DB1-Normal16"/>
              <w:spacing w:line="240" w:lineRule="auto"/>
              <w:rPr>
                <w:noProof/>
              </w:rPr>
            </w:pPr>
            <w:r>
              <w:rPr>
                <w:noProof/>
              </w:rPr>
              <w:t xml:space="preserve">Od ukupno 10000 škola, najmanje 9260 škola opremljeno je osnovnim i naprednim digitalnim tehnologijama potrebnima za promicanje digitalne pismenosti i poučavanje novih informatike u skladu s revidiranim kurikulumom. </w:t>
            </w:r>
          </w:p>
        </w:tc>
      </w:tr>
      <w:tr w:rsidR="00615E2D" w14:paraId="642C1E4C" w14:textId="77777777">
        <w:trPr>
          <w:trHeight w:val="437"/>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76C46CFC" w14:textId="77777777" w:rsidR="00615E2D" w:rsidRDefault="00C83E46">
            <w:pPr>
              <w:pStyle w:val="P68B1DB1-Normal16"/>
              <w:spacing w:line="240" w:lineRule="auto"/>
              <w:jc w:val="center"/>
              <w:rPr>
                <w:noProof/>
              </w:rPr>
            </w:pPr>
            <w:r>
              <w:rPr>
                <w:noProof/>
              </w:rPr>
              <w:t>175</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6895F1CF" w14:textId="77777777" w:rsidR="00615E2D" w:rsidRDefault="00C83E46">
            <w:pPr>
              <w:pStyle w:val="P68B1DB1-Normal16"/>
              <w:spacing w:line="240" w:lineRule="auto"/>
              <w:rPr>
                <w:noProof/>
              </w:rPr>
            </w:pPr>
            <w:r>
              <w:rPr>
                <w:noProof/>
              </w:rPr>
              <w:t>Ulaganje 2: Digitalna oprema za škole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B6A928D" w14:textId="77777777" w:rsidR="00615E2D" w:rsidRDefault="00C83E46">
            <w:pPr>
              <w:pStyle w:val="P68B1DB1-Normal16"/>
              <w:spacing w:line="240" w:lineRule="auto"/>
              <w:rPr>
                <w:noProof/>
              </w:rPr>
            </w:pPr>
            <w:r>
              <w:rPr>
                <w:noProof/>
              </w:rPr>
              <w:t>Ciljna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22850AD5" w14:textId="77777777" w:rsidR="00615E2D" w:rsidRDefault="00C83E46">
            <w:pPr>
              <w:pStyle w:val="P68B1DB1-Normal16"/>
              <w:spacing w:line="240" w:lineRule="auto"/>
              <w:rPr>
                <w:noProof/>
              </w:rPr>
            </w:pPr>
            <w:r>
              <w:rPr>
                <w:noProof/>
              </w:rPr>
              <w:t xml:space="preserve">Broj škola koje primaju potporu u savjetovanju i mentorstvu u području informatičke opreme i internih IT sustava </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64FD5E86"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7203004" w14:textId="77777777" w:rsidR="00615E2D" w:rsidRDefault="00C83E46">
            <w:pPr>
              <w:pStyle w:val="P68B1DB1-Normal16"/>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8DEF486" w14:textId="77777777" w:rsidR="00615E2D" w:rsidRDefault="00C83E46">
            <w:pPr>
              <w:pStyle w:val="P68B1DB1-Normal16"/>
              <w:spacing w:line="240" w:lineRule="auto"/>
              <w:jc w:val="center"/>
              <w:rPr>
                <w:noProof/>
              </w:rPr>
            </w:pPr>
            <w:r>
              <w:rPr>
                <w:noProof/>
              </w:rPr>
              <w:t>0</w:t>
            </w:r>
          </w:p>
        </w:tc>
        <w:tc>
          <w:tcPr>
            <w:tcW w:w="708" w:type="dxa"/>
            <w:tcBorders>
              <w:top w:val="single" w:sz="8" w:space="0" w:color="auto"/>
              <w:left w:val="single" w:sz="8" w:space="0" w:color="auto"/>
              <w:bottom w:val="single" w:sz="8" w:space="0" w:color="auto"/>
              <w:right w:val="single" w:sz="8" w:space="0" w:color="auto"/>
            </w:tcBorders>
            <w:shd w:val="clear" w:color="auto" w:fill="C6EFCE"/>
            <w:vAlign w:val="center"/>
          </w:tcPr>
          <w:p w14:paraId="7C57A82B" w14:textId="77777777" w:rsidR="00615E2D" w:rsidRDefault="00C83E46">
            <w:pPr>
              <w:pStyle w:val="P68B1DB1-Normal16"/>
              <w:spacing w:line="240" w:lineRule="auto"/>
              <w:jc w:val="center"/>
              <w:rPr>
                <w:noProof/>
              </w:rPr>
            </w:pPr>
            <w:r>
              <w:rPr>
                <w:noProof/>
              </w:rPr>
              <w:t>1 120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9DB849D" w14:textId="77777777" w:rsidR="00615E2D" w:rsidRDefault="00C83E46">
            <w:pPr>
              <w:pStyle w:val="P68B1DB1-Normal16"/>
              <w:spacing w:line="240" w:lineRule="auto"/>
              <w:jc w:val="center"/>
              <w:rPr>
                <w:rFonts w:eastAsia="Times New Roman"/>
                <w:noProof/>
              </w:rPr>
            </w:pPr>
            <w:r>
              <w:rPr>
                <w:noProof/>
              </w:rPr>
              <w:t xml:space="preserve">  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057B52C8" w14:textId="77777777" w:rsidR="00615E2D" w:rsidRDefault="00C83E46">
            <w:pPr>
              <w:pStyle w:val="P68B1DB1-Normal16"/>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67236AAA" w14:textId="77777777" w:rsidR="00615E2D" w:rsidRDefault="00C83E46">
            <w:pPr>
              <w:pStyle w:val="P68B1DB1-Normal16"/>
              <w:spacing w:line="240" w:lineRule="auto"/>
              <w:rPr>
                <w:noProof/>
              </w:rPr>
            </w:pPr>
            <w:r>
              <w:rPr>
                <w:noProof/>
              </w:rPr>
              <w:t xml:space="preserve">Na regionalnoj razini mreža regionalnih IT savjetnika osigurava ciljano mentorstvo i savjetovanje najmanje 1120 škola o kupnji informatičke opreme, povezivosti, uspostavi IT administracije i internih školskih mreža. </w:t>
            </w:r>
          </w:p>
          <w:p w14:paraId="54BFFBCF" w14:textId="77777777" w:rsidR="00615E2D" w:rsidRDefault="00C83E46">
            <w:pPr>
              <w:pStyle w:val="P68B1DB1-Normal16"/>
              <w:spacing w:line="240" w:lineRule="auto"/>
              <w:rPr>
                <w:noProof/>
              </w:rPr>
            </w:pPr>
            <w:r>
              <w:rPr>
                <w:noProof/>
              </w:rPr>
              <w:t xml:space="preserve">Savjetovanje putem regionalnih IT savjetnika dopunjuje se centraliziranim metodološkim smjernicama, kao što su posebna internetska stranica, internetski seminari, razmjena dobre prakse i internetski alati za evaluaciju. </w:t>
            </w:r>
          </w:p>
        </w:tc>
      </w:tr>
    </w:tbl>
    <w:p w14:paraId="0B932B3F" w14:textId="77777777" w:rsidR="00615E2D" w:rsidRDefault="00615E2D">
      <w:pPr>
        <w:keepNext/>
        <w:tabs>
          <w:tab w:val="left" w:pos="850"/>
        </w:tabs>
        <w:spacing w:before="360" w:line="240" w:lineRule="auto"/>
        <w:jc w:val="both"/>
        <w:outlineLvl w:val="0"/>
        <w:rPr>
          <w:b/>
          <w:smallCaps/>
          <w:noProof/>
        </w:rPr>
        <w:sectPr w:rsidR="00615E2D" w:rsidSect="003A6FF0">
          <w:headerReference w:type="even" r:id="rId288"/>
          <w:headerReference w:type="default" r:id="rId289"/>
          <w:footerReference w:type="even" r:id="rId290"/>
          <w:footerReference w:type="default" r:id="rId291"/>
          <w:headerReference w:type="first" r:id="rId292"/>
          <w:footerReference w:type="first" r:id="rId293"/>
          <w:pgSz w:w="16839" w:h="11907" w:orient="landscape"/>
          <w:pgMar w:top="1134" w:right="1134" w:bottom="1134" w:left="1134" w:header="567" w:footer="567" w:gutter="0"/>
          <w:cols w:space="720"/>
          <w:docGrid w:linePitch="326"/>
        </w:sectPr>
      </w:pPr>
    </w:p>
    <w:p w14:paraId="27EEB700" w14:textId="534C916A" w:rsidR="00615E2D" w:rsidRDefault="00C83E46">
      <w:pPr>
        <w:pStyle w:val="P68B1DB1-Normal2"/>
        <w:keepNext/>
        <w:tabs>
          <w:tab w:val="left" w:pos="850"/>
        </w:tabs>
        <w:spacing w:line="240" w:lineRule="auto"/>
        <w:jc w:val="both"/>
        <w:outlineLvl w:val="0"/>
        <w:rPr>
          <w:noProof/>
        </w:rPr>
      </w:pPr>
      <w:r>
        <w:rPr>
          <w:noProof/>
        </w:rPr>
        <w:t>S. SASTAVNI DIO 3.2.: Prilagodba školskih programa</w:t>
      </w:r>
    </w:p>
    <w:p w14:paraId="0BEF4DCD" w14:textId="77777777" w:rsidR="00615E2D" w:rsidRDefault="00C83E46">
      <w:pPr>
        <w:pStyle w:val="P68B1DB1-Normal3"/>
        <w:spacing w:line="240" w:lineRule="auto"/>
        <w:jc w:val="both"/>
        <w:rPr>
          <w:noProof/>
        </w:rPr>
      </w:pPr>
      <w:r>
        <w:rPr>
          <w:noProof/>
        </w:rPr>
        <w:t>Ta komponenta češkog plana za oporavak i otpornost pridonosi svladavanju izazova u području tercijarnog odnosno osnovnoškolskog i nižeg srednjoškolskog obrazovanja. Na razini tercijarnog obrazovanja komponenta je usmjerena na povećanje kapaciteta sveučilišta i prilagodbu studijskih programa novim oblicima učenja i novim područjima, posebno digitalnom znanju, u skladu s promjenjivim potrebama tržišta rada. Osim toga, pruža se potpora novim sveučilišnim ustanovama kako bi se proširilo i moderniziralo tercijarno obrazovanje u području medicinske i farmaceutske znanosti. Na razini osnovnoškolskog i nižeg srednjoškolskog obrazovanja, komponentom se nastoje riješiti sve veće nejednakosti u obrazovanju pružanjem višeslojne potpore školama u nepovoljnom položaju, dodatnom podukom za učenike kojima prijeti rizik od neuspjeha te jačanjem sposobnosti nastavnika i stručnjaka da poučavaju heterogene razrede.</w:t>
      </w:r>
    </w:p>
    <w:p w14:paraId="768859EE" w14:textId="77777777" w:rsidR="00615E2D" w:rsidRDefault="00C83E46">
      <w:pPr>
        <w:pStyle w:val="P68B1DB1-Normal3"/>
        <w:spacing w:line="240" w:lineRule="auto"/>
        <w:jc w:val="both"/>
        <w:rPr>
          <w:noProof/>
        </w:rPr>
      </w:pPr>
      <w:r>
        <w:rPr>
          <w:noProof/>
        </w:rPr>
        <w:t>Komponentom se podupire odgovor na 2. preporuku za pojedinu zemlju, prema kojoj Češka povećava kvalitetu i uključivost sustava obrazovanja i osposobljavanja, među ostalim poticanjem tehničkih i digitalnih vještina i promicanjem nastavničke profesije, te 2. preporuke za pojedinu zemlju iz 2020., u skladu s kojom Češka podupire zapošljavanje aktivnim politikama tržišta rada, pružanjem vještina, uključujući digitalne vještine, i pristupom digitalnom učenju.</w:t>
      </w:r>
    </w:p>
    <w:p w14:paraId="67EF02F5" w14:textId="77777777" w:rsidR="00615E2D" w:rsidRDefault="00C83E46">
      <w:pPr>
        <w:pStyle w:val="P68B1DB1-Normal3"/>
        <w:spacing w:line="240" w:lineRule="auto"/>
        <w:jc w:val="both"/>
        <w:rPr>
          <w:noProof/>
        </w:rPr>
      </w:pPr>
      <w:r>
        <w:rPr>
          <w:noProof/>
        </w:rPr>
        <w:t>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w:t>
      </w:r>
    </w:p>
    <w:p w14:paraId="575168D0" w14:textId="77777777" w:rsidR="00615E2D" w:rsidRDefault="00615E2D">
      <w:pPr>
        <w:spacing w:line="240" w:lineRule="auto"/>
        <w:jc w:val="both"/>
        <w:rPr>
          <w:rFonts w:eastAsia="Times New Roman"/>
          <w:i/>
          <w:noProof/>
        </w:rPr>
      </w:pPr>
    </w:p>
    <w:p w14:paraId="692EDE68" w14:textId="29EECEBD" w:rsidR="00615E2D" w:rsidRDefault="00C83E46">
      <w:pPr>
        <w:pStyle w:val="P68B1DB1-Normal32"/>
        <w:spacing w:line="240" w:lineRule="auto"/>
        <w:jc w:val="both"/>
        <w:rPr>
          <w:noProof/>
        </w:rPr>
      </w:pPr>
      <w:r>
        <w:rPr>
          <w:noProof/>
        </w:rPr>
        <w:t>S.1. Opis reformi i ulaganja za programe bespovratne financijske potpore</w:t>
      </w:r>
    </w:p>
    <w:p w14:paraId="46173CBC" w14:textId="77777777" w:rsidR="00615E2D" w:rsidRDefault="00C83E46">
      <w:pPr>
        <w:pStyle w:val="P68B1DB1-Normal26"/>
        <w:spacing w:line="240" w:lineRule="auto"/>
        <w:jc w:val="both"/>
        <w:rPr>
          <w:noProof/>
        </w:rPr>
      </w:pPr>
      <w:r>
        <w:rPr>
          <w:noProof/>
        </w:rPr>
        <w:t xml:space="preserve">Reforma 1.: Preobrazba sveučilišta radi prilagodbe novim oblicima učenja i promjenjivim potrebama tržišta rada </w:t>
      </w:r>
    </w:p>
    <w:p w14:paraId="0481C2EE" w14:textId="77777777" w:rsidR="00615E2D" w:rsidRDefault="00C83E46">
      <w:pPr>
        <w:pStyle w:val="P68B1DB1-Normal3"/>
        <w:spacing w:line="240" w:lineRule="auto"/>
        <w:jc w:val="both"/>
        <w:rPr>
          <w:noProof/>
        </w:rPr>
      </w:pPr>
      <w:r>
        <w:rPr>
          <w:noProof/>
        </w:rPr>
        <w:t xml:space="preserve">Cilj je reforme pokrenuti i ubrzati preobrazbu sveučilišta u pogledu sadržaja i oblika učenja. Kad je riječ o sadržaju, raspon studijskih programa prilagođava se novim trendovima i promjenjivim potrebama na tržištu rada, posebno digitalnoj transformaciji. Prioritetni sektori utvrđuju se na nacionalnoj razini, uz savjetovanje sa socijalnim partnerima. Akademska usmjerenost postojećih studijskih programa također se prilagođava kako bi se uključio znatan udio učenja temeljenog na radu kako bi se bolje odgovorilo na potrebe tržišta rada. Reformom će se olakšati i prijelaz na nove, uglavnom digitalne oblike učenja, kao što su kombinirano učenje i učenje na daljinu. Za to su potrebna ulaganja u digitalnu opremu i tehnologije te osposobljavanje sveučilišnog osoblja u području digitalnih vještina i modernih metoda poučavanja. Mjera je usmjerena i na razvoj tih kapaciteta, čime bi se sveučilištima omogućilo pružanje tečajeva prekvalifikacije i usavršavanja, posebno za radnike u područjima koja se temelje na znanju. </w:t>
      </w:r>
    </w:p>
    <w:p w14:paraId="011FD4A5" w14:textId="3DA149BD" w:rsidR="00615E2D" w:rsidRDefault="00C83E46">
      <w:pPr>
        <w:pStyle w:val="P68B1DB1-Normal3"/>
        <w:spacing w:line="240" w:lineRule="auto"/>
        <w:jc w:val="both"/>
        <w:rPr>
          <w:noProof/>
        </w:rPr>
      </w:pPr>
      <w:r>
        <w:rPr>
          <w:noProof/>
        </w:rPr>
        <w:t xml:space="preserve">Potpora se usmjerava na sveučilišta putem otvorenog poziva kojim upravlja Ministarstvo obrazovanja, mladih i sporta. Očekuje se potpora za najmanje 20 sveučilišta. Akreditacija se dodjeljuje za najmanje 35 novih studijskih programa, uključujući: </w:t>
      </w:r>
    </w:p>
    <w:p w14:paraId="3D2D698D" w14:textId="77777777" w:rsidR="00615E2D" w:rsidRDefault="00C83E46">
      <w:pPr>
        <w:pStyle w:val="P68B1DB1-Normal3"/>
        <w:numPr>
          <w:ilvl w:val="0"/>
          <w:numId w:val="202"/>
        </w:numPr>
        <w:spacing w:line="240" w:lineRule="auto"/>
        <w:jc w:val="both"/>
        <w:rPr>
          <w:noProof/>
        </w:rPr>
      </w:pPr>
      <w:r>
        <w:rPr>
          <w:noProof/>
        </w:rPr>
        <w:t xml:space="preserve">najmanje 15 studijskih programa u prioritetnim brzorastućim sektorima visoke dodane vrijednosti u kojima nedostaje visokokvalificiranih stručnjaka, kao što su kibersigurnost, umjetna inteligencija, industrija 4.0, usluge e-uprave.   </w:t>
      </w:r>
    </w:p>
    <w:p w14:paraId="12371520" w14:textId="77777777" w:rsidR="00615E2D" w:rsidRDefault="00C83E46">
      <w:pPr>
        <w:pStyle w:val="P68B1DB1-Normal3"/>
        <w:numPr>
          <w:ilvl w:val="0"/>
          <w:numId w:val="202"/>
        </w:numPr>
        <w:spacing w:line="240" w:lineRule="auto"/>
        <w:jc w:val="both"/>
        <w:rPr>
          <w:noProof/>
        </w:rPr>
      </w:pPr>
      <w:r>
        <w:rPr>
          <w:noProof/>
        </w:rPr>
        <w:t xml:space="preserve">najmanje 20 dodatnih studijskih programa (preddiplomski ili diplomski studij) profesionalnog profila. </w:t>
      </w:r>
    </w:p>
    <w:p w14:paraId="663235D4" w14:textId="5C6FB12A" w:rsidR="00615E2D" w:rsidRDefault="00C83E46">
      <w:pPr>
        <w:pStyle w:val="P68B1DB1-Normal3"/>
        <w:spacing w:line="240" w:lineRule="auto"/>
        <w:jc w:val="both"/>
        <w:rPr>
          <w:noProof/>
        </w:rPr>
      </w:pPr>
      <w:r>
        <w:rPr>
          <w:noProof/>
        </w:rPr>
        <w:t>Osim toga, sveučilišta nude najmanje 20 novih tečajeva cjeloživotnog učenja (uključujući mikrokvalifikacije).</w:t>
      </w:r>
    </w:p>
    <w:p w14:paraId="2F47F19D" w14:textId="77777777" w:rsidR="00615E2D" w:rsidRDefault="00C83E46">
      <w:pPr>
        <w:pStyle w:val="P68B1DB1-Normal3"/>
        <w:spacing w:line="240" w:lineRule="auto"/>
        <w:jc w:val="both"/>
        <w:rPr>
          <w:noProof/>
        </w:rPr>
      </w:pPr>
      <w:r>
        <w:rPr>
          <w:noProof/>
        </w:rPr>
        <w:t xml:space="preserve">Reforma i popratno ulaganje dovršavaju se do 31. ožujka 2026. </w:t>
      </w:r>
    </w:p>
    <w:p w14:paraId="760CE794" w14:textId="77777777" w:rsidR="00615E2D" w:rsidRDefault="00C83E46">
      <w:pPr>
        <w:pStyle w:val="P68B1DB1-Normal26"/>
        <w:spacing w:line="240" w:lineRule="auto"/>
        <w:jc w:val="both"/>
        <w:rPr>
          <w:noProof/>
        </w:rPr>
      </w:pPr>
      <w:r>
        <w:rPr>
          <w:noProof/>
        </w:rPr>
        <w:t>Ulaganje 1: D</w:t>
      </w:r>
      <w:r>
        <w:rPr>
          <w:noProof/>
          <w:color w:val="000000"/>
        </w:rPr>
        <w:t>Razvoj odabranih ključnih akademskih lokacija</w:t>
      </w:r>
      <w:r>
        <w:rPr>
          <w:noProof/>
        </w:rPr>
        <w:t xml:space="preserve"> </w:t>
      </w:r>
    </w:p>
    <w:p w14:paraId="681D06E8" w14:textId="77777777" w:rsidR="00615E2D" w:rsidRDefault="00C83E46">
      <w:pPr>
        <w:pStyle w:val="P68B1DB1-Normal3"/>
        <w:spacing w:line="240" w:lineRule="auto"/>
        <w:jc w:val="both"/>
        <w:rPr>
          <w:noProof/>
        </w:rPr>
      </w:pPr>
      <w:r>
        <w:rPr>
          <w:noProof/>
        </w:rPr>
        <w:t xml:space="preserve">Ulaganje se sastoji od proširenja objekata sveučilišta u području medicine, biomedicine i farmaceutske znanosti. Novi objekti omogućuju inovacije akademskih programa, širenje praktičnog poučavanja, razvoj interdisciplinarnog istraživanja i povećanu internacionalizaciju. Krajnji je cilj povećati udio studenata medicine i farmacije, čime bi se riješio problem nedostatka zdravstvenih djelatnika u Češkoj. Ulaganje uključuje izgradnju i opremanje novih akademskih objekata u tri sveučilišna kampusa: </w:t>
      </w:r>
    </w:p>
    <w:p w14:paraId="3C9EF315" w14:textId="77777777" w:rsidR="00615E2D" w:rsidRDefault="00C83E46">
      <w:pPr>
        <w:pStyle w:val="P68B1DB1-Normal3"/>
        <w:numPr>
          <w:ilvl w:val="0"/>
          <w:numId w:val="167"/>
        </w:numPr>
        <w:spacing w:line="259" w:lineRule="auto"/>
        <w:contextualSpacing/>
        <w:jc w:val="both"/>
        <w:rPr>
          <w:noProof/>
        </w:rPr>
      </w:pPr>
      <w:r>
        <w:rPr>
          <w:noProof/>
        </w:rPr>
        <w:t xml:space="preserve">MEPHARED 2 – spajanje rascjepkanih akademskih centara Medicinskog fakulteta i farmaceutskog fakulteta na Karlovom sveučilištu u Hradecu Královéu </w:t>
      </w:r>
    </w:p>
    <w:p w14:paraId="38E04FAF" w14:textId="77777777" w:rsidR="00615E2D" w:rsidRDefault="00C83E46">
      <w:pPr>
        <w:pStyle w:val="P68B1DB1-Normal3"/>
        <w:numPr>
          <w:ilvl w:val="0"/>
          <w:numId w:val="167"/>
        </w:numPr>
        <w:spacing w:line="259" w:lineRule="auto"/>
        <w:contextualSpacing/>
        <w:jc w:val="both"/>
        <w:rPr>
          <w:noProof/>
        </w:rPr>
      </w:pPr>
      <w:r>
        <w:rPr>
          <w:noProof/>
        </w:rPr>
        <w:t>BIOCENTRUM – nove ustanove za medicinske i biomedicinske studije prirodnih znanosti u kampusu Alberov Sveučilišta Charles u Pragu</w:t>
      </w:r>
    </w:p>
    <w:p w14:paraId="6674F7CE" w14:textId="6D3726BF" w:rsidR="00615E2D" w:rsidRDefault="00C83E46">
      <w:pPr>
        <w:pStyle w:val="P68B1DB1-Normal3"/>
        <w:numPr>
          <w:ilvl w:val="0"/>
          <w:numId w:val="167"/>
        </w:numPr>
        <w:spacing w:line="259" w:lineRule="auto"/>
        <w:contextualSpacing/>
        <w:jc w:val="both"/>
        <w:rPr>
          <w:noProof/>
        </w:rPr>
      </w:pPr>
      <w:r>
        <w:rPr>
          <w:noProof/>
        </w:rPr>
        <w:t>Biopharma Hub – nove ustanove za farmaceutske i biomedicinske studije koje omogućuju povezivanje farmaceutskog fakulteta s jedinstvenom akademskom lokacijom Sveučilišta Masaryk u Brnu.</w:t>
      </w:r>
    </w:p>
    <w:p w14:paraId="794F59A4" w14:textId="77777777" w:rsidR="00615E2D" w:rsidRDefault="00C83E46">
      <w:pPr>
        <w:pStyle w:val="P68B1DB1-Normal3"/>
        <w:spacing w:line="240" w:lineRule="auto"/>
        <w:jc w:val="both"/>
        <w:rPr>
          <w:noProof/>
        </w:rPr>
      </w:pPr>
      <w:r>
        <w:rPr>
          <w:noProof/>
        </w:rPr>
        <w:t>Ulaganja moraju biti dovršena do 30. lipnja 2026.</w:t>
      </w:r>
    </w:p>
    <w:p w14:paraId="742EE4E2" w14:textId="77777777" w:rsidR="00615E2D" w:rsidRDefault="00C83E46">
      <w:pPr>
        <w:pStyle w:val="P68B1DB1-Normal26"/>
        <w:spacing w:line="240" w:lineRule="auto"/>
        <w:jc w:val="both"/>
        <w:rPr>
          <w:noProof/>
        </w:rPr>
      </w:pPr>
      <w:r>
        <w:rPr>
          <w:noProof/>
        </w:rPr>
        <w:t>Reforma br. 2: Potpora školama u nepovoljnom položaju</w:t>
      </w:r>
    </w:p>
    <w:p w14:paraId="460F9921" w14:textId="77777777" w:rsidR="00615E2D" w:rsidRDefault="00C83E46">
      <w:pPr>
        <w:pStyle w:val="P68B1DB1-Normal3"/>
        <w:spacing w:line="240" w:lineRule="auto"/>
        <w:jc w:val="both"/>
        <w:rPr>
          <w:noProof/>
        </w:rPr>
      </w:pPr>
      <w:r>
        <w:rPr>
          <w:noProof/>
        </w:rPr>
        <w:t xml:space="preserve">Cilj je reforme riješiti sve veće razlike među obrazovnim rezultatima škola i osigurati jednak pristup kvalitetnom obrazovanju. To će se postići sveobuhvatnom potporom najranjivijim školama s iznadprosječnim udjelom učenika u nepovoljnom socioekonomskom položaju. Program ciljane potpore razvija se i provodi za škole u socijalno isključenim područjima i segregiranim školama, kao i za škole s većim udjelom učenika s različitim materinskim jezikom. Potpora je usmjerena na osposobljavanje nastavnika za rad s heterogenim skupinama i učenicima u nepovoljnom položaju, kao i na učinkovitu suradnju sa školskim psiholozima, asistentima učitelja i socijalnim radnicima u školama. </w:t>
      </w:r>
    </w:p>
    <w:p w14:paraId="5F725789" w14:textId="77777777" w:rsidR="00615E2D" w:rsidRDefault="00C83E46">
      <w:pPr>
        <w:pStyle w:val="P68B1DB1-Normal3"/>
        <w:spacing w:line="240" w:lineRule="auto"/>
        <w:jc w:val="both"/>
        <w:rPr>
          <w:noProof/>
        </w:rPr>
      </w:pPr>
      <w:r>
        <w:rPr>
          <w:noProof/>
        </w:rPr>
        <w:t xml:space="preserve">Na temelju rezultata programa potpore predstavlja se reforma financiranja škola uvođenjem indeksnog financiranja kako bi se odrazila razina socioekonomskog nepovoljnog položaja. Time će se omogućiti pojačano financiranje najranjivijih škola na sustavnoj osnovi, čime se povećava kvaliteta njihova obrazovanja i smanjuju razlike među školama. </w:t>
      </w:r>
    </w:p>
    <w:p w14:paraId="409506B9" w14:textId="77777777" w:rsidR="00615E2D" w:rsidRDefault="00C83E46">
      <w:pPr>
        <w:pStyle w:val="P68B1DB1-Normal3"/>
        <w:spacing w:line="240" w:lineRule="auto"/>
        <w:jc w:val="both"/>
        <w:rPr>
          <w:noProof/>
        </w:rPr>
      </w:pPr>
      <w:r>
        <w:rPr>
          <w:noProof/>
        </w:rPr>
        <w:t xml:space="preserve">Reforma mora biti dovršena do 31. prosinca 2025. </w:t>
      </w:r>
    </w:p>
    <w:p w14:paraId="302FCCE3" w14:textId="77777777" w:rsidR="00615E2D" w:rsidRDefault="00C83E46">
      <w:pPr>
        <w:pStyle w:val="P68B1DB1-Normal26"/>
        <w:spacing w:line="240" w:lineRule="auto"/>
        <w:jc w:val="both"/>
        <w:rPr>
          <w:noProof/>
        </w:rPr>
      </w:pPr>
      <w:r>
        <w:rPr>
          <w:noProof/>
        </w:rPr>
        <w:t xml:space="preserve">Ulaganje 2: Mentorstvo učenika </w:t>
      </w:r>
    </w:p>
    <w:p w14:paraId="48129CB6" w14:textId="4163549C" w:rsidR="00615E2D" w:rsidRDefault="00C83E46">
      <w:pPr>
        <w:pStyle w:val="P68B1DB1-Normal3"/>
        <w:spacing w:line="240" w:lineRule="auto"/>
        <w:jc w:val="both"/>
        <w:rPr>
          <w:noProof/>
        </w:rPr>
      </w:pPr>
      <w:r>
        <w:rPr>
          <w:noProof/>
        </w:rPr>
        <w:t>Cilj je ulaganja osigurati nastavu za sustizanje učenika u nepovoljnom socioekonomskom položaju, čiji su se obrazovni rezultati pogoršali zbog dugotrajnog ograničenja kretanja u školama. Na temelju izvješća češke školske inspekcije procjenjuje se da 50000 učenika zaostaje i da im je potrebna poduka zbog nedovoljnog sudjelovanja u učenju na internetu tijekom desetomjesečne zabrane kretanja u školama. Cilj je ulaganja spriječiti daljnje povećanje nejednakosti između učenika i škola potaknutih društvenim ili drugim nepovoljnim položajem. Poduke se osiguravaju putem najmanje 500000 pojedinačnih upisa učenika za poduku. To znači da isti učenik može imati koristi od poduke iz nekoliko predmeta (npr. matematika, engleski). Cilj je mjere podučavati učenike kojima prijeti rizik od neuspjeha u školi. Škole i nastavnici mogu samostalno odrediti za koje se učenike smatra da su izloženi riziku od neuspjeha u školi.</w:t>
      </w:r>
    </w:p>
    <w:p w14:paraId="34D3E699" w14:textId="4E9DAC30" w:rsidR="00615E2D" w:rsidRDefault="00C83E46">
      <w:pPr>
        <w:pStyle w:val="P68B1DB1-Normal3"/>
        <w:spacing w:line="240" w:lineRule="auto"/>
        <w:jc w:val="both"/>
        <w:rPr>
          <w:noProof/>
        </w:rPr>
      </w:pPr>
      <w:r>
        <w:rPr>
          <w:noProof/>
        </w:rPr>
        <w:t xml:space="preserve">Objavljuje se evaluacija učinaka ove mjere (npr. kako je mjera pomogla u obnovi navika učenja i stjecanju znanja propisanih kurikulumom na matematici, češkom jeziku i stranom jeziku). </w:t>
      </w:r>
    </w:p>
    <w:p w14:paraId="38CD0643" w14:textId="218B7B67" w:rsidR="00615E2D" w:rsidRDefault="00C83E46">
      <w:pPr>
        <w:pStyle w:val="P68B1DB1-Normal3"/>
        <w:spacing w:line="240" w:lineRule="auto"/>
        <w:jc w:val="both"/>
        <w:rPr>
          <w:noProof/>
        </w:rPr>
      </w:pPr>
      <w:r>
        <w:rPr>
          <w:noProof/>
        </w:rPr>
        <w:t xml:space="preserve">Ulaganje mora biti dovršeno do 31. prosinca 2023. </w:t>
      </w:r>
    </w:p>
    <w:p w14:paraId="4C56C158" w14:textId="42574FEE" w:rsidR="00615E2D" w:rsidRDefault="00615E2D">
      <w:pPr>
        <w:spacing w:line="240" w:lineRule="auto"/>
        <w:jc w:val="both"/>
        <w:rPr>
          <w:rFonts w:eastAsia="Times New Roman"/>
          <w:noProof/>
        </w:rPr>
      </w:pPr>
    </w:p>
    <w:p w14:paraId="6D6C2FA8" w14:textId="6215CEBC" w:rsidR="00615E2D" w:rsidRDefault="00615E2D">
      <w:pPr>
        <w:spacing w:line="240" w:lineRule="auto"/>
        <w:jc w:val="both"/>
        <w:rPr>
          <w:rFonts w:eastAsia="Times New Roman"/>
          <w:noProof/>
        </w:rPr>
      </w:pPr>
    </w:p>
    <w:p w14:paraId="4BEAE0DF" w14:textId="77777777" w:rsidR="00615E2D" w:rsidRDefault="00615E2D">
      <w:pPr>
        <w:spacing w:line="240" w:lineRule="auto"/>
        <w:jc w:val="both"/>
        <w:rPr>
          <w:rFonts w:eastAsia="Times New Roman"/>
          <w:noProof/>
        </w:rPr>
        <w:sectPr w:rsidR="00615E2D" w:rsidSect="003A6FF0">
          <w:headerReference w:type="even" r:id="rId294"/>
          <w:headerReference w:type="default" r:id="rId295"/>
          <w:footerReference w:type="even" r:id="rId296"/>
          <w:footerReference w:type="default" r:id="rId297"/>
          <w:headerReference w:type="first" r:id="rId298"/>
          <w:footerReference w:type="first" r:id="rId299"/>
          <w:pgSz w:w="11907" w:h="16839"/>
          <w:pgMar w:top="1134" w:right="1134" w:bottom="1134" w:left="1134" w:header="567" w:footer="567" w:gutter="0"/>
          <w:cols w:space="708"/>
          <w:docGrid w:linePitch="326"/>
        </w:sectPr>
      </w:pPr>
    </w:p>
    <w:p w14:paraId="7C9BC854" w14:textId="0ACE3BA5" w:rsidR="00615E2D" w:rsidRDefault="00C83E46">
      <w:pPr>
        <w:pStyle w:val="P68B1DB1-Normal33"/>
        <w:pBdr>
          <w:top w:val="nil"/>
          <w:left w:val="nil"/>
          <w:bottom w:val="nil"/>
          <w:right w:val="nil"/>
          <w:between w:val="nil"/>
        </w:pBdr>
        <w:tabs>
          <w:tab w:val="left" w:pos="993"/>
        </w:tabs>
        <w:spacing w:line="240" w:lineRule="auto"/>
        <w:jc w:val="both"/>
        <w:rPr>
          <w:noProof/>
          <w:color w:val="000000"/>
        </w:rPr>
      </w:pPr>
      <w:r>
        <w:rPr>
          <w:noProof/>
        </w:rPr>
        <w:t xml:space="preserve">S.2. Ključne etape, ciljne vrijednosti i vremenski raspored za praćenje i provedbu programa bespovratne financijske potpore </w:t>
      </w:r>
    </w:p>
    <w:tbl>
      <w:tblPr>
        <w:tblW w:w="0" w:type="auto"/>
        <w:jc w:val="center"/>
        <w:tblLayout w:type="fixed"/>
        <w:tblLook w:val="04A0" w:firstRow="1" w:lastRow="0" w:firstColumn="1" w:lastColumn="0" w:noHBand="0" w:noVBand="1"/>
      </w:tblPr>
      <w:tblGrid>
        <w:gridCol w:w="675"/>
        <w:gridCol w:w="1418"/>
        <w:gridCol w:w="1077"/>
        <w:gridCol w:w="1418"/>
        <w:gridCol w:w="1134"/>
        <w:gridCol w:w="1077"/>
        <w:gridCol w:w="1077"/>
        <w:gridCol w:w="851"/>
        <w:gridCol w:w="992"/>
        <w:gridCol w:w="1064"/>
        <w:gridCol w:w="4745"/>
      </w:tblGrid>
      <w:tr w:rsidR="00615E2D" w14:paraId="005C35BD" w14:textId="77777777">
        <w:trPr>
          <w:trHeight w:val="107"/>
          <w:tblHeade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F613AD1" w14:textId="77777777" w:rsidR="00615E2D" w:rsidRDefault="00C83E46">
            <w:pPr>
              <w:pStyle w:val="P68B1DB1-Normal27"/>
              <w:spacing w:line="240" w:lineRule="auto"/>
              <w:jc w:val="center"/>
              <w:rPr>
                <w:noProof/>
              </w:rPr>
            </w:pPr>
            <w:r>
              <w:rPr>
                <w:noProof/>
              </w:rPr>
              <w:t>Sljedeće NUM.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501A7151" w14:textId="77777777" w:rsidR="00615E2D" w:rsidRDefault="00C83E46">
            <w:pPr>
              <w:pStyle w:val="P68B1DB1-Normal9"/>
              <w:spacing w:line="240" w:lineRule="auto"/>
              <w:jc w:val="center"/>
              <w:rPr>
                <w:noProof/>
              </w:rPr>
            </w:pPr>
            <w:r>
              <w:rPr>
                <w:noProof/>
              </w:rPr>
              <w:t xml:space="preserve">Povezana mjera (reforma ili ulaganje) </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17A00FA" w14:textId="77777777" w:rsidR="00615E2D" w:rsidRDefault="00C83E46">
            <w:pPr>
              <w:pStyle w:val="P68B1DB1-Normal9"/>
              <w:spacing w:line="240" w:lineRule="auto"/>
              <w:jc w:val="center"/>
              <w:rPr>
                <w:noProof/>
              </w:rPr>
            </w:pPr>
            <w:r>
              <w:rPr>
                <w:noProof/>
              </w:rPr>
              <w:t xml:space="preserve">Ključna etapa/ciljna vrijednost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0843469" w14:textId="77777777" w:rsidR="00615E2D" w:rsidRDefault="00C83E46">
            <w:pPr>
              <w:pStyle w:val="P68B1DB1-Normal9"/>
              <w:spacing w:line="240" w:lineRule="auto"/>
              <w:jc w:val="center"/>
              <w:rPr>
                <w:noProof/>
              </w:rPr>
            </w:pPr>
            <w:r>
              <w:rPr>
                <w:noProof/>
              </w:rPr>
              <w:t xml:space="preserve">Ime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4ADB85D2"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2268" w:type="dxa"/>
            <w:gridSpan w:val="3"/>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62A9B5C9"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2056" w:type="dxa"/>
            <w:gridSpan w:val="2"/>
            <w:tcBorders>
              <w:top w:val="single" w:sz="8" w:space="0" w:color="auto"/>
              <w:left w:val="nil"/>
              <w:bottom w:val="single" w:sz="8" w:space="0" w:color="auto"/>
              <w:right w:val="single" w:sz="4" w:space="0" w:color="auto"/>
            </w:tcBorders>
            <w:shd w:val="clear" w:color="auto" w:fill="BDD7EE"/>
            <w:vAlign w:val="center"/>
          </w:tcPr>
          <w:p w14:paraId="23AFBA76" w14:textId="77777777" w:rsidR="00615E2D" w:rsidRDefault="00C83E46">
            <w:pPr>
              <w:pStyle w:val="P68B1DB1-Normal9"/>
              <w:spacing w:line="240" w:lineRule="auto"/>
              <w:jc w:val="center"/>
              <w:rPr>
                <w:noProof/>
              </w:rPr>
            </w:pPr>
            <w:r>
              <w:rPr>
                <w:noProof/>
              </w:rPr>
              <w:t xml:space="preserve">Okvirni vremenski okvir za dovršetak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790FD90"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16E49AAE" w14:textId="77777777">
        <w:trPr>
          <w:trHeight w:val="173"/>
          <w:tblHeader/>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6C863E84" w14:textId="77777777" w:rsidR="00615E2D" w:rsidRDefault="00615E2D">
            <w:pPr>
              <w:spacing w:line="240" w:lineRule="auto"/>
              <w:jc w:val="center"/>
              <w:rPr>
                <w:noProof/>
                <w:sz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5194A42" w14:textId="77777777" w:rsidR="00615E2D" w:rsidRDefault="00615E2D">
            <w:pPr>
              <w:spacing w:line="240" w:lineRule="auto"/>
              <w:jc w:val="center"/>
              <w:rPr>
                <w:noProof/>
                <w:sz w:val="18"/>
              </w:rPr>
            </w:pPr>
          </w:p>
        </w:tc>
        <w:tc>
          <w:tcPr>
            <w:tcW w:w="1077" w:type="dxa"/>
            <w:vMerge/>
            <w:tcBorders>
              <w:left w:val="single" w:sz="4" w:space="0" w:color="auto"/>
              <w:right w:val="single" w:sz="4" w:space="0" w:color="auto"/>
            </w:tcBorders>
            <w:vAlign w:val="center"/>
          </w:tcPr>
          <w:p w14:paraId="6642BB63" w14:textId="77777777" w:rsidR="00615E2D" w:rsidRDefault="00615E2D">
            <w:pPr>
              <w:spacing w:line="240" w:lineRule="auto"/>
              <w:jc w:val="center"/>
              <w:rPr>
                <w:noProof/>
                <w:sz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91BB715" w14:textId="77777777" w:rsidR="00615E2D" w:rsidRDefault="00615E2D">
            <w:pPr>
              <w:spacing w:line="240" w:lineRule="auto"/>
              <w:jc w:val="center"/>
              <w:rPr>
                <w:noProof/>
                <w:sz w:val="18"/>
              </w:rPr>
            </w:pPr>
          </w:p>
        </w:tc>
        <w:tc>
          <w:tcPr>
            <w:tcW w:w="1134" w:type="dxa"/>
            <w:vMerge/>
            <w:tcBorders>
              <w:left w:val="single" w:sz="4" w:space="0" w:color="auto"/>
            </w:tcBorders>
            <w:vAlign w:val="center"/>
          </w:tcPr>
          <w:p w14:paraId="274B6C9C" w14:textId="77777777" w:rsidR="00615E2D" w:rsidRDefault="00615E2D">
            <w:pPr>
              <w:spacing w:line="240" w:lineRule="auto"/>
              <w:jc w:val="center"/>
              <w:rPr>
                <w:noProof/>
                <w:sz w:val="18"/>
              </w:rPr>
            </w:pPr>
          </w:p>
        </w:tc>
        <w:tc>
          <w:tcPr>
            <w:tcW w:w="1077" w:type="dxa"/>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13925732" w14:textId="77777777" w:rsidR="00615E2D" w:rsidRDefault="00C83E46">
            <w:pPr>
              <w:pStyle w:val="P68B1DB1-Normal9"/>
              <w:spacing w:line="240" w:lineRule="auto"/>
              <w:jc w:val="center"/>
              <w:rPr>
                <w:noProof/>
              </w:rPr>
            </w:pPr>
            <w:r>
              <w:rPr>
                <w:noProof/>
              </w:rPr>
              <w:t>Jedinica mjere</w:t>
            </w:r>
          </w:p>
        </w:tc>
        <w:tc>
          <w:tcPr>
            <w:tcW w:w="1077" w:type="dxa"/>
            <w:tcBorders>
              <w:top w:val="nil"/>
              <w:left w:val="single" w:sz="8" w:space="0" w:color="auto"/>
              <w:bottom w:val="single" w:sz="8" w:space="0" w:color="auto"/>
              <w:right w:val="single" w:sz="8" w:space="0" w:color="auto"/>
            </w:tcBorders>
            <w:shd w:val="clear" w:color="auto" w:fill="BDD7EE"/>
            <w:vAlign w:val="center"/>
          </w:tcPr>
          <w:p w14:paraId="7027C751" w14:textId="77777777" w:rsidR="00615E2D" w:rsidRDefault="00C83E46">
            <w:pPr>
              <w:pStyle w:val="P68B1DB1-Normal9"/>
              <w:spacing w:line="240" w:lineRule="auto"/>
              <w:jc w:val="center"/>
              <w:rPr>
                <w:noProof/>
              </w:rPr>
            </w:pPr>
            <w:r>
              <w:rPr>
                <w:noProof/>
              </w:rPr>
              <w:t>Osnovna vrijednost</w:t>
            </w:r>
          </w:p>
        </w:tc>
        <w:tc>
          <w:tcPr>
            <w:tcW w:w="851" w:type="dxa"/>
            <w:tcBorders>
              <w:top w:val="nil"/>
              <w:left w:val="single" w:sz="8" w:space="0" w:color="auto"/>
              <w:bottom w:val="single" w:sz="8" w:space="0" w:color="auto"/>
              <w:right w:val="single" w:sz="8" w:space="0" w:color="000000" w:themeColor="text1"/>
            </w:tcBorders>
            <w:shd w:val="clear" w:color="auto" w:fill="BDD7EE"/>
            <w:vAlign w:val="center"/>
          </w:tcPr>
          <w:p w14:paraId="41166A6F" w14:textId="77777777" w:rsidR="00615E2D" w:rsidRDefault="00C83E46">
            <w:pPr>
              <w:pStyle w:val="P68B1DB1-Normal9"/>
              <w:spacing w:line="240" w:lineRule="auto"/>
              <w:jc w:val="center"/>
              <w:rPr>
                <w:noProof/>
              </w:rPr>
            </w:pPr>
            <w:r>
              <w:rPr>
                <w:noProof/>
              </w:rPr>
              <w:t>Cilj</w:t>
            </w:r>
          </w:p>
        </w:tc>
        <w:tc>
          <w:tcPr>
            <w:tcW w:w="992" w:type="dxa"/>
            <w:tcBorders>
              <w:top w:val="single" w:sz="8" w:space="0" w:color="auto"/>
              <w:left w:val="single" w:sz="8" w:space="0" w:color="auto"/>
              <w:bottom w:val="single" w:sz="8" w:space="0" w:color="auto"/>
              <w:right w:val="single" w:sz="8" w:space="0" w:color="000000" w:themeColor="text1"/>
            </w:tcBorders>
            <w:shd w:val="clear" w:color="auto" w:fill="BDD7EE"/>
            <w:vAlign w:val="center"/>
          </w:tcPr>
          <w:p w14:paraId="13FDEF7B" w14:textId="77777777" w:rsidR="00615E2D" w:rsidRDefault="00C83E46">
            <w:pPr>
              <w:pStyle w:val="P68B1DB1-Normal9"/>
              <w:spacing w:line="240" w:lineRule="auto"/>
              <w:jc w:val="center"/>
              <w:rPr>
                <w:noProof/>
              </w:rPr>
            </w:pPr>
            <w:r>
              <w:rPr>
                <w:noProof/>
              </w:rPr>
              <w:t>Tromjesečje</w:t>
            </w:r>
          </w:p>
        </w:tc>
        <w:tc>
          <w:tcPr>
            <w:tcW w:w="1064" w:type="dxa"/>
            <w:tcBorders>
              <w:top w:val="nil"/>
              <w:left w:val="single" w:sz="8" w:space="0" w:color="auto"/>
              <w:bottom w:val="single" w:sz="8" w:space="0" w:color="auto"/>
              <w:right w:val="single" w:sz="4" w:space="0" w:color="auto"/>
            </w:tcBorders>
            <w:shd w:val="clear" w:color="auto" w:fill="BDD7EE"/>
            <w:vAlign w:val="center"/>
          </w:tcPr>
          <w:p w14:paraId="0FD8FC48" w14:textId="77777777" w:rsidR="00615E2D" w:rsidRDefault="00C83E46">
            <w:pPr>
              <w:pStyle w:val="P68B1DB1-Normal9"/>
              <w:spacing w:line="240" w:lineRule="auto"/>
              <w:jc w:val="center"/>
              <w:rPr>
                <w:noProof/>
              </w:rPr>
            </w:pPr>
            <w:r>
              <w:rPr>
                <w:noProof/>
              </w:rPr>
              <w:t>Godina</w:t>
            </w:r>
          </w:p>
        </w:tc>
        <w:tc>
          <w:tcPr>
            <w:tcW w:w="4745" w:type="dxa"/>
            <w:vMerge/>
            <w:tcBorders>
              <w:bottom w:val="single" w:sz="4" w:space="0" w:color="auto"/>
              <w:right w:val="single" w:sz="4" w:space="0" w:color="auto"/>
            </w:tcBorders>
            <w:vAlign w:val="center"/>
          </w:tcPr>
          <w:p w14:paraId="12530B49" w14:textId="77777777" w:rsidR="00615E2D" w:rsidRDefault="00615E2D">
            <w:pPr>
              <w:spacing w:line="240" w:lineRule="auto"/>
              <w:jc w:val="center"/>
              <w:rPr>
                <w:noProof/>
                <w:sz w:val="18"/>
              </w:rPr>
            </w:pPr>
          </w:p>
        </w:tc>
      </w:tr>
      <w:tr w:rsidR="00615E2D" w14:paraId="741B3A50" w14:textId="77777777">
        <w:trPr>
          <w:trHeight w:val="9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14:paraId="5B0ED0AA" w14:textId="77777777" w:rsidR="00615E2D" w:rsidRDefault="00C83E46">
            <w:pPr>
              <w:pStyle w:val="P68B1DB1-Normal28"/>
              <w:spacing w:line="240" w:lineRule="auto"/>
              <w:jc w:val="center"/>
              <w:rPr>
                <w:noProof/>
              </w:rPr>
            </w:pPr>
            <w:r>
              <w:rPr>
                <w:noProof/>
              </w:rPr>
              <w:t>176</w:t>
            </w:r>
          </w:p>
        </w:tc>
        <w:tc>
          <w:tcPr>
            <w:tcW w:w="1418" w:type="dxa"/>
            <w:tcBorders>
              <w:top w:val="single" w:sz="4" w:space="0" w:color="auto"/>
              <w:left w:val="single" w:sz="8" w:space="0" w:color="auto"/>
              <w:bottom w:val="single" w:sz="8" w:space="0" w:color="auto"/>
              <w:right w:val="single" w:sz="8" w:space="0" w:color="auto"/>
            </w:tcBorders>
            <w:shd w:val="clear" w:color="auto" w:fill="C6EFCE"/>
            <w:vAlign w:val="center"/>
          </w:tcPr>
          <w:p w14:paraId="6267E039" w14:textId="77777777" w:rsidR="00615E2D" w:rsidRDefault="00C83E46">
            <w:pPr>
              <w:pStyle w:val="P68B1DB1-Normal28"/>
              <w:spacing w:line="240" w:lineRule="auto"/>
              <w:rPr>
                <w:noProof/>
              </w:rPr>
            </w:pPr>
            <w:r>
              <w:rPr>
                <w:noProof/>
              </w:rPr>
              <w:t>Reforma 1.: Preobrazba sveučilišta radi prilagodbe novim oblicima učenja i promjenjivim potrebama tržišta rada</w:t>
            </w:r>
          </w:p>
        </w:tc>
        <w:tc>
          <w:tcPr>
            <w:tcW w:w="1077" w:type="dxa"/>
            <w:tcBorders>
              <w:top w:val="single" w:sz="4" w:space="0" w:color="auto"/>
              <w:left w:val="single" w:sz="8" w:space="0" w:color="auto"/>
              <w:bottom w:val="single" w:sz="8" w:space="0" w:color="auto"/>
              <w:right w:val="single" w:sz="8" w:space="0" w:color="auto"/>
            </w:tcBorders>
            <w:shd w:val="clear" w:color="auto" w:fill="C6EFCE"/>
            <w:vAlign w:val="center"/>
          </w:tcPr>
          <w:p w14:paraId="4611DC13" w14:textId="77777777" w:rsidR="00615E2D" w:rsidRDefault="00C83E46">
            <w:pPr>
              <w:pStyle w:val="P68B1DB1-Normal28"/>
              <w:spacing w:line="240" w:lineRule="auto"/>
              <w:rPr>
                <w:noProof/>
              </w:rPr>
            </w:pPr>
            <w:r>
              <w:rPr>
                <w:noProof/>
              </w:rPr>
              <w:t>Prekretnica</w:t>
            </w:r>
          </w:p>
        </w:tc>
        <w:tc>
          <w:tcPr>
            <w:tcW w:w="1418" w:type="dxa"/>
            <w:tcBorders>
              <w:top w:val="single" w:sz="4" w:space="0" w:color="auto"/>
              <w:left w:val="single" w:sz="8" w:space="0" w:color="auto"/>
              <w:bottom w:val="single" w:sz="8" w:space="0" w:color="auto"/>
              <w:right w:val="single" w:sz="8" w:space="0" w:color="auto"/>
            </w:tcBorders>
            <w:shd w:val="clear" w:color="auto" w:fill="C6EFCE"/>
            <w:vAlign w:val="center"/>
          </w:tcPr>
          <w:p w14:paraId="363497EC" w14:textId="77777777" w:rsidR="00615E2D" w:rsidRDefault="00C83E46">
            <w:pPr>
              <w:pStyle w:val="P68B1DB1-Normal28"/>
              <w:spacing w:line="240" w:lineRule="auto"/>
              <w:rPr>
                <w:noProof/>
              </w:rPr>
            </w:pPr>
            <w:r>
              <w:rPr>
                <w:noProof/>
              </w:rPr>
              <w:t xml:space="preserve">Pokretanje programa za potporu transformaciji sveučilišta </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14:paraId="1AB51C77" w14:textId="77777777" w:rsidR="00615E2D" w:rsidRDefault="00C83E46">
            <w:pPr>
              <w:pStyle w:val="P68B1DB1-Normal28"/>
              <w:spacing w:line="240" w:lineRule="auto"/>
              <w:rPr>
                <w:noProof/>
              </w:rPr>
            </w:pPr>
            <w:r>
              <w:rPr>
                <w:noProof/>
              </w:rPr>
              <w:t xml:space="preserve">Pokretanje programa od strane Ministarstva obrazovanja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111D201"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3B242DD" w14:textId="77777777" w:rsidR="00615E2D" w:rsidRDefault="00615E2D">
            <w:pPr>
              <w:spacing w:line="240" w:lineRule="auto"/>
              <w:jc w:val="center"/>
              <w:rPr>
                <w:noProof/>
                <w:color w:val="006100"/>
                <w:sz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38BBCB3D" w14:textId="77777777" w:rsidR="00615E2D" w:rsidRDefault="00615E2D">
            <w:pPr>
              <w:spacing w:line="240" w:lineRule="auto"/>
              <w:jc w:val="center"/>
              <w:rPr>
                <w:noProof/>
                <w:color w:val="006100"/>
                <w:sz w:val="18"/>
              </w:rPr>
            </w:pP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14:paraId="1770AA6B" w14:textId="77777777" w:rsidR="00615E2D" w:rsidRDefault="00C83E46">
            <w:pPr>
              <w:pStyle w:val="P68B1DB1-Normal28"/>
              <w:spacing w:line="240" w:lineRule="auto"/>
              <w:jc w:val="center"/>
              <w:rPr>
                <w:noProof/>
              </w:rPr>
            </w:pPr>
            <w:r>
              <w:rPr>
                <w:noProof/>
              </w:rPr>
              <w:t>TROMJESEČJE</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14:paraId="58469ABE" w14:textId="77777777" w:rsidR="00615E2D" w:rsidRDefault="00C83E46">
            <w:pPr>
              <w:pStyle w:val="P68B1DB1-Normal28"/>
              <w:spacing w:line="240" w:lineRule="auto"/>
              <w:jc w:val="center"/>
              <w:rPr>
                <w:noProof/>
              </w:rPr>
            </w:pPr>
            <w:r>
              <w:rPr>
                <w:noProof/>
              </w:rPr>
              <w:t>2022</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14:paraId="27AB5CFE" w14:textId="11E37D17" w:rsidR="00615E2D" w:rsidRDefault="00C83E46">
            <w:pPr>
              <w:pStyle w:val="P68B1DB1-Normal28"/>
              <w:spacing w:after="0" w:line="259" w:lineRule="auto"/>
              <w:contextualSpacing/>
              <w:rPr>
                <w:noProof/>
              </w:rPr>
            </w:pPr>
            <w:r>
              <w:rPr>
                <w:noProof/>
              </w:rPr>
              <w:t xml:space="preserve">Programom se podupire prilagodba sveučilišta novim oblicima učenja i uvođenje novih studijskih programa. Sektori koji će se podupirati iz programa utvrđuju se na temelju analize gospodarskih podataka, uz savjetovanje sa socijalnim partnerima. Naglasak će biti na brzorastućim sektorima s visokom dodanom vrijednošću koji su pogođeni nedostatkom visokokvalificiranih stručnjaka, kao što su kibersigurnost, umjetna inteligencija, industrija 4.0 ili usluge e-uprave. Cilj je poduprijeti najmanje 20 sveučilišta. </w:t>
            </w:r>
          </w:p>
        </w:tc>
      </w:tr>
      <w:tr w:rsidR="00615E2D" w14:paraId="71FDADC5"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398F830" w14:textId="77777777" w:rsidR="00615E2D" w:rsidRDefault="00C83E46">
            <w:pPr>
              <w:pStyle w:val="P68B1DB1-Normal28"/>
              <w:spacing w:line="240" w:lineRule="auto"/>
              <w:jc w:val="center"/>
              <w:rPr>
                <w:noProof/>
              </w:rPr>
            </w:pPr>
            <w:r>
              <w:rPr>
                <w:noProof/>
              </w:rPr>
              <w:t>177</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2E761D49" w14:textId="77777777" w:rsidR="00615E2D" w:rsidRDefault="00C83E46">
            <w:pPr>
              <w:pStyle w:val="P68B1DB1-Normal28"/>
              <w:spacing w:line="240" w:lineRule="auto"/>
              <w:rPr>
                <w:noProof/>
              </w:rPr>
            </w:pPr>
            <w:r>
              <w:rPr>
                <w:noProof/>
              </w:rPr>
              <w:t>Reforma 1.: Preobrazba sveučilišta radi prilagodbe novim oblicima učenja i promjenjivim potrebama tržišta rada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44E36D1" w14:textId="77777777"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4799935E" w14:textId="77777777" w:rsidR="00615E2D" w:rsidRDefault="00C83E46">
            <w:pPr>
              <w:pStyle w:val="P68B1DB1-Normal28"/>
              <w:spacing w:line="240" w:lineRule="auto"/>
              <w:rPr>
                <w:noProof/>
              </w:rPr>
            </w:pPr>
            <w:r>
              <w:rPr>
                <w:noProof/>
              </w:rPr>
              <w:t>Broj novih akreditiranih studijskih programa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69B753C3"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9155F25"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3EFD939" w14:textId="77777777" w:rsidR="00615E2D" w:rsidRDefault="00C83E46">
            <w:pPr>
              <w:pStyle w:val="P68B1DB1-Normal28"/>
              <w:spacing w:line="240" w:lineRule="auto"/>
              <w:jc w:val="center"/>
              <w:rPr>
                <w:noProof/>
              </w:rPr>
            </w:pPr>
            <w:r>
              <w:rPr>
                <w:noProof/>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236D1DD3" w14:textId="77777777" w:rsidR="00615E2D" w:rsidRDefault="00C83E46">
            <w:pPr>
              <w:pStyle w:val="P68B1DB1-Normal41"/>
              <w:spacing w:line="259" w:lineRule="auto"/>
              <w:jc w:val="center"/>
              <w:rPr>
                <w:rFonts w:eastAsia="Times New Roman"/>
                <w:noProof/>
              </w:rPr>
            </w:pPr>
            <w:r>
              <w:rPr>
                <w:noProof/>
              </w:rPr>
              <w:t>35</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14:paraId="2C1DF162" w14:textId="77777777" w:rsidR="00615E2D" w:rsidRDefault="00C83E46">
            <w:pPr>
              <w:pStyle w:val="P68B1DB1-Normal28"/>
              <w:spacing w:line="240" w:lineRule="auto"/>
              <w:jc w:val="center"/>
              <w:rPr>
                <w:noProof/>
              </w:rPr>
            </w:pPr>
            <w:r>
              <w:rPr>
                <w:noProof/>
              </w:rPr>
              <w:t>TROMJESEČJE</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14:paraId="13C20C41" w14:textId="77777777"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165CD050" w14:textId="77777777" w:rsidR="00615E2D" w:rsidRDefault="00C83E46">
            <w:pPr>
              <w:pStyle w:val="P68B1DB1-Normal28"/>
              <w:spacing w:line="240" w:lineRule="auto"/>
              <w:rPr>
                <w:noProof/>
              </w:rPr>
            </w:pPr>
            <w:r>
              <w:rPr>
                <w:noProof/>
              </w:rPr>
              <w:t xml:space="preserve">Akreditacija se dodjeljuje za najmanje 35 novih studijskih programa, od kojih: </w:t>
            </w:r>
          </w:p>
          <w:p w14:paraId="01B05778" w14:textId="5F42920D" w:rsidR="00615E2D" w:rsidRDefault="00C83E46">
            <w:pPr>
              <w:pStyle w:val="P68B1DB1-Normal28"/>
              <w:numPr>
                <w:ilvl w:val="0"/>
                <w:numId w:val="201"/>
              </w:numPr>
              <w:spacing w:before="0" w:after="0" w:line="240" w:lineRule="auto"/>
              <w:rPr>
                <w:noProof/>
              </w:rPr>
            </w:pPr>
            <w:r>
              <w:rPr>
                <w:noProof/>
              </w:rPr>
              <w:t>najmanje 15 studijskih programa pripada sektorima za koje je utvrđeno da brzo rastu i koji imaju visoku dodanu vrijednost i koji su pogođeni nedostatkom visokokvalificiranih stručnjaka;</w:t>
            </w:r>
          </w:p>
          <w:p w14:paraId="6518583B" w14:textId="77777777" w:rsidR="00615E2D" w:rsidRDefault="00C83E46">
            <w:pPr>
              <w:pStyle w:val="P68B1DB1-Normal28"/>
              <w:numPr>
                <w:ilvl w:val="0"/>
                <w:numId w:val="201"/>
              </w:numPr>
              <w:spacing w:before="0" w:after="0" w:line="240" w:lineRule="auto"/>
              <w:rPr>
                <w:noProof/>
              </w:rPr>
            </w:pPr>
            <w:r>
              <w:rPr>
                <w:noProof/>
              </w:rPr>
              <w:t>najmanje 20 novih studijskih programa (preddiplomski ili diplomski studij) mora imati profesionalni profil.  </w:t>
            </w:r>
          </w:p>
        </w:tc>
      </w:tr>
      <w:tr w:rsidR="00615E2D" w14:paraId="6A72AE9D"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2C004359" w14:textId="77777777" w:rsidR="00615E2D" w:rsidRDefault="00C83E46">
            <w:pPr>
              <w:pStyle w:val="P68B1DB1-Normal28"/>
              <w:spacing w:line="240" w:lineRule="auto"/>
              <w:jc w:val="center"/>
              <w:rPr>
                <w:noProof/>
              </w:rPr>
            </w:pPr>
            <w:r>
              <w:rPr>
                <w:noProof/>
              </w:rPr>
              <w:t>178</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21246CA6" w14:textId="77777777" w:rsidR="00615E2D" w:rsidRDefault="00C83E46">
            <w:pPr>
              <w:pStyle w:val="P68B1DB1-Normal28"/>
              <w:spacing w:line="240" w:lineRule="auto"/>
              <w:rPr>
                <w:noProof/>
              </w:rPr>
            </w:pPr>
            <w:r>
              <w:rPr>
                <w:noProof/>
              </w:rPr>
              <w:t>Reforma 1.: Preobrazba sveučilišta radi prilagodbe novim oblicima učenja i promjenjivim potrebama tržišta rada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D68E271" w14:textId="77777777"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0BC3BD21" w14:textId="77777777" w:rsidR="00615E2D" w:rsidRDefault="00C83E46">
            <w:pPr>
              <w:pStyle w:val="P68B1DB1-Normal28"/>
              <w:spacing w:line="240" w:lineRule="auto"/>
              <w:rPr>
                <w:rFonts w:eastAsia="Times New Roman"/>
                <w:noProof/>
              </w:rPr>
            </w:pPr>
            <w:r>
              <w:rPr>
                <w:noProof/>
              </w:rPr>
              <w:t>Broj novih tečajeva prekvalifikacije i usavršavanja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6F3B57AD" w14:textId="77777777" w:rsidR="00615E2D" w:rsidRDefault="00615E2D">
            <w:pPr>
              <w:spacing w:line="240" w:lineRule="auto"/>
              <w:rPr>
                <w:rFonts w:eastAsia="Times New Roman"/>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29F8CFF"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DF0E3EF" w14:textId="77777777" w:rsidR="00615E2D" w:rsidRDefault="00C83E46">
            <w:pPr>
              <w:pStyle w:val="P68B1DB1-Normal28"/>
              <w:spacing w:line="240" w:lineRule="auto"/>
              <w:jc w:val="center"/>
              <w:rPr>
                <w:noProof/>
              </w:rPr>
            </w:pPr>
            <w:r>
              <w:rPr>
                <w:noProof/>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2D6524BD" w14:textId="77777777" w:rsidR="00615E2D" w:rsidRDefault="00C83E46">
            <w:pPr>
              <w:pStyle w:val="P68B1DB1-Normal28"/>
              <w:spacing w:line="240" w:lineRule="auto"/>
              <w:jc w:val="center"/>
              <w:rPr>
                <w:noProof/>
              </w:rPr>
            </w:pPr>
            <w:r>
              <w:rPr>
                <w:noProof/>
              </w:rPr>
              <w:t>20</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14:paraId="1C3F2321" w14:textId="77777777" w:rsidR="00615E2D" w:rsidRDefault="00C83E46">
            <w:pPr>
              <w:pStyle w:val="P68B1DB1-Normal28"/>
              <w:spacing w:line="240" w:lineRule="auto"/>
              <w:jc w:val="center"/>
              <w:rPr>
                <w:noProof/>
              </w:rPr>
            </w:pPr>
            <w:r>
              <w:rPr>
                <w:noProof/>
              </w:rPr>
              <w:t>TROMJESEČJE</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14:paraId="3D3372DE" w14:textId="77777777"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79CA8C3B" w14:textId="0448BC6A" w:rsidR="00615E2D" w:rsidRDefault="00C83E46">
            <w:pPr>
              <w:pStyle w:val="P68B1DB1-Normal28"/>
              <w:spacing w:line="240" w:lineRule="auto"/>
              <w:rPr>
                <w:rFonts w:eastAsia="Times New Roman"/>
                <w:noProof/>
              </w:rPr>
            </w:pPr>
            <w:r>
              <w:rPr>
                <w:noProof/>
              </w:rPr>
              <w:t>Sveučilišta organiziraju i nude najmanje 20 novih tečajeva usmjerenih na usavršavanje ili prekvalifikaciju (uključujući obrasce za mikrokvalifikaciju).</w:t>
            </w:r>
          </w:p>
        </w:tc>
      </w:tr>
      <w:tr w:rsidR="00615E2D" w14:paraId="387C6EB3" w14:textId="77777777">
        <w:trPr>
          <w:trHeight w:val="2846"/>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CA1AE8D" w14:textId="77777777" w:rsidR="00615E2D" w:rsidRDefault="00C83E46">
            <w:pPr>
              <w:pStyle w:val="P68B1DB1-Normal28"/>
              <w:spacing w:line="240" w:lineRule="auto"/>
              <w:jc w:val="center"/>
              <w:rPr>
                <w:noProof/>
              </w:rPr>
            </w:pPr>
            <w:r>
              <w:rPr>
                <w:noProof/>
              </w:rPr>
              <w:t>179</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71B2382D" w14:textId="77777777" w:rsidR="00615E2D" w:rsidRDefault="00C83E46">
            <w:pPr>
              <w:pStyle w:val="P68B1DB1-Normal28"/>
              <w:spacing w:line="240" w:lineRule="auto"/>
              <w:rPr>
                <w:noProof/>
              </w:rPr>
            </w:pPr>
            <w:r>
              <w:rPr>
                <w:noProof/>
              </w:rPr>
              <w:t>Ulaganje 1: Razvoj odabranih ključnih akademskih lokacija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D221832" w14:textId="77777777" w:rsidR="00615E2D" w:rsidRDefault="00C83E46">
            <w:pPr>
              <w:pStyle w:val="P68B1DB1-Normal28"/>
              <w:spacing w:line="240" w:lineRule="auto"/>
              <w:rPr>
                <w:noProof/>
              </w:rPr>
            </w:pPr>
            <w:r>
              <w:rPr>
                <w:noProof/>
              </w:rPr>
              <w:t xml:space="preserve">Prekretnica </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00072E21" w14:textId="77777777" w:rsidR="00615E2D" w:rsidRDefault="00C83E46">
            <w:pPr>
              <w:pStyle w:val="P68B1DB1-Normal11"/>
              <w:spacing w:line="240" w:lineRule="auto"/>
              <w:rPr>
                <w:noProof/>
              </w:rPr>
            </w:pPr>
            <w:r>
              <w:rPr>
                <w:noProof/>
              </w:rPr>
              <w:t xml:space="preserve">Dodjela ugovora za izgradnju novih sveučilišnih objekata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E81540C" w14:textId="77777777" w:rsidR="00615E2D" w:rsidRDefault="00C83E46">
            <w:pPr>
              <w:pStyle w:val="P68B1DB1-Normal11"/>
              <w:spacing w:line="240" w:lineRule="auto"/>
              <w:rPr>
                <w:noProof/>
              </w:rPr>
            </w:pPr>
            <w:r>
              <w:rPr>
                <w:noProof/>
              </w:rPr>
              <w:t>Obavijest o dodjeli za izgradnju novih sveučilišnih objekata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28222B5"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57A52C5" w14:textId="77777777" w:rsidR="00615E2D" w:rsidRDefault="00615E2D">
            <w:pPr>
              <w:spacing w:line="240" w:lineRule="auto"/>
              <w:jc w:val="center"/>
              <w:rPr>
                <w:noProof/>
                <w:color w:val="006100"/>
                <w:sz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00C62151" w14:textId="77777777" w:rsidR="00615E2D" w:rsidRDefault="00615E2D">
            <w:pPr>
              <w:spacing w:line="240" w:lineRule="auto"/>
              <w:jc w:val="center"/>
              <w:rPr>
                <w:noProof/>
                <w:color w:val="006100"/>
                <w:sz w:val="18"/>
              </w:rPr>
            </w:pP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14:paraId="4BF8DA6B" w14:textId="77777777" w:rsidR="00615E2D" w:rsidRDefault="00C83E46">
            <w:pPr>
              <w:pStyle w:val="P68B1DB1-Normal28"/>
              <w:spacing w:line="240" w:lineRule="auto"/>
              <w:jc w:val="center"/>
              <w:rPr>
                <w:noProof/>
              </w:rPr>
            </w:pPr>
            <w:r>
              <w:rPr>
                <w:noProof/>
              </w:rPr>
              <w:t>TROMJESEČJE</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14:paraId="24E02B57" w14:textId="77777777" w:rsidR="00615E2D" w:rsidRDefault="00C83E46">
            <w:pPr>
              <w:pStyle w:val="P68B1DB1-Normal28"/>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6EB8032" w14:textId="77777777" w:rsidR="00615E2D" w:rsidRDefault="00C83E46">
            <w:pPr>
              <w:pStyle w:val="P68B1DB1-Normal11"/>
              <w:spacing w:after="240" w:line="240" w:lineRule="auto"/>
              <w:rPr>
                <w:noProof/>
              </w:rPr>
            </w:pPr>
            <w:r>
              <w:rPr>
                <w:noProof/>
              </w:rPr>
              <w:t>Obavijest o dodjeli ugovora o javnoj nabavi za izgradnju novih sveučilišnih objekata s ciljem od 100 000 m² novog sveučilišnog područja, uključujući materijalnu opremu, raščlanjeno:</w:t>
            </w:r>
          </w:p>
          <w:p w14:paraId="53A1E4F7" w14:textId="77777777" w:rsidR="00615E2D" w:rsidRDefault="00C83E46">
            <w:pPr>
              <w:pStyle w:val="P68B1DB1-Normal11"/>
              <w:numPr>
                <w:ilvl w:val="0"/>
                <w:numId w:val="168"/>
              </w:numPr>
              <w:spacing w:after="240" w:line="259" w:lineRule="auto"/>
              <w:ind w:left="382" w:hanging="283"/>
              <w:contextualSpacing/>
              <w:rPr>
                <w:noProof/>
              </w:rPr>
            </w:pPr>
            <w:r>
              <w:rPr>
                <w:noProof/>
              </w:rPr>
              <w:t xml:space="preserve">Mephared 2 (Sveučilište Charles, Hradec Králové) – 58 092 m² </w:t>
            </w:r>
          </w:p>
          <w:p w14:paraId="04D9B9AA" w14:textId="77777777" w:rsidR="00615E2D" w:rsidRDefault="00C83E46">
            <w:pPr>
              <w:pStyle w:val="P68B1DB1-Normal11"/>
              <w:numPr>
                <w:ilvl w:val="0"/>
                <w:numId w:val="168"/>
              </w:numPr>
              <w:spacing w:after="240" w:line="259" w:lineRule="auto"/>
              <w:ind w:left="382" w:hanging="283"/>
              <w:contextualSpacing/>
              <w:rPr>
                <w:noProof/>
              </w:rPr>
            </w:pPr>
            <w:r>
              <w:rPr>
                <w:noProof/>
              </w:rPr>
              <w:t>BIOCENTRUM (Sveučilište Charles, Prag-Albertov) – 33 934 m²</w:t>
            </w:r>
          </w:p>
          <w:p w14:paraId="2FB471BF" w14:textId="77777777" w:rsidR="00615E2D" w:rsidRDefault="00C83E46">
            <w:pPr>
              <w:pStyle w:val="P68B1DB1-Normal11"/>
              <w:numPr>
                <w:ilvl w:val="0"/>
                <w:numId w:val="168"/>
              </w:numPr>
              <w:spacing w:after="240" w:line="259" w:lineRule="auto"/>
              <w:ind w:left="382" w:hanging="283"/>
              <w:contextualSpacing/>
              <w:rPr>
                <w:i/>
                <w:noProof/>
              </w:rPr>
            </w:pPr>
            <w:r>
              <w:rPr>
                <w:noProof/>
              </w:rPr>
              <w:t>BiopharmaHub (Sveučilište u Masaryku, Brno) – 19 035 m²</w:t>
            </w:r>
          </w:p>
        </w:tc>
      </w:tr>
      <w:tr w:rsidR="00615E2D" w14:paraId="4036E025"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18AF995A" w14:textId="77777777" w:rsidR="00615E2D" w:rsidRDefault="00C83E46">
            <w:pPr>
              <w:pStyle w:val="P68B1DB1-Normal28"/>
              <w:spacing w:line="240" w:lineRule="auto"/>
              <w:jc w:val="center"/>
              <w:rPr>
                <w:noProof/>
              </w:rPr>
            </w:pPr>
            <w:r>
              <w:rPr>
                <w:noProof/>
              </w:rPr>
              <w:t>180</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239AE0BF" w14:textId="77777777" w:rsidR="00615E2D" w:rsidRDefault="00C83E46">
            <w:pPr>
              <w:pStyle w:val="P68B1DB1-Normal28"/>
              <w:spacing w:line="240" w:lineRule="auto"/>
              <w:rPr>
                <w:noProof/>
              </w:rPr>
            </w:pPr>
            <w:r>
              <w:rPr>
                <w:noProof/>
              </w:rPr>
              <w:t>Ulaganje 1: Razvoj odabranih ključnih akademskih lokacija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7ACCB11" w14:textId="77777777"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0AF71030" w14:textId="77777777" w:rsidR="00615E2D" w:rsidRDefault="00C83E46">
            <w:pPr>
              <w:pStyle w:val="P68B1DB1-Normal28"/>
              <w:spacing w:line="240" w:lineRule="auto"/>
              <w:rPr>
                <w:noProof/>
              </w:rPr>
            </w:pPr>
            <w:r>
              <w:rPr>
                <w:noProof/>
              </w:rPr>
              <w:t xml:space="preserve">Broj kvadratnih metara novog sveučilišnog područja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334C014"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9B99369"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F58FC4F" w14:textId="77777777" w:rsidR="00615E2D" w:rsidRDefault="00C83E46">
            <w:pPr>
              <w:pStyle w:val="P68B1DB1-Normal28"/>
              <w:spacing w:line="240" w:lineRule="auto"/>
              <w:jc w:val="center"/>
              <w:rPr>
                <w:noProof/>
              </w:rPr>
            </w:pPr>
            <w:r>
              <w:rPr>
                <w:noProof/>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53D44262" w14:textId="77777777" w:rsidR="00615E2D" w:rsidRDefault="00C83E46">
            <w:pPr>
              <w:pStyle w:val="P68B1DB1-Normal28"/>
              <w:spacing w:line="240" w:lineRule="auto"/>
              <w:jc w:val="center"/>
              <w:rPr>
                <w:noProof/>
              </w:rPr>
            </w:pPr>
            <w:r>
              <w:rPr>
                <w:noProof/>
              </w:rPr>
              <w:t>100 000</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14:paraId="110381B8" w14:textId="77777777" w:rsidR="00615E2D" w:rsidRDefault="00C83E46">
            <w:pPr>
              <w:pStyle w:val="P68B1DB1-Normal12"/>
              <w:spacing w:line="240" w:lineRule="auto"/>
              <w:jc w:val="center"/>
              <w:rPr>
                <w:noProof/>
                <w:color w:val="006100"/>
              </w:rPr>
            </w:pPr>
            <w:r>
              <w:rPr>
                <w:noProof/>
              </w:rPr>
              <w:t xml:space="preserve">  </w:t>
            </w:r>
            <w:r>
              <w:rPr>
                <w:noProof/>
                <w:color w:val="006100"/>
              </w:rPr>
              <w:t>TROMJESEČJE</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14:paraId="4E943AB2" w14:textId="77777777"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279CAA1D" w14:textId="77777777" w:rsidR="00615E2D" w:rsidRDefault="00C83E46">
            <w:pPr>
              <w:pStyle w:val="P68B1DB1-Normal11"/>
              <w:spacing w:after="240" w:line="240" w:lineRule="auto"/>
              <w:rPr>
                <w:noProof/>
              </w:rPr>
            </w:pPr>
            <w:r>
              <w:rPr>
                <w:noProof/>
              </w:rPr>
              <w:t>Od općeg cilja izgradnje 111 000 m² mora se izgraditi najmanje 100 000 m² novih sveučilišnih područja.</w:t>
            </w:r>
          </w:p>
        </w:tc>
      </w:tr>
      <w:tr w:rsidR="00615E2D" w14:paraId="540A7F1E"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1441BB78" w14:textId="77777777" w:rsidR="00615E2D" w:rsidRDefault="00C83E46">
            <w:pPr>
              <w:pStyle w:val="P68B1DB1-Normal28"/>
              <w:spacing w:line="240" w:lineRule="auto"/>
              <w:jc w:val="center"/>
              <w:rPr>
                <w:noProof/>
              </w:rPr>
            </w:pPr>
            <w:r>
              <w:rPr>
                <w:noProof/>
              </w:rPr>
              <w:t>181</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38C19DC5" w14:textId="77777777" w:rsidR="00615E2D" w:rsidRDefault="00C83E46">
            <w:pPr>
              <w:pStyle w:val="P68B1DB1-Normal28"/>
              <w:spacing w:line="240" w:lineRule="auto"/>
              <w:rPr>
                <w:noProof/>
              </w:rPr>
            </w:pPr>
            <w:r>
              <w:rPr>
                <w:noProof/>
              </w:rPr>
              <w:t>Reforma br. 2: Potpora školama u nepovoljnom položaju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6CE6ABA" w14:textId="77777777"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67E14B71" w14:textId="77777777" w:rsidR="00615E2D" w:rsidRDefault="00C83E46">
            <w:pPr>
              <w:pStyle w:val="P68B1DB1-Normal28"/>
              <w:spacing w:line="240" w:lineRule="auto"/>
              <w:rPr>
                <w:noProof/>
              </w:rPr>
            </w:pPr>
            <w:r>
              <w:rPr>
                <w:noProof/>
              </w:rPr>
              <w:t xml:space="preserve">Broj škola u nepovoljnom položaju kojima je dodijeljena potpora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9182137"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DBF1BCA"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799E1EE" w14:textId="77777777" w:rsidR="00615E2D" w:rsidRDefault="00C83E46">
            <w:pPr>
              <w:pStyle w:val="P68B1DB1-Normal28"/>
              <w:spacing w:line="240" w:lineRule="auto"/>
              <w:jc w:val="center"/>
              <w:rPr>
                <w:noProof/>
              </w:rPr>
            </w:pPr>
            <w:r>
              <w:rPr>
                <w:noProof/>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157D6797" w14:textId="77777777" w:rsidR="00615E2D" w:rsidRDefault="00C83E46">
            <w:pPr>
              <w:pStyle w:val="P68B1DB1-Normal28"/>
              <w:spacing w:line="240" w:lineRule="auto"/>
              <w:jc w:val="center"/>
              <w:rPr>
                <w:noProof/>
              </w:rPr>
            </w:pPr>
            <w:r>
              <w:rPr>
                <w:noProof/>
              </w:rPr>
              <w:t>400</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14:paraId="06FBD690" w14:textId="77777777" w:rsidR="00615E2D" w:rsidRDefault="00C83E46">
            <w:pPr>
              <w:pStyle w:val="P68B1DB1-Normal28"/>
              <w:spacing w:line="240" w:lineRule="auto"/>
              <w:jc w:val="center"/>
              <w:rPr>
                <w:rFonts w:eastAsia="Times New Roman"/>
                <w:noProof/>
              </w:rPr>
            </w:pPr>
            <w:r>
              <w:rPr>
                <w:noProof/>
              </w:rPr>
              <w:t>ČETVRTO TROMJESEČJE</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14:paraId="06630977" w14:textId="77777777"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206EC1B8" w14:textId="77777777" w:rsidR="00615E2D" w:rsidRDefault="00C83E46">
            <w:pPr>
              <w:pStyle w:val="P68B1DB1-Normal28"/>
              <w:spacing w:line="240" w:lineRule="auto"/>
              <w:rPr>
                <w:noProof/>
              </w:rPr>
            </w:pPr>
            <w:r>
              <w:rPr>
                <w:noProof/>
              </w:rPr>
              <w:t xml:space="preserve">Programom se pruža potpora najmanje 400 škola s visokim udjelom učenika u nepovoljnom položaju. Potpora je usmjerena na osposobljavanje nastavnika za rad s heterogenim skupinama i učenicima u nepovoljnom položaju. Odabir škola provodi Nacionalni institut za Pedagogy u suradnji s češkom školskom inspekcijom na temelju niza kriterija, kao što su udio učenika u nepovoljnom položaju, udio učenika s različitim materinskim jezicima i obrazovni ishodi škole. </w:t>
            </w:r>
          </w:p>
        </w:tc>
      </w:tr>
      <w:tr w:rsidR="00615E2D" w14:paraId="5EC692FE" w14:textId="77777777">
        <w:trPr>
          <w:trHeight w:val="436"/>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31BB827B" w14:textId="77777777" w:rsidR="00615E2D" w:rsidRDefault="00C83E46">
            <w:pPr>
              <w:pStyle w:val="P68B1DB1-Normal28"/>
              <w:spacing w:line="240" w:lineRule="auto"/>
              <w:jc w:val="center"/>
              <w:rPr>
                <w:noProof/>
              </w:rPr>
            </w:pPr>
            <w:r>
              <w:rPr>
                <w:noProof/>
              </w:rPr>
              <w:t>182</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018987B2" w14:textId="77777777" w:rsidR="00615E2D" w:rsidRDefault="00C83E46">
            <w:pPr>
              <w:pStyle w:val="P68B1DB1-Normal28"/>
              <w:spacing w:line="240" w:lineRule="auto"/>
              <w:rPr>
                <w:noProof/>
              </w:rPr>
            </w:pPr>
            <w:r>
              <w:rPr>
                <w:noProof/>
              </w:rPr>
              <w:t>Reforma br. 2: Potpora školama u nepovoljnom položaju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427776E" w14:textId="77777777" w:rsidR="00615E2D" w:rsidRDefault="00C83E46">
            <w:pPr>
              <w:pStyle w:val="P68B1DB1-Normal28"/>
              <w:spacing w:line="240" w:lineRule="auto"/>
              <w:rPr>
                <w:noProof/>
              </w:rPr>
            </w:pPr>
            <w:r>
              <w:rPr>
                <w:noProof/>
              </w:rPr>
              <w:t>Prekretnica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491D808B" w14:textId="77777777" w:rsidR="00615E2D" w:rsidRDefault="00C83E46">
            <w:pPr>
              <w:pStyle w:val="P68B1DB1-Normal28"/>
              <w:spacing w:line="240" w:lineRule="auto"/>
              <w:rPr>
                <w:noProof/>
              </w:rPr>
            </w:pPr>
            <w:r>
              <w:rPr>
                <w:noProof/>
              </w:rPr>
              <w:t>Prijedlog novog sustava financiranja škola u skladu sa socioekonomskim nepovoljnim položajem</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BD921B7" w14:textId="77777777" w:rsidR="00615E2D" w:rsidRDefault="00C83E46">
            <w:pPr>
              <w:pStyle w:val="P68B1DB1-Normal28"/>
              <w:spacing w:line="240" w:lineRule="auto"/>
              <w:rPr>
                <w:noProof/>
              </w:rPr>
            </w:pPr>
            <w:r>
              <w:rPr>
                <w:noProof/>
              </w:rPr>
              <w:t>Odobrenje Ministarstva obrazovanja, mladih i sporta prijedloga za financiranje indeksom</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3EF10BF"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56229C2" w14:textId="77777777" w:rsidR="00615E2D" w:rsidRDefault="00615E2D">
            <w:pPr>
              <w:spacing w:line="240" w:lineRule="auto"/>
              <w:jc w:val="center"/>
              <w:rPr>
                <w:noProof/>
                <w:color w:val="006100"/>
                <w:sz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41E8BE0F" w14:textId="77777777" w:rsidR="00615E2D" w:rsidRDefault="00615E2D">
            <w:pPr>
              <w:spacing w:line="240" w:lineRule="auto"/>
              <w:jc w:val="center"/>
              <w:rPr>
                <w:noProof/>
                <w:color w:val="006100"/>
                <w:sz w:val="18"/>
              </w:rPr>
            </w:pP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14:paraId="18D02356" w14:textId="77777777" w:rsidR="00615E2D" w:rsidRDefault="00C83E46">
            <w:pPr>
              <w:pStyle w:val="P68B1DB1-Normal28"/>
              <w:spacing w:line="240" w:lineRule="auto"/>
              <w:jc w:val="center"/>
              <w:rPr>
                <w:rFonts w:eastAsia="Times New Roman"/>
                <w:noProof/>
              </w:rPr>
            </w:pPr>
            <w:r>
              <w:rPr>
                <w:noProof/>
              </w:rPr>
              <w:t>ČETVRTO TROMJESEČJE</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14:paraId="03E86493" w14:textId="77777777"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5671613" w14:textId="77777777" w:rsidR="00615E2D" w:rsidRDefault="00C83E46">
            <w:pPr>
              <w:pStyle w:val="P68B1DB1-Normal28"/>
              <w:spacing w:line="240" w:lineRule="auto"/>
              <w:rPr>
                <w:noProof/>
              </w:rPr>
            </w:pPr>
            <w:r>
              <w:rPr>
                <w:noProof/>
              </w:rPr>
              <w:t xml:space="preserve">Prijedlog za indeksno financiranje temelji se na rezultatima programa potpore školama u nepovoljnom položaju u okviru 2. reforme (Potpora školama u nepovoljnom položaju). U indeksu se uzima u obzir nekoliko pokazatelja socioekonomske prednosti škola, kao što su obrazovni ishodi, udio učenika u nepovoljnom društvenom ili drugom nepovoljnom položaju i udio učenika s različitim materinskim jezikom. </w:t>
            </w:r>
          </w:p>
        </w:tc>
      </w:tr>
      <w:tr w:rsidR="00615E2D" w14:paraId="10C51663"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03020E0B" w14:textId="77777777" w:rsidR="00615E2D" w:rsidRDefault="00C83E46">
            <w:pPr>
              <w:pStyle w:val="P68B1DB1-Normal28"/>
              <w:spacing w:line="240" w:lineRule="auto"/>
              <w:jc w:val="center"/>
              <w:rPr>
                <w:noProof/>
              </w:rPr>
            </w:pPr>
            <w:r>
              <w:rPr>
                <w:noProof/>
              </w:rPr>
              <w:t>183</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00E16177" w14:textId="77777777" w:rsidR="00615E2D" w:rsidRDefault="00C83E46">
            <w:pPr>
              <w:pStyle w:val="P68B1DB1-Normal28"/>
              <w:spacing w:line="240" w:lineRule="auto"/>
              <w:rPr>
                <w:noProof/>
              </w:rPr>
            </w:pPr>
            <w:r>
              <w:rPr>
                <w:noProof/>
              </w:rPr>
              <w:t xml:space="preserve">Ulaganje 2: Mentorstvo učenika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164BED0" w14:textId="77777777"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70F92551" w14:textId="2A8B116E" w:rsidR="00615E2D" w:rsidRDefault="00C83E46">
            <w:pPr>
              <w:pStyle w:val="P68B1DB1-Normal28"/>
              <w:spacing w:line="240" w:lineRule="auto"/>
              <w:rPr>
                <w:noProof/>
              </w:rPr>
            </w:pPr>
            <w:r>
              <w:rPr>
                <w:noProof/>
              </w:rPr>
              <w:t xml:space="preserve">Broj pojedinačnih upisa za poduku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11999E0"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E30ED2E"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607F080" w14:textId="77777777" w:rsidR="00615E2D" w:rsidRDefault="00C83E46">
            <w:pPr>
              <w:pStyle w:val="P68B1DB1-Normal28"/>
              <w:spacing w:line="240" w:lineRule="auto"/>
              <w:jc w:val="center"/>
              <w:rPr>
                <w:noProof/>
              </w:rPr>
            </w:pPr>
            <w:r>
              <w:rPr>
                <w:noProof/>
              </w:rPr>
              <w:t>0</w:t>
            </w: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59A242D4" w14:textId="77777777" w:rsidR="00615E2D" w:rsidRDefault="00C83E46">
            <w:pPr>
              <w:pStyle w:val="P68B1DB1-Normal28"/>
              <w:spacing w:line="240" w:lineRule="auto"/>
              <w:jc w:val="center"/>
              <w:rPr>
                <w:noProof/>
              </w:rPr>
            </w:pPr>
            <w:r>
              <w:rPr>
                <w:noProof/>
              </w:rPr>
              <w:t>500 000</w:t>
            </w:r>
          </w:p>
        </w:tc>
        <w:tc>
          <w:tcPr>
            <w:tcW w:w="992" w:type="dxa"/>
            <w:tcBorders>
              <w:top w:val="single" w:sz="8" w:space="0" w:color="auto"/>
              <w:left w:val="single" w:sz="8" w:space="0" w:color="auto"/>
              <w:bottom w:val="single" w:sz="8" w:space="0" w:color="auto"/>
              <w:right w:val="single" w:sz="8" w:space="0" w:color="auto"/>
            </w:tcBorders>
            <w:shd w:val="clear" w:color="auto" w:fill="C6EFCE"/>
            <w:vAlign w:val="center"/>
          </w:tcPr>
          <w:p w14:paraId="40EAA12C" w14:textId="77777777" w:rsidR="00615E2D" w:rsidRDefault="00C83E46">
            <w:pPr>
              <w:pStyle w:val="P68B1DB1-Normal12"/>
              <w:spacing w:line="240" w:lineRule="auto"/>
              <w:jc w:val="center"/>
              <w:rPr>
                <w:rFonts w:eastAsia="Times New Roman"/>
                <w:noProof/>
              </w:rPr>
            </w:pPr>
            <w:r>
              <w:rPr>
                <w:noProof/>
              </w:rPr>
              <w:t xml:space="preserve">  </w:t>
            </w:r>
            <w:r>
              <w:rPr>
                <w:noProof/>
                <w:color w:val="006100"/>
              </w:rPr>
              <w:t>ČETVRTO TROMJESEČJE</w:t>
            </w:r>
          </w:p>
        </w:tc>
        <w:tc>
          <w:tcPr>
            <w:tcW w:w="1064" w:type="dxa"/>
            <w:tcBorders>
              <w:top w:val="single" w:sz="8" w:space="0" w:color="auto"/>
              <w:left w:val="single" w:sz="8" w:space="0" w:color="auto"/>
              <w:bottom w:val="single" w:sz="8" w:space="0" w:color="auto"/>
              <w:right w:val="single" w:sz="8" w:space="0" w:color="auto"/>
            </w:tcBorders>
            <w:shd w:val="clear" w:color="auto" w:fill="C6EFCE"/>
            <w:vAlign w:val="center"/>
          </w:tcPr>
          <w:p w14:paraId="0435ECE1" w14:textId="77777777" w:rsidR="00615E2D" w:rsidRDefault="00C83E46">
            <w:pPr>
              <w:pStyle w:val="P68B1DB1-Normal28"/>
              <w:spacing w:line="240" w:lineRule="auto"/>
              <w:jc w:val="center"/>
              <w:rPr>
                <w:noProof/>
              </w:rPr>
            </w:pPr>
            <w:r>
              <w:rPr>
                <w:noProof/>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2530C774" w14:textId="58E752D5" w:rsidR="00615E2D" w:rsidRDefault="00C83E46">
            <w:pPr>
              <w:pStyle w:val="P68B1DB1-Normal28"/>
              <w:spacing w:line="240" w:lineRule="auto"/>
              <w:rPr>
                <w:noProof/>
              </w:rPr>
            </w:pPr>
            <w:r>
              <w:rPr>
                <w:noProof/>
              </w:rPr>
              <w:t>Poduke se pružaju putem najmanje 500000 pojedinačnih upisa u poduku učenika kako bi se učenicima kojima prijeti rizik od neuspjeha u školi pomoglo da vrate navike učenja i steknu znanje propisano kurikulumom na matematici, češkom jeziku i stranom jeziku.</w:t>
            </w:r>
          </w:p>
          <w:p w14:paraId="23CD29B0" w14:textId="2EC8D6D0" w:rsidR="00615E2D" w:rsidRDefault="00C83E46">
            <w:pPr>
              <w:pStyle w:val="P68B1DB1-Normal28"/>
              <w:spacing w:line="240" w:lineRule="auto"/>
              <w:rPr>
                <w:noProof/>
              </w:rPr>
            </w:pPr>
            <w:r>
              <w:rPr>
                <w:noProof/>
              </w:rPr>
              <w:t>Objavljuje se evaluacija učinaka ove mjere.</w:t>
            </w:r>
          </w:p>
        </w:tc>
      </w:tr>
    </w:tbl>
    <w:p w14:paraId="028B8AAC" w14:textId="77777777" w:rsidR="00615E2D" w:rsidRDefault="00615E2D">
      <w:pPr>
        <w:pBdr>
          <w:top w:val="nil"/>
          <w:left w:val="nil"/>
          <w:bottom w:val="nil"/>
          <w:right w:val="nil"/>
          <w:between w:val="nil"/>
        </w:pBdr>
        <w:spacing w:line="240" w:lineRule="auto"/>
        <w:jc w:val="both"/>
        <w:rPr>
          <w:rFonts w:eastAsia="Times New Roman"/>
          <w:noProof/>
          <w:color w:val="000000"/>
        </w:rPr>
        <w:sectPr w:rsidR="00615E2D" w:rsidSect="003A6FF0">
          <w:headerReference w:type="even" r:id="rId300"/>
          <w:headerReference w:type="default" r:id="rId301"/>
          <w:footerReference w:type="even" r:id="rId302"/>
          <w:footerReference w:type="default" r:id="rId303"/>
          <w:headerReference w:type="first" r:id="rId304"/>
          <w:footerReference w:type="first" r:id="rId305"/>
          <w:pgSz w:w="16839" w:h="11907" w:orient="landscape"/>
          <w:pgMar w:top="1134" w:right="1134" w:bottom="1134" w:left="1134" w:header="567" w:footer="567" w:gutter="0"/>
          <w:cols w:space="708"/>
          <w:docGrid w:linePitch="326"/>
        </w:sectPr>
      </w:pPr>
    </w:p>
    <w:p w14:paraId="22FD4E5E" w14:textId="29329C28" w:rsidR="00615E2D" w:rsidRDefault="00C83E46">
      <w:pPr>
        <w:pStyle w:val="P68B1DB1-Normal2"/>
        <w:keepNext/>
        <w:tabs>
          <w:tab w:val="left" w:pos="850"/>
        </w:tabs>
        <w:spacing w:line="240" w:lineRule="auto"/>
        <w:jc w:val="both"/>
        <w:outlineLvl w:val="0"/>
        <w:rPr>
          <w:noProof/>
        </w:rPr>
      </w:pPr>
      <w:r>
        <w:rPr>
          <w:noProof/>
        </w:rPr>
        <w:t xml:space="preserve">T. SASTAVNI DIO 3.3.: Modernizacija službi za zapošljavanje i razvoj tržišta rada </w:t>
      </w:r>
    </w:p>
    <w:p w14:paraId="6AB436DA" w14:textId="77777777" w:rsidR="00615E2D" w:rsidRDefault="00C83E46">
      <w:pPr>
        <w:pStyle w:val="P68B1DB1-Normal3"/>
        <w:spacing w:line="240" w:lineRule="auto"/>
        <w:jc w:val="both"/>
        <w:rPr>
          <w:noProof/>
        </w:rPr>
      </w:pPr>
      <w:r>
        <w:rPr>
          <w:noProof/>
        </w:rPr>
        <w:t>Ta komponenta češkog plana za oporavak i otpornost pridonosi svladavanju nekoliko izazova u području tržišta rada i socijalne skrbi. Prvo, cilj mu je povećati prilagodljivost radne snage razvojem njezinih vještina, posebno u digitalnom području. Drugo, njime se nastoje riješiti trajne rodne nejednakosti na tržištu rada, posebno niska razina sudjelovanja žena s malom djecom na tržištu rada. Treće, cilj je komponente modernizirati i proširiti socijalne usluge u skladu s načelima deinstitucionalizacije i neovisnog života, kako je opisano u Konvenciji UN-a o pravima osoba s invaliditetom.</w:t>
      </w:r>
    </w:p>
    <w:p w14:paraId="1EA926B5" w14:textId="77777777" w:rsidR="00615E2D" w:rsidRDefault="00C83E46">
      <w:pPr>
        <w:pStyle w:val="P68B1DB1-Normal3"/>
        <w:spacing w:line="240" w:lineRule="auto"/>
        <w:jc w:val="both"/>
        <w:rPr>
          <w:noProof/>
        </w:rPr>
      </w:pPr>
      <w:r>
        <w:rPr>
          <w:noProof/>
        </w:rPr>
        <w:t>Komponentom se podupire odgovor na 2. preporuku za pojedinu zemlju, prema kojoj Češka potiče zapošljavanje žena s malom djecom, među ostalim poboljšanjem pristupa cjenovno pristupačnoj skrbi za djecu, i skupina u nepovoljnom položaju, te preporuka za pojedinu zemlju br. 2 2020., u skladu s kojom Češka podupire zapošljavanje aktivnim politikama tržišta rada, pružanjem vještina, uključujući digitalne vještine, i pristupom digitalnom učenju.</w:t>
      </w:r>
    </w:p>
    <w:p w14:paraId="5A3EBB9A" w14:textId="77777777" w:rsidR="00615E2D" w:rsidRDefault="00C83E46">
      <w:pPr>
        <w:pStyle w:val="P68B1DB1-Normal3"/>
        <w:spacing w:line="240" w:lineRule="auto"/>
        <w:jc w:val="both"/>
        <w:rPr>
          <w:noProof/>
        </w:rPr>
      </w:pPr>
      <w:r>
        <w:rPr>
          <w:noProof/>
        </w:rPr>
        <w:t>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w:t>
      </w:r>
    </w:p>
    <w:p w14:paraId="33AFF895" w14:textId="77777777" w:rsidR="00615E2D" w:rsidRDefault="00615E2D">
      <w:pPr>
        <w:spacing w:line="240" w:lineRule="auto"/>
        <w:jc w:val="both"/>
        <w:rPr>
          <w:rFonts w:eastAsia="Times New Roman"/>
          <w:i/>
          <w:noProof/>
        </w:rPr>
      </w:pPr>
    </w:p>
    <w:p w14:paraId="00E04CB7" w14:textId="0C0B7B91" w:rsidR="00615E2D" w:rsidRDefault="00C83E46">
      <w:pPr>
        <w:pStyle w:val="P68B1DB1-Normal32"/>
        <w:spacing w:line="240" w:lineRule="auto"/>
        <w:jc w:val="both"/>
        <w:rPr>
          <w:noProof/>
        </w:rPr>
      </w:pPr>
      <w:r>
        <w:rPr>
          <w:noProof/>
        </w:rPr>
        <w:t>T.1. Opis reformi i ulaganja za programe bespovratne financijske potpore</w:t>
      </w:r>
    </w:p>
    <w:p w14:paraId="37EBC121" w14:textId="77777777" w:rsidR="00615E2D" w:rsidRDefault="00C83E46">
      <w:pPr>
        <w:pStyle w:val="P68B1DB1-Normal26"/>
        <w:spacing w:line="240" w:lineRule="auto"/>
        <w:jc w:val="both"/>
        <w:rPr>
          <w:noProof/>
        </w:rPr>
      </w:pPr>
      <w:r>
        <w:rPr>
          <w:noProof/>
        </w:rPr>
        <w:t xml:space="preserve">Reforma 1.: Razvoj politika tržišta rada </w:t>
      </w:r>
    </w:p>
    <w:p w14:paraId="6A5CCEC0" w14:textId="77777777" w:rsidR="00615E2D" w:rsidRDefault="00C83E46">
      <w:pPr>
        <w:pStyle w:val="P68B1DB1-Normal3"/>
        <w:spacing w:line="240" w:lineRule="auto"/>
        <w:jc w:val="both"/>
        <w:rPr>
          <w:noProof/>
        </w:rPr>
      </w:pPr>
      <w:r>
        <w:rPr>
          <w:noProof/>
        </w:rPr>
        <w:t xml:space="preserve">Cilj je te reforme promicati cjeloživotno učenje u Češkoj. Reforma se sastoji od niza sustavnih mjera: </w:t>
      </w:r>
    </w:p>
    <w:p w14:paraId="05749729" w14:textId="77777777" w:rsidR="00615E2D" w:rsidRDefault="00C83E46">
      <w:pPr>
        <w:pStyle w:val="P68B1DB1-Normal4"/>
        <w:numPr>
          <w:ilvl w:val="0"/>
          <w:numId w:val="169"/>
        </w:numPr>
        <w:pBdr>
          <w:top w:val="nil"/>
          <w:left w:val="nil"/>
          <w:bottom w:val="nil"/>
          <w:right w:val="nil"/>
          <w:between w:val="nil"/>
        </w:pBdr>
        <w:spacing w:line="259" w:lineRule="auto"/>
        <w:ind w:left="360"/>
        <w:jc w:val="both"/>
        <w:rPr>
          <w:noProof/>
        </w:rPr>
      </w:pPr>
      <w:r>
        <w:rPr>
          <w:noProof/>
        </w:rPr>
        <w:t xml:space="preserve">do 31. ožujka 2022. uspostaviti tripartitni mehanizam koji uključuje Ministarstvo rada, Ministarstvo obrazovanja, poslodavce i sindikalne predstavnike radi koordinacije razvoja programa cjeloživotnog učenja u skladu sa stvarnom i očekivanom potražnjom za vještinama; </w:t>
      </w:r>
    </w:p>
    <w:p w14:paraId="64D7B996" w14:textId="77777777" w:rsidR="00615E2D" w:rsidRDefault="00C83E46">
      <w:pPr>
        <w:pStyle w:val="P68B1DB1-Normal4"/>
        <w:numPr>
          <w:ilvl w:val="0"/>
          <w:numId w:val="169"/>
        </w:numPr>
        <w:pBdr>
          <w:top w:val="nil"/>
          <w:left w:val="nil"/>
          <w:bottom w:val="nil"/>
          <w:right w:val="nil"/>
          <w:between w:val="nil"/>
        </w:pBdr>
        <w:spacing w:line="259" w:lineRule="auto"/>
        <w:ind w:left="360"/>
        <w:jc w:val="both"/>
        <w:rPr>
          <w:noProof/>
        </w:rPr>
      </w:pPr>
      <w:r>
        <w:rPr>
          <w:noProof/>
        </w:rPr>
        <w:t xml:space="preserve">stvaranje baze podataka o tečajevima prekvalifikacije i usavršavanja do 31. prosinca 2023. kojom će se povećati ponuda tečajeva za prekvalifikaciju i poboljšati usklađivanje ponude i potražnje; baza podataka obuhvaća programe prekvalifikacije certificirane u skladu sa Zakonom o zapošljavanju, ali i tečajeve koje nude strukovne škole i visoka učilišta; </w:t>
      </w:r>
    </w:p>
    <w:p w14:paraId="42F7AA73" w14:textId="77777777" w:rsidR="00615E2D" w:rsidRDefault="00C83E46">
      <w:pPr>
        <w:pStyle w:val="P68B1DB1-Normal4"/>
        <w:numPr>
          <w:ilvl w:val="0"/>
          <w:numId w:val="169"/>
        </w:numPr>
        <w:pBdr>
          <w:top w:val="nil"/>
          <w:left w:val="nil"/>
          <w:bottom w:val="nil"/>
          <w:right w:val="nil"/>
          <w:between w:val="nil"/>
        </w:pBdr>
        <w:spacing w:line="259" w:lineRule="auto"/>
        <w:ind w:left="360"/>
        <w:jc w:val="both"/>
        <w:rPr>
          <w:noProof/>
        </w:rPr>
      </w:pPr>
      <w:r>
        <w:rPr>
          <w:noProof/>
        </w:rPr>
        <w:t>proširenje ciljnih skupina koje mogu sudjelovati u prekvalifikaciji koje organizira Ured rada na zaposlene osobe kojima prijeti rizik od ponovnog zapošljavanja i zaposlene osobe koje traže usavršavanje; očekuje se da će se time povećati potražnja za daljnjim obrazovanjem i njegova primjena;</w:t>
      </w:r>
    </w:p>
    <w:p w14:paraId="3252DA64" w14:textId="77777777" w:rsidR="00615E2D" w:rsidRDefault="00C83E46">
      <w:pPr>
        <w:pStyle w:val="P68B1DB1-Normal4"/>
        <w:numPr>
          <w:ilvl w:val="0"/>
          <w:numId w:val="169"/>
        </w:numPr>
        <w:pBdr>
          <w:top w:val="nil"/>
          <w:left w:val="nil"/>
          <w:bottom w:val="nil"/>
          <w:right w:val="nil"/>
          <w:between w:val="nil"/>
        </w:pBdr>
        <w:spacing w:line="259" w:lineRule="auto"/>
        <w:ind w:left="360"/>
        <w:jc w:val="both"/>
        <w:rPr>
          <w:noProof/>
        </w:rPr>
      </w:pPr>
      <w:r>
        <w:rPr>
          <w:noProof/>
        </w:rPr>
        <w:t xml:space="preserve">osnivanje, do 31. prosinca 2025., najmanje 14 regionalnih centara za osposobljavanje (pod odgovornošću Ureda za rad) koji su dovoljno opremljeni za pružanje cjeloživotnog učenja u području digitalnih tehnologija i industrije 4.0; time će se omogućiti pojačana suradnja s regionalnim strukovnim školama i fleksibilnije pružanje tečajeva prekvalifikacije u skladu sa stvarnim potrebama regionalnog tržišta rada (bez potrebe za natječajima za programe prekvalifikacije); </w:t>
      </w:r>
    </w:p>
    <w:p w14:paraId="2F90F549" w14:textId="77777777" w:rsidR="00615E2D" w:rsidRDefault="00C83E46">
      <w:pPr>
        <w:pStyle w:val="P68B1DB1-Normal4"/>
        <w:numPr>
          <w:ilvl w:val="0"/>
          <w:numId w:val="169"/>
        </w:numPr>
        <w:pBdr>
          <w:top w:val="nil"/>
          <w:left w:val="nil"/>
          <w:bottom w:val="nil"/>
          <w:right w:val="nil"/>
          <w:between w:val="nil"/>
        </w:pBdr>
        <w:spacing w:line="259" w:lineRule="auto"/>
        <w:ind w:left="360"/>
        <w:jc w:val="both"/>
        <w:rPr>
          <w:noProof/>
        </w:rPr>
      </w:pPr>
      <w:r>
        <w:rPr>
          <w:noProof/>
        </w:rPr>
        <w:t xml:space="preserve">zakonodavna izmjena do 31. prosinca 2025. kako bi se povećala fleksibilnost i učinkovitost tečajeva za prekvalifikaciju koje organizira Ured rada te kako bi se potpora bolje usmjerila na najranjivije skupine. </w:t>
      </w:r>
    </w:p>
    <w:p w14:paraId="671ECBE2" w14:textId="77777777" w:rsidR="00615E2D" w:rsidRDefault="00C83E46">
      <w:pPr>
        <w:pStyle w:val="P68B1DB1-Normal3"/>
        <w:spacing w:line="240" w:lineRule="auto"/>
        <w:jc w:val="both"/>
        <w:rPr>
          <w:noProof/>
        </w:rPr>
      </w:pPr>
      <w:r>
        <w:rPr>
          <w:noProof/>
        </w:rPr>
        <w:t xml:space="preserve">Reformske mjere moraju biti dovršene do 31. prosinca 2025. </w:t>
      </w:r>
    </w:p>
    <w:p w14:paraId="23807931" w14:textId="77777777" w:rsidR="00615E2D" w:rsidRDefault="00C83E46">
      <w:pPr>
        <w:pStyle w:val="P68B1DB1-Normal26"/>
        <w:spacing w:line="240" w:lineRule="auto"/>
        <w:jc w:val="both"/>
        <w:rPr>
          <w:noProof/>
        </w:rPr>
      </w:pPr>
      <w:r>
        <w:rPr>
          <w:noProof/>
        </w:rPr>
        <w:t>Reforma br. 2: Osiguravanje održivog financiranja ustanova za skrb o djeci</w:t>
      </w:r>
    </w:p>
    <w:p w14:paraId="12B60959" w14:textId="77777777" w:rsidR="00615E2D" w:rsidRDefault="00C83E46">
      <w:pPr>
        <w:pStyle w:val="P68B1DB1-Normal3"/>
        <w:spacing w:line="240" w:lineRule="auto"/>
        <w:jc w:val="both"/>
        <w:rPr>
          <w:noProof/>
        </w:rPr>
      </w:pPr>
      <w:r>
        <w:rPr>
          <w:noProof/>
        </w:rPr>
        <w:t>Cilj je ove mjere poticati dostupnost cjenovno pristupačne skrbi za djecu mlađu od tri godine kako bi se roditeljima, posebno majkama, olakšao povratak na posao nakon roditeljskog dopusta. Reforma se sastoji od izmjene zakona o predškolskoj skrbi kojom se osigurava stabilno financiranje ustanova za djecu mlađu od tri godine. Cilj je zakonodavne izmjene i osigurati pristup cjenovno pristupačnoj skrbi za djecu mlađu od tri godine u svim regijama Češke.</w:t>
      </w:r>
    </w:p>
    <w:p w14:paraId="6C9145D0" w14:textId="77777777" w:rsidR="00615E2D" w:rsidRDefault="00C83E46">
      <w:pPr>
        <w:pStyle w:val="P68B1DB1-Normal3"/>
        <w:spacing w:line="240" w:lineRule="auto"/>
        <w:jc w:val="both"/>
        <w:rPr>
          <w:noProof/>
        </w:rPr>
      </w:pPr>
      <w:r>
        <w:rPr>
          <w:noProof/>
        </w:rPr>
        <w:t>Reforma će biti dovršena do 31. prosinca 2023.</w:t>
      </w:r>
    </w:p>
    <w:p w14:paraId="1C303C65" w14:textId="77777777" w:rsidR="00615E2D" w:rsidRDefault="00C83E46">
      <w:pPr>
        <w:pStyle w:val="P68B1DB1-Normal26"/>
        <w:spacing w:line="240" w:lineRule="auto"/>
        <w:jc w:val="both"/>
        <w:rPr>
          <w:noProof/>
        </w:rPr>
      </w:pPr>
      <w:r>
        <w:rPr>
          <w:noProof/>
        </w:rPr>
        <w:t>Reforma 3.: Reforma dugotrajne skrbi</w:t>
      </w:r>
    </w:p>
    <w:p w14:paraId="01899DAD" w14:textId="77777777" w:rsidR="00615E2D" w:rsidRDefault="00C83E46">
      <w:pPr>
        <w:pStyle w:val="P68B1DB1-Normal3"/>
        <w:spacing w:line="240" w:lineRule="auto"/>
        <w:jc w:val="both"/>
        <w:rPr>
          <w:noProof/>
        </w:rPr>
      </w:pPr>
      <w:r>
        <w:rPr>
          <w:noProof/>
        </w:rPr>
        <w:t xml:space="preserve">Reformom se nastoji riješiti problem fragmentiranog upravljanja i financiranja dugotrajne skrbi te niskog udjela usluga u zajednici i usluga koje se pružaju u kućanstvu u Češkoj. Mjera se sastoji od zakonodavne reforme čiji je cilj integracija zdravstvene i socijalne dugotrajne skrbi, osiguravanje stabilnog sustava odgovarajućeg financiranja kvalitetnih dugoročnih usluga, pružanje poticaja za skrb u zajednici i kućnu njegu, omogućavanje pristupa privatnim pružateljima usluga i poboljšanje nadzora socijalne skrbi. Očekuje se da će se do 31. prosinca 2022. uspostaviti sustav za mapiranje socijalnih i dugoročnih potreba te se očekuje donošenje akcijskog plana za deinstitucionalizaciju. </w:t>
      </w:r>
    </w:p>
    <w:p w14:paraId="1772A50E" w14:textId="77777777" w:rsidR="00615E2D" w:rsidRDefault="00C83E46">
      <w:pPr>
        <w:pStyle w:val="P68B1DB1-Normal3"/>
        <w:spacing w:line="240" w:lineRule="auto"/>
        <w:jc w:val="both"/>
        <w:rPr>
          <w:noProof/>
        </w:rPr>
      </w:pPr>
      <w:r>
        <w:rPr>
          <w:noProof/>
        </w:rPr>
        <w:t>Reforma će biti dovršena do 31. prosinca 2023.</w:t>
      </w:r>
    </w:p>
    <w:p w14:paraId="6BF8AE9E" w14:textId="2FE4EA69" w:rsidR="00615E2D" w:rsidRDefault="00C83E46">
      <w:pPr>
        <w:pStyle w:val="P68B1DB1-Normal26"/>
        <w:spacing w:line="240" w:lineRule="auto"/>
        <w:jc w:val="both"/>
        <w:rPr>
          <w:noProof/>
        </w:rPr>
      </w:pPr>
      <w:r>
        <w:rPr>
          <w:noProof/>
        </w:rPr>
        <w:t xml:space="preserve">Reforma 4.: Reforma skrbi o ugroženoj djeci </w:t>
      </w:r>
    </w:p>
    <w:p w14:paraId="0B0C72AE" w14:textId="11FF2055" w:rsidR="00615E2D" w:rsidRDefault="00C83E46">
      <w:pPr>
        <w:pStyle w:val="P68B1DB1-Normal3"/>
        <w:spacing w:line="240" w:lineRule="auto"/>
        <w:jc w:val="both"/>
        <w:rPr>
          <w:noProof/>
        </w:rPr>
      </w:pPr>
      <w:r>
        <w:rPr>
          <w:noProof/>
        </w:rPr>
        <w:t>Cilj je reforme poboljšati usluge socijalne skrbi za ugroženu djecu, odnosno djecu čije osnovne potrebe nije moguće zadovoljiti vlastitim sredstvima obitelji, stupanjem na snagu Izmjene Zakona o socijalnoj i pravnoj zaštiti djece i ograničavanjem smještaja djece mlađe od četiri godine u institucionalnu skrb.</w:t>
      </w:r>
    </w:p>
    <w:p w14:paraId="0BC96AF2" w14:textId="04D52CB9" w:rsidR="00615E2D" w:rsidRDefault="00C83E46">
      <w:pPr>
        <w:pStyle w:val="P68B1DB1-Normal3"/>
        <w:spacing w:line="240" w:lineRule="auto"/>
        <w:jc w:val="both"/>
        <w:rPr>
          <w:noProof/>
        </w:rPr>
      </w:pPr>
      <w:r>
        <w:rPr>
          <w:noProof/>
        </w:rPr>
        <w:t>Reforma mora biti dovršena do 31. prosinca 2024.</w:t>
      </w:r>
    </w:p>
    <w:p w14:paraId="2432CE33" w14:textId="25523664" w:rsidR="00615E2D" w:rsidRDefault="00C83E46">
      <w:pPr>
        <w:pStyle w:val="P68B1DB1-Normal26"/>
        <w:spacing w:line="240" w:lineRule="auto"/>
        <w:jc w:val="both"/>
        <w:rPr>
          <w:noProof/>
        </w:rPr>
      </w:pPr>
      <w:r>
        <w:rPr>
          <w:noProof/>
        </w:rPr>
        <w:t xml:space="preserve">Ulaganje 1: Razvoj politika tržišta rada </w:t>
      </w:r>
    </w:p>
    <w:p w14:paraId="4C1D3DC6" w14:textId="77777777" w:rsidR="00615E2D" w:rsidRDefault="00C83E46">
      <w:pPr>
        <w:pStyle w:val="P68B1DB1-Normal3"/>
        <w:spacing w:line="240" w:lineRule="auto"/>
        <w:jc w:val="both"/>
        <w:rPr>
          <w:noProof/>
        </w:rPr>
      </w:pPr>
      <w:r>
        <w:rPr>
          <w:noProof/>
        </w:rPr>
        <w:t xml:space="preserve">Cilj je mjere povećati prilagodljivost radne snage promjenjivim potrebama tržišta rada. Mjera obuhvaća uglavnom projekte prekvalifikacije i usavršavanja, s naglaskom na osobe sa smanjenom sposobnošću prilagodbe promjenjivim uvjetima na tržištu rada. </w:t>
      </w:r>
    </w:p>
    <w:p w14:paraId="18D7C2D1" w14:textId="7DF39032" w:rsidR="00615E2D" w:rsidRDefault="00C83E46">
      <w:pPr>
        <w:pStyle w:val="P68B1DB1-Normal3"/>
        <w:spacing w:line="240" w:lineRule="auto"/>
        <w:jc w:val="both"/>
        <w:rPr>
          <w:noProof/>
        </w:rPr>
      </w:pPr>
      <w:r>
        <w:rPr>
          <w:noProof/>
        </w:rPr>
        <w:t>Pružanjem vještina osigurava se, s jedne strane, ponuda kvalificirane radne snage, što je preduvjet za konkurentnost, i, s druge strane, sprečava nezaposlenost i potiče socijalna kohezija. Usavršavanje ili prekvalifikacija osigurava se do 31. prosinca 2025. za 130,000 osoba s digitalnim vještinama ili drugim vještinama potrebnima u okviru digitalne tranzicije i industrije 4.0. Od tog broja očekuje se da će 65,000 osoba primiti potporu u okviru češkog ureda rada, a dodatnih 65,000 osoba dobiva potporu putem stručnog osposobljavanja koje izravno pružaju poslodavci (povlaštenje se daje MSP-ovima i samozaposlenim osobama) ili strukovna, poslovna ili općinska udruženja.</w:t>
      </w:r>
    </w:p>
    <w:p w14:paraId="28597AAF" w14:textId="77777777" w:rsidR="00615E2D" w:rsidRDefault="00C83E46">
      <w:pPr>
        <w:pStyle w:val="P68B1DB1-Normal3"/>
        <w:spacing w:line="240" w:lineRule="auto"/>
        <w:jc w:val="both"/>
        <w:rPr>
          <w:noProof/>
          <w:sz w:val="22"/>
        </w:rPr>
      </w:pPr>
      <w:r>
        <w:rPr>
          <w:noProof/>
        </w:rPr>
        <w:t>Ulaganje mora biti dovršeno do 31. prosinca 2025.</w:t>
      </w:r>
    </w:p>
    <w:p w14:paraId="0BC44C3E" w14:textId="77777777" w:rsidR="00615E2D" w:rsidRDefault="00C83E46">
      <w:pPr>
        <w:pStyle w:val="P68B1DB1-Normal26"/>
        <w:keepNext/>
        <w:spacing w:line="240" w:lineRule="auto"/>
        <w:jc w:val="both"/>
        <w:rPr>
          <w:noProof/>
        </w:rPr>
      </w:pPr>
      <w:r>
        <w:rPr>
          <w:noProof/>
        </w:rPr>
        <w:t>Ulaganje 2: Povećanje kapaciteta ustanova za skrb o djeci</w:t>
      </w:r>
    </w:p>
    <w:p w14:paraId="04AD90A3" w14:textId="77777777" w:rsidR="00615E2D" w:rsidRDefault="00C83E46">
      <w:pPr>
        <w:pStyle w:val="P68B1DB1-Normal3"/>
        <w:spacing w:line="240" w:lineRule="auto"/>
        <w:jc w:val="both"/>
        <w:rPr>
          <w:noProof/>
        </w:rPr>
      </w:pPr>
      <w:r>
        <w:rPr>
          <w:noProof/>
        </w:rPr>
        <w:t xml:space="preserve">Cilj je ulaganja povećati dostupnost usluga skrbi za djecu mlađu od tri godine. Time će se pomoći u rješavanju problema niske razine sudjelovanja žena s malom djecom na tržištu rada i smanjiti trajne rodne nejednakosti na tržištu rada, što dovodi do velike rodno uvjetovane razlike u zaposlenosti, plaćama i mirovinama. Cilj je ulaganja i povećati pristup skrbi za djecu za obitelji s nižim prihodima koje si ne mogu priuštiti postojeće usluge skrbi o djeci, čime se dodatno povećava rizik od socijalne isključenosti i slabih obrazovnih ishoda njihove djece. Očekuje se da će se ulaganjem povećati broj dječjih skupina i jaslica za 40 %. Ulaganje uključuje: </w:t>
      </w:r>
    </w:p>
    <w:p w14:paraId="119273D7" w14:textId="77777777" w:rsidR="00615E2D" w:rsidRDefault="00C83E46">
      <w:pPr>
        <w:pStyle w:val="P68B1DB1-Normal4"/>
        <w:numPr>
          <w:ilvl w:val="0"/>
          <w:numId w:val="169"/>
        </w:numPr>
        <w:pBdr>
          <w:top w:val="nil"/>
          <w:left w:val="nil"/>
          <w:bottom w:val="nil"/>
          <w:right w:val="nil"/>
          <w:between w:val="nil"/>
        </w:pBdr>
        <w:spacing w:line="259" w:lineRule="auto"/>
        <w:ind w:left="360"/>
        <w:jc w:val="both"/>
        <w:rPr>
          <w:noProof/>
        </w:rPr>
      </w:pPr>
      <w:r>
        <w:rPr>
          <w:noProof/>
        </w:rPr>
        <w:t xml:space="preserve">ulaganje u nove rasadnike. Od općeg cilja uspostave 435 novih rasadnika, uspostavlja se najmanje 391; </w:t>
      </w:r>
    </w:p>
    <w:p w14:paraId="3A72C28B" w14:textId="77777777" w:rsidR="00615E2D" w:rsidRDefault="00C83E46">
      <w:pPr>
        <w:pStyle w:val="P68B1DB1-Normal4"/>
        <w:numPr>
          <w:ilvl w:val="0"/>
          <w:numId w:val="169"/>
        </w:numPr>
        <w:pBdr>
          <w:top w:val="nil"/>
          <w:left w:val="nil"/>
          <w:bottom w:val="nil"/>
          <w:right w:val="nil"/>
          <w:between w:val="nil"/>
        </w:pBdr>
        <w:spacing w:line="259" w:lineRule="auto"/>
        <w:ind w:left="360"/>
        <w:jc w:val="both"/>
        <w:rPr>
          <w:noProof/>
        </w:rPr>
      </w:pPr>
      <w:r>
        <w:rPr>
          <w:noProof/>
        </w:rPr>
        <w:t>obnova postojećih objekata radi usklađivanja s novim tehničkim standardima (higijena i zaštita od požara) utvrđenima izmjenom Zakona o dječjoj skupini ili za proširenje kapaciteta. Od općeg cilja obnove 370 postrojenja najmanje 333 preuređeno je.</w:t>
      </w:r>
    </w:p>
    <w:p w14:paraId="16C53EF1" w14:textId="0ECB228D" w:rsidR="00615E2D" w:rsidRDefault="00C83E46">
      <w:pPr>
        <w:pStyle w:val="P68B1DB1-Normal3"/>
        <w:numPr>
          <w:ilvl w:val="0"/>
          <w:numId w:val="169"/>
        </w:numPr>
        <w:pBdr>
          <w:top w:val="nil"/>
          <w:left w:val="nil"/>
          <w:bottom w:val="nil"/>
          <w:right w:val="nil"/>
          <w:between w:val="nil"/>
        </w:pBdr>
        <w:spacing w:line="259" w:lineRule="auto"/>
        <w:ind w:left="360"/>
        <w:jc w:val="both"/>
        <w:rPr>
          <w:noProof/>
          <w:color w:val="000000"/>
        </w:rPr>
      </w:pPr>
      <w:r>
        <w:rPr>
          <w:noProof/>
        </w:rPr>
        <w:t xml:space="preserve">Ulaganja u nove kapacitete doprinose klimatskim ciljevima povećanjem energetske učinkovitosti kako je opisano u cilju 190. </w:t>
      </w:r>
    </w:p>
    <w:p w14:paraId="4E4632F5" w14:textId="70E00AEB" w:rsidR="00615E2D" w:rsidRDefault="00C83E46">
      <w:pPr>
        <w:pStyle w:val="P68B1DB1-Normal3"/>
        <w:spacing w:line="240" w:lineRule="auto"/>
        <w:jc w:val="both"/>
        <w:rPr>
          <w:noProof/>
        </w:rPr>
      </w:pPr>
      <w:r>
        <w:rPr>
          <w:noProof/>
        </w:rPr>
        <w:t>Ulaganje mora biti dovršeno do 31. kolovoza 2026.</w:t>
      </w:r>
    </w:p>
    <w:p w14:paraId="7DCC7532" w14:textId="77777777" w:rsidR="00615E2D" w:rsidRDefault="00C83E46">
      <w:pPr>
        <w:pStyle w:val="P68B1DB1-Normal26"/>
        <w:spacing w:line="240" w:lineRule="auto"/>
        <w:jc w:val="both"/>
        <w:rPr>
          <w:noProof/>
        </w:rPr>
      </w:pPr>
      <w:r>
        <w:rPr>
          <w:noProof/>
        </w:rPr>
        <w:t>Ulaganje 3: Razvoj i modernizacija infrastrukture socijalne skrbi</w:t>
      </w:r>
    </w:p>
    <w:p w14:paraId="27B8EB66" w14:textId="77777777" w:rsidR="00615E2D" w:rsidRDefault="00C83E46">
      <w:pPr>
        <w:pStyle w:val="P68B1DB1-Normal3"/>
        <w:spacing w:line="240" w:lineRule="auto"/>
        <w:jc w:val="both"/>
        <w:rPr>
          <w:noProof/>
        </w:rPr>
      </w:pPr>
      <w:r>
        <w:rPr>
          <w:noProof/>
        </w:rPr>
        <w:t xml:space="preserve">Cilj je te mjere riješiti problem nedostatka infrastrukture za socijalnu skrb i potrebe za podupiranjem prijelaza na socijalnu i dugotrajnu skrb u zajednici u Češkoj. </w:t>
      </w:r>
    </w:p>
    <w:p w14:paraId="2133B810" w14:textId="6F03F132" w:rsidR="00615E2D" w:rsidRDefault="00C83E46">
      <w:pPr>
        <w:pStyle w:val="P68B1DB1-Normal3"/>
        <w:spacing w:line="240" w:lineRule="auto"/>
        <w:jc w:val="both"/>
        <w:rPr>
          <w:noProof/>
        </w:rPr>
      </w:pPr>
      <w:r>
        <w:rPr>
          <w:noProof/>
        </w:rPr>
        <w:t>Ulaganjima se podupire uspostava dodatne infrastrukture za socijalnu skrb rekonstrukcijom postojeće zgrade ili novim građevinama te razvojem infrastrukture socijalnih usluga za prevenciju i savjetovanje. Ti projekti ulaganja provode se na temelju procjene teritorijalnih potreba; osigurati da nova i obnovljena stambena mjesta osiguraju napredak prema Konvenciji UN-a o pravima osoba s invaliditetom. Prednost se daje ulaganju u kućnu njegu i skrb u zajednici, a načelo slobode izbora i neovisnog života poštuje se za sve investicijske projekte. Nadalje, kako bi se osigurao napredak prema Konvenciji, izmijenit će se Zakon o socijalnim uslugama, posebno u područjima povezanima s inspekcijama socijalnih usluga i mehanizmom za podnošenje pritužbi za korisnike socijalnih usluga.</w:t>
      </w:r>
    </w:p>
    <w:p w14:paraId="2B7687A0" w14:textId="590EF13D" w:rsidR="00615E2D" w:rsidRDefault="00C83E46">
      <w:pPr>
        <w:pStyle w:val="P68B1DB1-Normal3"/>
        <w:spacing w:line="240" w:lineRule="auto"/>
        <w:jc w:val="both"/>
        <w:rPr>
          <w:rFonts w:ascii="Calibri" w:hAnsi="Calibri" w:cs="Calibri"/>
          <w:b/>
          <w:noProof/>
          <w:color w:val="000000"/>
          <w:sz w:val="22"/>
        </w:rPr>
      </w:pPr>
      <w:r>
        <w:rPr>
          <w:noProof/>
        </w:rPr>
        <w:t>Ulaganja u nove kapacitete doprinose klimatskim ciljevima povećanjem energetske učinkovitosti kako je opisano u ciljevima 194. i 195.</w:t>
      </w:r>
    </w:p>
    <w:p w14:paraId="7716D771" w14:textId="603FCBC8" w:rsidR="00615E2D" w:rsidRDefault="00C83E46">
      <w:pPr>
        <w:pStyle w:val="P68B1DB1-Normal4"/>
        <w:pBdr>
          <w:top w:val="nil"/>
          <w:left w:val="nil"/>
          <w:bottom w:val="nil"/>
          <w:right w:val="nil"/>
          <w:between w:val="nil"/>
        </w:pBdr>
        <w:spacing w:line="259" w:lineRule="auto"/>
        <w:jc w:val="both"/>
        <w:rPr>
          <w:rFonts w:ascii="Calibri" w:hAnsi="Calibri" w:cs="Calibri"/>
          <w:b/>
          <w:noProof/>
          <w:sz w:val="22"/>
        </w:rPr>
      </w:pPr>
      <w:r>
        <w:rPr>
          <w:noProof/>
        </w:rPr>
        <w:t xml:space="preserve">Nadalje, najmanje 100 električnih vozila i najviše 151 punjiva hibrida kupuju se za usluge socijalne prevencije, savjetovanja i kućne njege. </w:t>
      </w:r>
    </w:p>
    <w:p w14:paraId="425413C5" w14:textId="2EBF3AF8" w:rsidR="00615E2D" w:rsidRDefault="00C83E46">
      <w:pPr>
        <w:pStyle w:val="P68B1DB1-Normal3"/>
        <w:spacing w:line="240" w:lineRule="auto"/>
        <w:jc w:val="both"/>
        <w:rPr>
          <w:noProof/>
        </w:rPr>
      </w:pPr>
      <w:r>
        <w:rPr>
          <w:noProof/>
        </w:rPr>
        <w:t xml:space="preserve">Ulaganje mora biti dovršeno do 31. kolovoza 2026. </w:t>
      </w:r>
    </w:p>
    <w:p w14:paraId="458EC3C4" w14:textId="3523033A" w:rsidR="00615E2D" w:rsidRDefault="00C83E46">
      <w:pPr>
        <w:pStyle w:val="P68B1DB1-Normal7"/>
        <w:pageBreakBefore/>
        <w:widowControl w:val="0"/>
        <w:spacing w:line="259" w:lineRule="auto"/>
        <w:jc w:val="both"/>
        <w:rPr>
          <w:rFonts w:eastAsia="Times New Roman"/>
          <w:noProof/>
          <w:color w:val="444444"/>
        </w:rPr>
      </w:pPr>
      <w:r>
        <w:rPr>
          <w:rFonts w:eastAsia="Times New Roman"/>
          <w:noProof/>
        </w:rPr>
        <w:t xml:space="preserve">Ulaganje 4: </w:t>
      </w:r>
      <w:r>
        <w:rPr>
          <w:noProof/>
        </w:rPr>
        <w:t>Razvoj i modernizacija infrastrukture u području skrbi za djecu izloženu riziku</w:t>
      </w:r>
    </w:p>
    <w:p w14:paraId="6D4F59AE" w14:textId="62D9B217" w:rsidR="00615E2D" w:rsidRDefault="00C83E46">
      <w:pPr>
        <w:widowControl w:val="0"/>
        <w:spacing w:line="259" w:lineRule="auto"/>
        <w:jc w:val="both"/>
        <w:rPr>
          <w:rFonts w:eastAsia="Times New Roman"/>
          <w:noProof/>
          <w:color w:val="000000" w:themeColor="text1"/>
        </w:rPr>
      </w:pPr>
      <w:r>
        <w:rPr>
          <w:rFonts w:eastAsia="Times New Roman"/>
          <w:noProof/>
          <w:color w:val="000000" w:themeColor="text1"/>
        </w:rPr>
        <w:t xml:space="preserve">Cilj je ulaganja riješiti problem nedovoljne </w:t>
      </w:r>
      <w:r>
        <w:rPr>
          <w:noProof/>
        </w:rPr>
        <w:t xml:space="preserve">infrastrukture za </w:t>
      </w:r>
      <w:r>
        <w:rPr>
          <w:rFonts w:eastAsia="Times New Roman"/>
          <w:noProof/>
        </w:rPr>
        <w:t xml:space="preserve">socijalnu </w:t>
      </w:r>
      <w:r>
        <w:rPr>
          <w:noProof/>
        </w:rPr>
        <w:t>skrb za rizičnu djecu i poduprijeti proces prelaska na skrb u zajednici u Češkoj. Potpora ulaganjima pruža infrastrukturu</w:t>
      </w:r>
      <w:r>
        <w:rPr>
          <w:rFonts w:eastAsia="Times New Roman"/>
          <w:noProof/>
          <w:color w:val="000000" w:themeColor="text1"/>
        </w:rPr>
        <w:t>za</w:t>
      </w:r>
      <w:r>
        <w:rPr>
          <w:noProof/>
        </w:rPr>
        <w:t xml:space="preserve"> socijalnu skrb ugroženoj djeci </w:t>
      </w:r>
      <w:r>
        <w:rPr>
          <w:rFonts w:eastAsia="Times New Roman"/>
          <w:noProof/>
          <w:color w:val="000000" w:themeColor="text1"/>
        </w:rPr>
        <w:t>obnovom</w:t>
      </w:r>
      <w:r>
        <w:rPr>
          <w:noProof/>
        </w:rPr>
        <w:t xml:space="preserve"> postojećih zgrada</w:t>
      </w:r>
      <w:r>
        <w:rPr>
          <w:rFonts w:eastAsia="Times New Roman"/>
          <w:noProof/>
          <w:color w:val="000000" w:themeColor="text1"/>
        </w:rPr>
        <w:t>, izgradnjom novih objekata i/ili kupnjom stambenih jedinica.</w:t>
      </w:r>
    </w:p>
    <w:p w14:paraId="7EB27AB5" w14:textId="722CFDFE" w:rsidR="00615E2D" w:rsidRDefault="00C83E46">
      <w:pPr>
        <w:pStyle w:val="P68B1DB1-Normal3"/>
        <w:widowControl w:val="0"/>
        <w:spacing w:line="259" w:lineRule="auto"/>
        <w:jc w:val="both"/>
        <w:rPr>
          <w:noProof/>
        </w:rPr>
        <w:sectPr w:rsidR="00615E2D" w:rsidSect="003A6FF0">
          <w:headerReference w:type="even" r:id="rId306"/>
          <w:headerReference w:type="default" r:id="rId307"/>
          <w:footerReference w:type="even" r:id="rId308"/>
          <w:footerReference w:type="default" r:id="rId309"/>
          <w:headerReference w:type="first" r:id="rId310"/>
          <w:footerReference w:type="first" r:id="rId311"/>
          <w:pgSz w:w="11907" w:h="16839"/>
          <w:pgMar w:top="1134" w:right="1134" w:bottom="1134" w:left="1134" w:header="567" w:footer="567" w:gutter="0"/>
          <w:cols w:space="720"/>
          <w:docGrid w:linePitch="326"/>
        </w:sectPr>
      </w:pPr>
      <w:r>
        <w:rPr>
          <w:noProof/>
          <w:color w:val="000000" w:themeColor="text1"/>
        </w:rPr>
        <w:t>Ulaganje mora biti dovršeno do 31. kolovoza</w:t>
      </w:r>
      <w:r>
        <w:rPr>
          <w:noProof/>
          <w:color w:val="006100"/>
          <w:sz w:val="22"/>
        </w:rPr>
        <w:t>2026.</w:t>
      </w:r>
    </w:p>
    <w:p w14:paraId="48CFD467" w14:textId="315F0A1E" w:rsidR="00615E2D" w:rsidRDefault="00C83E46">
      <w:pPr>
        <w:pStyle w:val="P68B1DB1-Normal33"/>
        <w:pBdr>
          <w:top w:val="nil"/>
          <w:left w:val="nil"/>
          <w:bottom w:val="nil"/>
          <w:right w:val="nil"/>
          <w:between w:val="nil"/>
        </w:pBdr>
        <w:tabs>
          <w:tab w:val="left" w:pos="993"/>
        </w:tabs>
        <w:spacing w:line="240" w:lineRule="auto"/>
        <w:jc w:val="both"/>
        <w:rPr>
          <w:noProof/>
          <w:color w:val="000000"/>
        </w:rPr>
      </w:pPr>
      <w:r>
        <w:rPr>
          <w:noProof/>
        </w:rPr>
        <w:t xml:space="preserve">T.2. Ključne etape, ciljne vrijednosti i vremenski raspored za praćenje i provedbu programa bespovratne financijske potpore </w:t>
      </w:r>
    </w:p>
    <w:tbl>
      <w:tblPr>
        <w:tblW w:w="0" w:type="auto"/>
        <w:jc w:val="center"/>
        <w:tblLayout w:type="fixed"/>
        <w:tblLook w:val="04A0" w:firstRow="1" w:lastRow="0" w:firstColumn="1" w:lastColumn="0" w:noHBand="0" w:noVBand="1"/>
      </w:tblPr>
      <w:tblGrid>
        <w:gridCol w:w="675"/>
        <w:gridCol w:w="1307"/>
        <w:gridCol w:w="1077"/>
        <w:gridCol w:w="1701"/>
        <w:gridCol w:w="1276"/>
        <w:gridCol w:w="1077"/>
        <w:gridCol w:w="1077"/>
        <w:gridCol w:w="850"/>
        <w:gridCol w:w="1134"/>
        <w:gridCol w:w="608"/>
        <w:gridCol w:w="4745"/>
      </w:tblGrid>
      <w:tr w:rsidR="00615E2D" w14:paraId="2C3F7FC2" w14:textId="77777777">
        <w:trPr>
          <w:trHeight w:val="107"/>
          <w:tblHeade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8144D08" w14:textId="77777777" w:rsidR="00615E2D" w:rsidRDefault="00C83E46">
            <w:pPr>
              <w:pStyle w:val="P68B1DB1-Normal27"/>
              <w:spacing w:line="240" w:lineRule="auto"/>
              <w:jc w:val="center"/>
              <w:rPr>
                <w:noProof/>
              </w:rPr>
            </w:pPr>
            <w:r>
              <w:rPr>
                <w:noProof/>
              </w:rPr>
              <w:t>Sljedeće NUM.</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DDC0F09" w14:textId="77777777" w:rsidR="00615E2D" w:rsidRDefault="00C83E46">
            <w:pPr>
              <w:pStyle w:val="P68B1DB1-Normal9"/>
              <w:spacing w:line="240" w:lineRule="auto"/>
              <w:jc w:val="center"/>
              <w:rPr>
                <w:noProof/>
              </w:rPr>
            </w:pPr>
            <w:r>
              <w:rPr>
                <w:noProof/>
              </w:rPr>
              <w:t>Povezana mjera (reforma ili ulaganje)</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E39B206" w14:textId="77777777" w:rsidR="00615E2D" w:rsidRDefault="00C83E46">
            <w:pPr>
              <w:pStyle w:val="P68B1DB1-Normal9"/>
              <w:spacing w:line="240" w:lineRule="auto"/>
              <w:jc w:val="center"/>
              <w:rPr>
                <w:noProof/>
              </w:rPr>
            </w:pPr>
            <w:r>
              <w:rPr>
                <w:noProof/>
              </w:rPr>
              <w:t xml:space="preserve">Ključna etapa/ciljna vrijednost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66F5D6E" w14:textId="77777777" w:rsidR="00615E2D" w:rsidRDefault="00C83E46">
            <w:pPr>
              <w:pStyle w:val="P68B1DB1-Normal9"/>
              <w:spacing w:line="240" w:lineRule="auto"/>
              <w:jc w:val="center"/>
              <w:rPr>
                <w:noProof/>
              </w:rPr>
            </w:pPr>
            <w:r>
              <w:rPr>
                <w:noProof/>
              </w:rPr>
              <w:t xml:space="preserve">Ime </w:t>
            </w:r>
          </w:p>
        </w:tc>
        <w:tc>
          <w:tcPr>
            <w:tcW w:w="1276" w:type="dxa"/>
            <w:vMerge w:val="restart"/>
            <w:tcBorders>
              <w:top w:val="single" w:sz="8" w:space="0" w:color="auto"/>
              <w:left w:val="single" w:sz="4" w:space="0" w:color="auto"/>
              <w:right w:val="single" w:sz="4" w:space="0" w:color="auto"/>
            </w:tcBorders>
            <w:shd w:val="clear" w:color="auto" w:fill="BDD7EE"/>
            <w:vAlign w:val="center"/>
          </w:tcPr>
          <w:p w14:paraId="29602937"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2126" w:type="dxa"/>
            <w:gridSpan w:val="3"/>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6919FE51"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1742" w:type="dxa"/>
            <w:gridSpan w:val="2"/>
            <w:tcBorders>
              <w:top w:val="single" w:sz="8" w:space="0" w:color="auto"/>
              <w:left w:val="nil"/>
              <w:bottom w:val="single" w:sz="8" w:space="0" w:color="auto"/>
              <w:right w:val="single" w:sz="4" w:space="0" w:color="auto"/>
            </w:tcBorders>
            <w:shd w:val="clear" w:color="auto" w:fill="BDD7EE"/>
            <w:vAlign w:val="center"/>
          </w:tcPr>
          <w:p w14:paraId="253E5360" w14:textId="77777777" w:rsidR="00615E2D" w:rsidRDefault="00C83E46">
            <w:pPr>
              <w:pStyle w:val="P68B1DB1-Normal9"/>
              <w:spacing w:line="240" w:lineRule="auto"/>
              <w:jc w:val="center"/>
              <w:rPr>
                <w:noProof/>
              </w:rPr>
            </w:pPr>
            <w:r>
              <w:rPr>
                <w:noProof/>
              </w:rPr>
              <w:t xml:space="preserve">Okvirni vremenski okvir za dovršetak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3115D91"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64F01BB5" w14:textId="77777777">
        <w:trPr>
          <w:trHeight w:val="173"/>
          <w:tblHeader/>
          <w:jc w:val="center"/>
        </w:trPr>
        <w:tc>
          <w:tcPr>
            <w:tcW w:w="675" w:type="dxa"/>
            <w:vMerge/>
            <w:tcBorders>
              <w:top w:val="single" w:sz="4" w:space="0" w:color="auto"/>
              <w:left w:val="single" w:sz="4" w:space="0" w:color="auto"/>
              <w:right w:val="single" w:sz="4" w:space="0" w:color="auto"/>
            </w:tcBorders>
            <w:vAlign w:val="center"/>
          </w:tcPr>
          <w:p w14:paraId="1B150787" w14:textId="77777777" w:rsidR="00615E2D" w:rsidRDefault="00615E2D">
            <w:pPr>
              <w:spacing w:line="240" w:lineRule="auto"/>
              <w:jc w:val="center"/>
              <w:rPr>
                <w:noProof/>
                <w:sz w:val="18"/>
              </w:rPr>
            </w:pPr>
          </w:p>
        </w:tc>
        <w:tc>
          <w:tcPr>
            <w:tcW w:w="1307" w:type="dxa"/>
            <w:vMerge/>
            <w:tcBorders>
              <w:top w:val="single" w:sz="4" w:space="0" w:color="auto"/>
              <w:left w:val="single" w:sz="4" w:space="0" w:color="auto"/>
              <w:right w:val="single" w:sz="4" w:space="0" w:color="auto"/>
            </w:tcBorders>
            <w:vAlign w:val="center"/>
          </w:tcPr>
          <w:p w14:paraId="10CE758D" w14:textId="77777777" w:rsidR="00615E2D" w:rsidRDefault="00615E2D">
            <w:pPr>
              <w:spacing w:line="240" w:lineRule="auto"/>
              <w:jc w:val="center"/>
              <w:rPr>
                <w:noProof/>
                <w:sz w:val="18"/>
              </w:rPr>
            </w:pPr>
          </w:p>
        </w:tc>
        <w:tc>
          <w:tcPr>
            <w:tcW w:w="1077" w:type="dxa"/>
            <w:vMerge/>
            <w:tcBorders>
              <w:top w:val="single" w:sz="4" w:space="0" w:color="auto"/>
              <w:left w:val="single" w:sz="4" w:space="0" w:color="auto"/>
              <w:right w:val="single" w:sz="4" w:space="0" w:color="auto"/>
            </w:tcBorders>
            <w:vAlign w:val="center"/>
          </w:tcPr>
          <w:p w14:paraId="5B805BD7" w14:textId="77777777" w:rsidR="00615E2D" w:rsidRDefault="00615E2D">
            <w:pPr>
              <w:spacing w:line="240" w:lineRule="auto"/>
              <w:jc w:val="center"/>
              <w:rPr>
                <w:noProof/>
                <w:sz w:val="18"/>
              </w:rPr>
            </w:pPr>
          </w:p>
        </w:tc>
        <w:tc>
          <w:tcPr>
            <w:tcW w:w="1701" w:type="dxa"/>
            <w:vMerge/>
            <w:tcBorders>
              <w:top w:val="single" w:sz="4" w:space="0" w:color="auto"/>
              <w:left w:val="single" w:sz="4" w:space="0" w:color="auto"/>
              <w:right w:val="single" w:sz="4" w:space="0" w:color="auto"/>
            </w:tcBorders>
            <w:vAlign w:val="center"/>
          </w:tcPr>
          <w:p w14:paraId="66503B18" w14:textId="77777777" w:rsidR="00615E2D" w:rsidRDefault="00615E2D">
            <w:pPr>
              <w:spacing w:line="240" w:lineRule="auto"/>
              <w:jc w:val="center"/>
              <w:rPr>
                <w:noProof/>
                <w:sz w:val="18"/>
              </w:rPr>
            </w:pPr>
          </w:p>
        </w:tc>
        <w:tc>
          <w:tcPr>
            <w:tcW w:w="1276" w:type="dxa"/>
            <w:vMerge/>
            <w:tcBorders>
              <w:top w:val="single" w:sz="4" w:space="0" w:color="auto"/>
              <w:left w:val="single" w:sz="4" w:space="0" w:color="auto"/>
              <w:right w:val="single" w:sz="4" w:space="0" w:color="auto"/>
            </w:tcBorders>
            <w:vAlign w:val="center"/>
          </w:tcPr>
          <w:p w14:paraId="2EF7E874" w14:textId="77777777" w:rsidR="00615E2D" w:rsidRDefault="00615E2D">
            <w:pPr>
              <w:spacing w:line="240" w:lineRule="auto"/>
              <w:jc w:val="center"/>
              <w:rPr>
                <w:noProof/>
                <w:sz w:val="18"/>
              </w:rPr>
            </w:pPr>
          </w:p>
        </w:tc>
        <w:tc>
          <w:tcPr>
            <w:tcW w:w="1077" w:type="dxa"/>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779D70B8" w14:textId="77777777" w:rsidR="00615E2D" w:rsidRDefault="00C83E46">
            <w:pPr>
              <w:pStyle w:val="P68B1DB1-Normal9"/>
              <w:spacing w:line="240" w:lineRule="auto"/>
              <w:jc w:val="center"/>
              <w:rPr>
                <w:noProof/>
              </w:rPr>
            </w:pPr>
            <w:r>
              <w:rPr>
                <w:noProof/>
              </w:rPr>
              <w:t>Jedinica mjere</w:t>
            </w:r>
          </w:p>
        </w:tc>
        <w:tc>
          <w:tcPr>
            <w:tcW w:w="1077" w:type="dxa"/>
            <w:tcBorders>
              <w:top w:val="nil"/>
              <w:left w:val="single" w:sz="8" w:space="0" w:color="auto"/>
              <w:bottom w:val="single" w:sz="8" w:space="0" w:color="auto"/>
              <w:right w:val="single" w:sz="8" w:space="0" w:color="auto"/>
            </w:tcBorders>
            <w:shd w:val="clear" w:color="auto" w:fill="BDD7EE"/>
            <w:vAlign w:val="center"/>
          </w:tcPr>
          <w:p w14:paraId="6DFA4717" w14:textId="77777777" w:rsidR="00615E2D" w:rsidRDefault="00C83E46">
            <w:pPr>
              <w:pStyle w:val="P68B1DB1-Normal9"/>
              <w:spacing w:line="240" w:lineRule="auto"/>
              <w:jc w:val="center"/>
              <w:rPr>
                <w:noProof/>
              </w:rPr>
            </w:pPr>
            <w:r>
              <w:rPr>
                <w:noProof/>
              </w:rPr>
              <w:t>Osnovna vrijednost</w:t>
            </w:r>
          </w:p>
        </w:tc>
        <w:tc>
          <w:tcPr>
            <w:tcW w:w="850" w:type="dxa"/>
            <w:tcBorders>
              <w:top w:val="nil"/>
              <w:left w:val="single" w:sz="8" w:space="0" w:color="auto"/>
              <w:bottom w:val="single" w:sz="8" w:space="0" w:color="auto"/>
              <w:right w:val="single" w:sz="8" w:space="0" w:color="000000" w:themeColor="text1"/>
            </w:tcBorders>
            <w:shd w:val="clear" w:color="auto" w:fill="BDD7EE"/>
            <w:vAlign w:val="center"/>
          </w:tcPr>
          <w:p w14:paraId="35862E20" w14:textId="77777777" w:rsidR="00615E2D" w:rsidRDefault="00C83E46">
            <w:pPr>
              <w:pStyle w:val="P68B1DB1-Normal9"/>
              <w:spacing w:line="240" w:lineRule="auto"/>
              <w:jc w:val="center"/>
              <w:rPr>
                <w:noProof/>
              </w:rPr>
            </w:pPr>
            <w:r>
              <w:rPr>
                <w:noProof/>
              </w:rPr>
              <w:t>Cilj</w:t>
            </w:r>
          </w:p>
        </w:tc>
        <w:tc>
          <w:tcPr>
            <w:tcW w:w="1134" w:type="dxa"/>
            <w:tcBorders>
              <w:top w:val="single" w:sz="8" w:space="0" w:color="auto"/>
              <w:left w:val="single" w:sz="8" w:space="0" w:color="auto"/>
              <w:bottom w:val="single" w:sz="8" w:space="0" w:color="auto"/>
              <w:right w:val="single" w:sz="8" w:space="0" w:color="000000" w:themeColor="text1"/>
            </w:tcBorders>
            <w:shd w:val="clear" w:color="auto" w:fill="BDD7EE"/>
            <w:vAlign w:val="center"/>
          </w:tcPr>
          <w:p w14:paraId="77A44356" w14:textId="77777777" w:rsidR="00615E2D" w:rsidRDefault="00C83E46">
            <w:pPr>
              <w:pStyle w:val="P68B1DB1-Normal9"/>
              <w:spacing w:line="240" w:lineRule="auto"/>
              <w:jc w:val="center"/>
              <w:rPr>
                <w:noProof/>
              </w:rPr>
            </w:pPr>
            <w:r>
              <w:rPr>
                <w:noProof/>
              </w:rPr>
              <w:t>Tromjesečje</w:t>
            </w:r>
          </w:p>
        </w:tc>
        <w:tc>
          <w:tcPr>
            <w:tcW w:w="608" w:type="dxa"/>
            <w:tcBorders>
              <w:top w:val="nil"/>
              <w:left w:val="single" w:sz="8" w:space="0" w:color="auto"/>
              <w:bottom w:val="single" w:sz="8" w:space="0" w:color="auto"/>
              <w:right w:val="single" w:sz="4" w:space="0" w:color="auto"/>
            </w:tcBorders>
            <w:shd w:val="clear" w:color="auto" w:fill="BDD7EE"/>
            <w:vAlign w:val="center"/>
          </w:tcPr>
          <w:p w14:paraId="73B81F8B" w14:textId="77777777" w:rsidR="00615E2D" w:rsidRDefault="00C83E46">
            <w:pPr>
              <w:pStyle w:val="P68B1DB1-Normal9"/>
              <w:spacing w:line="240" w:lineRule="auto"/>
              <w:jc w:val="center"/>
              <w:rPr>
                <w:noProof/>
              </w:rPr>
            </w:pPr>
            <w:r>
              <w:rPr>
                <w:noProof/>
              </w:rPr>
              <w:t>Godina</w:t>
            </w:r>
          </w:p>
        </w:tc>
        <w:tc>
          <w:tcPr>
            <w:tcW w:w="4745" w:type="dxa"/>
            <w:vMerge/>
            <w:tcBorders>
              <w:bottom w:val="single" w:sz="4" w:space="0" w:color="auto"/>
              <w:right w:val="single" w:sz="4" w:space="0" w:color="auto"/>
            </w:tcBorders>
            <w:vAlign w:val="center"/>
          </w:tcPr>
          <w:p w14:paraId="799F0783" w14:textId="77777777" w:rsidR="00615E2D" w:rsidRDefault="00615E2D">
            <w:pPr>
              <w:spacing w:line="240" w:lineRule="auto"/>
              <w:jc w:val="center"/>
              <w:rPr>
                <w:noProof/>
                <w:sz w:val="18"/>
              </w:rPr>
            </w:pPr>
          </w:p>
        </w:tc>
      </w:tr>
      <w:tr w:rsidR="00615E2D" w14:paraId="7CB83F48" w14:textId="77777777">
        <w:trPr>
          <w:trHeight w:val="9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14:paraId="6A63D6FA" w14:textId="77777777" w:rsidR="00615E2D" w:rsidRDefault="00C83E46">
            <w:pPr>
              <w:pStyle w:val="P68B1DB1-Normal28"/>
              <w:spacing w:line="240" w:lineRule="auto"/>
              <w:jc w:val="center"/>
              <w:rPr>
                <w:noProof/>
              </w:rPr>
            </w:pPr>
            <w:r>
              <w:rPr>
                <w:noProof/>
              </w:rPr>
              <w:t>184</w:t>
            </w:r>
          </w:p>
        </w:tc>
        <w:tc>
          <w:tcPr>
            <w:tcW w:w="1307" w:type="dxa"/>
            <w:tcBorders>
              <w:top w:val="single" w:sz="4" w:space="0" w:color="auto"/>
              <w:left w:val="single" w:sz="8" w:space="0" w:color="auto"/>
              <w:bottom w:val="single" w:sz="8" w:space="0" w:color="auto"/>
              <w:right w:val="single" w:sz="8" w:space="0" w:color="auto"/>
            </w:tcBorders>
            <w:shd w:val="clear" w:color="auto" w:fill="C6EFCE"/>
            <w:vAlign w:val="center"/>
          </w:tcPr>
          <w:p w14:paraId="133B2810" w14:textId="77777777" w:rsidR="00615E2D" w:rsidRDefault="00C83E46">
            <w:pPr>
              <w:pStyle w:val="P68B1DB1-Normal28"/>
              <w:spacing w:after="0" w:line="240" w:lineRule="auto"/>
              <w:rPr>
                <w:noProof/>
              </w:rPr>
            </w:pPr>
            <w:r>
              <w:rPr>
                <w:noProof/>
              </w:rPr>
              <w:t>Reforma 1.: Razvoj politika tržišta rada</w:t>
            </w:r>
          </w:p>
          <w:p w14:paraId="5F7CAF39" w14:textId="77777777" w:rsidR="00615E2D" w:rsidRDefault="00615E2D">
            <w:pPr>
              <w:spacing w:line="240" w:lineRule="auto"/>
              <w:rPr>
                <w:noProof/>
                <w:color w:val="006100"/>
                <w:sz w:val="18"/>
              </w:rPr>
            </w:pPr>
          </w:p>
        </w:tc>
        <w:tc>
          <w:tcPr>
            <w:tcW w:w="1077" w:type="dxa"/>
            <w:tcBorders>
              <w:top w:val="single" w:sz="4" w:space="0" w:color="auto"/>
              <w:left w:val="single" w:sz="8" w:space="0" w:color="auto"/>
              <w:bottom w:val="single" w:sz="8" w:space="0" w:color="auto"/>
              <w:right w:val="single" w:sz="8" w:space="0" w:color="auto"/>
            </w:tcBorders>
            <w:shd w:val="clear" w:color="auto" w:fill="C6EFCE"/>
            <w:vAlign w:val="center"/>
          </w:tcPr>
          <w:p w14:paraId="4D5B0D80" w14:textId="77777777" w:rsidR="00615E2D" w:rsidRDefault="00C83E46">
            <w:pPr>
              <w:pStyle w:val="P68B1DB1-Normal28"/>
              <w:spacing w:after="0" w:line="240" w:lineRule="auto"/>
              <w:rPr>
                <w:noProof/>
              </w:rPr>
            </w:pPr>
            <w:r>
              <w:rPr>
                <w:noProof/>
              </w:rPr>
              <w:t>Prekretnica</w:t>
            </w:r>
          </w:p>
          <w:p w14:paraId="3921C1A4" w14:textId="77777777" w:rsidR="00615E2D" w:rsidRDefault="00615E2D">
            <w:pPr>
              <w:spacing w:line="240" w:lineRule="auto"/>
              <w:rPr>
                <w:noProof/>
                <w:color w:val="006100"/>
                <w:sz w:val="18"/>
              </w:rPr>
            </w:pPr>
          </w:p>
        </w:tc>
        <w:tc>
          <w:tcPr>
            <w:tcW w:w="1701" w:type="dxa"/>
            <w:tcBorders>
              <w:top w:val="single" w:sz="4" w:space="0" w:color="auto"/>
              <w:left w:val="single" w:sz="8" w:space="0" w:color="auto"/>
              <w:bottom w:val="single" w:sz="8" w:space="0" w:color="auto"/>
              <w:right w:val="single" w:sz="8" w:space="0" w:color="auto"/>
            </w:tcBorders>
            <w:shd w:val="clear" w:color="auto" w:fill="C6EFCE"/>
            <w:vAlign w:val="center"/>
          </w:tcPr>
          <w:p w14:paraId="5F0E77C2" w14:textId="77777777" w:rsidR="00615E2D" w:rsidRDefault="00C83E46">
            <w:pPr>
              <w:pStyle w:val="P68B1DB1-Normal28"/>
              <w:spacing w:after="0" w:line="240" w:lineRule="auto"/>
              <w:rPr>
                <w:noProof/>
              </w:rPr>
            </w:pPr>
            <w:r>
              <w:rPr>
                <w:noProof/>
              </w:rPr>
              <w:t xml:space="preserve">Osnivanje tripartitnog odbora za prekvalifikaciju i usavršavanje </w:t>
            </w:r>
          </w:p>
          <w:p w14:paraId="49153CBF" w14:textId="77777777" w:rsidR="00615E2D" w:rsidRDefault="00615E2D">
            <w:pPr>
              <w:spacing w:line="240" w:lineRule="auto"/>
              <w:rPr>
                <w:noProof/>
                <w:color w:val="006100"/>
                <w:sz w:val="18"/>
              </w:rPr>
            </w:pP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4EC83B1C" w14:textId="77777777" w:rsidR="00615E2D" w:rsidRDefault="00C83E46">
            <w:pPr>
              <w:pStyle w:val="P68B1DB1-Normal28"/>
              <w:spacing w:line="240" w:lineRule="auto"/>
              <w:rPr>
                <w:noProof/>
              </w:rPr>
            </w:pPr>
            <w:r>
              <w:rPr>
                <w:noProof/>
              </w:rPr>
              <w:t>Stupanje na snagu uredbe o osnivanju stalnog Odbora za prekvalifikaciju i usavršavanje Vijeća gospodarskog i socijalnog sporazuma (trostrani)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2908533"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D52E22D"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5FBB9A82" w14:textId="77777777" w:rsidR="00615E2D" w:rsidRDefault="00615E2D">
            <w:pPr>
              <w:spacing w:line="240" w:lineRule="auto"/>
              <w:jc w:val="center"/>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B2355FA" w14:textId="77777777" w:rsidR="00615E2D" w:rsidRDefault="00C83E46">
            <w:pPr>
              <w:pStyle w:val="P68B1DB1-Normal28"/>
              <w:spacing w:line="240" w:lineRule="auto"/>
              <w:jc w:val="center"/>
              <w:rPr>
                <w:noProof/>
              </w:rPr>
            </w:pPr>
            <w:r>
              <w:rPr>
                <w:noProof/>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55A62F1C" w14:textId="77777777" w:rsidR="00615E2D" w:rsidRDefault="00C83E46">
            <w:pPr>
              <w:pStyle w:val="P68B1DB1-Normal28"/>
              <w:spacing w:line="240" w:lineRule="auto"/>
              <w:jc w:val="center"/>
              <w:rPr>
                <w:noProof/>
              </w:rPr>
            </w:pPr>
            <w:r>
              <w:rPr>
                <w:noProof/>
              </w:rPr>
              <w:t>2022</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14:paraId="636A3676" w14:textId="300A4667" w:rsidR="00615E2D" w:rsidRDefault="00C83E46">
            <w:pPr>
              <w:pStyle w:val="P68B1DB1-Normal28"/>
              <w:spacing w:after="0" w:line="259" w:lineRule="auto"/>
              <w:contextualSpacing/>
              <w:rPr>
                <w:noProof/>
              </w:rPr>
            </w:pPr>
            <w:r>
              <w:rPr>
                <w:noProof/>
              </w:rPr>
              <w:t>Odbor za prekvalifikaciju i usavršavanje koordinira razvoj cjeloživotnog učenja u skladu sa stvarnom i očekivanom potražnjom za vještinama. Sastoji se od predstavnika Ministarstva rada i socijalnih pitanja, Ministarstva obrazovanja, mladih i sporta, udruga poslodavaca i sindikata.</w:t>
            </w:r>
          </w:p>
        </w:tc>
      </w:tr>
      <w:tr w:rsidR="00615E2D" w14:paraId="7A48B1D4" w14:textId="77777777">
        <w:trPr>
          <w:trHeight w:val="2263"/>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3609502" w14:textId="77777777" w:rsidR="00615E2D" w:rsidRDefault="00C83E46">
            <w:pPr>
              <w:pStyle w:val="P68B1DB1-Normal28"/>
              <w:spacing w:line="240" w:lineRule="auto"/>
              <w:jc w:val="center"/>
              <w:rPr>
                <w:noProof/>
              </w:rPr>
            </w:pPr>
            <w:r>
              <w:rPr>
                <w:noProof/>
              </w:rPr>
              <w:t>185</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6B413E46" w14:textId="77777777" w:rsidR="00615E2D" w:rsidRDefault="00C83E46">
            <w:pPr>
              <w:pStyle w:val="P68B1DB1-Normal28"/>
              <w:spacing w:line="240" w:lineRule="auto"/>
              <w:rPr>
                <w:noProof/>
              </w:rPr>
            </w:pPr>
            <w:r>
              <w:rPr>
                <w:noProof/>
              </w:rPr>
              <w:t>Reforma 1.: Razvoj politika tržišta rada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0FEE762" w14:textId="77777777" w:rsidR="00615E2D" w:rsidRDefault="00C83E46">
            <w:pPr>
              <w:pStyle w:val="P68B1DB1-Normal28"/>
              <w:spacing w:line="240" w:lineRule="auto"/>
              <w:rPr>
                <w:noProof/>
              </w:rPr>
            </w:pPr>
            <w:r>
              <w:rPr>
                <w:noProof/>
              </w:rPr>
              <w:t>Prekretnica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0DFF806F" w14:textId="77777777" w:rsidR="00615E2D" w:rsidRDefault="00C83E46">
            <w:pPr>
              <w:pStyle w:val="P68B1DB1-Normal28"/>
              <w:spacing w:after="0" w:line="240" w:lineRule="auto"/>
              <w:rPr>
                <w:noProof/>
              </w:rPr>
            </w:pPr>
            <w:r>
              <w:rPr>
                <w:noProof/>
              </w:rPr>
              <w:t>Stupanje na snagu izmijenjenog Zakona o zapošljavanju kojim se povećava učinkovitost službi za zapošljavanje i bolje usmjeravanje na najranjivije skupine</w:t>
            </w:r>
          </w:p>
          <w:p w14:paraId="1DEED008" w14:textId="77777777" w:rsidR="00615E2D" w:rsidRDefault="00C83E46">
            <w:pPr>
              <w:pStyle w:val="P68B1DB1-Normal28"/>
              <w:spacing w:line="240" w:lineRule="auto"/>
              <w:rPr>
                <w:noProof/>
              </w:rPr>
            </w:pPr>
            <w:r>
              <w:rPr>
                <w:noProof/>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6DAF951A" w14:textId="77777777" w:rsidR="00615E2D" w:rsidRDefault="00C83E46">
            <w:pPr>
              <w:pStyle w:val="P68B1DB1-Normal28"/>
              <w:spacing w:line="240" w:lineRule="auto"/>
              <w:rPr>
                <w:noProof/>
              </w:rPr>
            </w:pPr>
            <w:r>
              <w:rPr>
                <w:noProof/>
              </w:rPr>
              <w:t xml:space="preserve">Odredba u izmijenjenom Zakonu o zapošljavanju u kojoj se navodi stupanje na snagu izmijenjenog Zakona o zapošljavanju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3F7EA41"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8E270FD"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02158EA7" w14:textId="77777777" w:rsidR="00615E2D" w:rsidRDefault="00615E2D">
            <w:pPr>
              <w:spacing w:line="240" w:lineRule="auto"/>
              <w:jc w:val="center"/>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00E4FFF" w14:textId="77777777" w:rsidR="00615E2D" w:rsidRDefault="00C83E46">
            <w:pPr>
              <w:pStyle w:val="P68B1DB1-Normal28"/>
              <w:spacing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101FAD61" w14:textId="77777777"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2A4B0E26" w14:textId="77777777" w:rsidR="00615E2D" w:rsidRDefault="00C83E46">
            <w:pPr>
              <w:pStyle w:val="P68B1DB1-Normal28"/>
              <w:spacing w:after="240" w:line="240" w:lineRule="auto"/>
              <w:rPr>
                <w:noProof/>
              </w:rPr>
            </w:pPr>
            <w:r>
              <w:rPr>
                <w:noProof/>
              </w:rPr>
              <w:t xml:space="preserve">Zakonom se: </w:t>
            </w:r>
          </w:p>
          <w:p w14:paraId="1C6A8C37" w14:textId="77777777" w:rsidR="00615E2D" w:rsidRDefault="00C83E46">
            <w:pPr>
              <w:pStyle w:val="P68B1DB1-Normal28"/>
              <w:numPr>
                <w:ilvl w:val="0"/>
                <w:numId w:val="179"/>
              </w:numPr>
              <w:spacing w:after="0" w:line="259" w:lineRule="auto"/>
              <w:rPr>
                <w:noProof/>
              </w:rPr>
            </w:pPr>
            <w:r>
              <w:rPr>
                <w:noProof/>
              </w:rPr>
              <w:t>Utvrđivanje definicije osoba u nepovoljnom položaju na tržištu rada</w:t>
            </w:r>
          </w:p>
          <w:p w14:paraId="3E91ED9A" w14:textId="77777777" w:rsidR="00615E2D" w:rsidRDefault="00C83E46">
            <w:pPr>
              <w:pStyle w:val="P68B1DB1-Normal28"/>
              <w:numPr>
                <w:ilvl w:val="0"/>
                <w:numId w:val="179"/>
              </w:numPr>
              <w:spacing w:after="0" w:line="259" w:lineRule="auto"/>
              <w:rPr>
                <w:noProof/>
              </w:rPr>
            </w:pPr>
            <w:r>
              <w:rPr>
                <w:noProof/>
              </w:rPr>
              <w:t>bolje usmjeriti potporu na najranjivije skupine (posebno niskokvalificirane, isključene osobe ili osobe kojima prijeti socijalna isključenost)</w:t>
            </w:r>
          </w:p>
          <w:p w14:paraId="7F54FBB1" w14:textId="77777777" w:rsidR="00615E2D" w:rsidRDefault="00C83E46">
            <w:pPr>
              <w:pStyle w:val="P68B1DB1-Normal28"/>
              <w:numPr>
                <w:ilvl w:val="0"/>
                <w:numId w:val="179"/>
              </w:numPr>
              <w:spacing w:after="240" w:line="259" w:lineRule="auto"/>
              <w:rPr>
                <w:noProof/>
              </w:rPr>
            </w:pPr>
            <w:r>
              <w:rPr>
                <w:noProof/>
              </w:rPr>
              <w:t>povećati fleksibilnost i učinkovitost tečajeva za prekvalifikaciju koje organizira Ured rada</w:t>
            </w:r>
          </w:p>
        </w:tc>
      </w:tr>
      <w:tr w:rsidR="00615E2D" w14:paraId="3706ACAF"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1DB0E05" w14:textId="77777777" w:rsidR="00615E2D" w:rsidRDefault="00C83E46">
            <w:pPr>
              <w:pStyle w:val="P68B1DB1-Normal28"/>
              <w:spacing w:line="240" w:lineRule="auto"/>
              <w:jc w:val="center"/>
              <w:rPr>
                <w:noProof/>
              </w:rPr>
            </w:pPr>
            <w:r>
              <w:rPr>
                <w:noProof/>
              </w:rPr>
              <w:t>186</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5BB5C755" w14:textId="77777777" w:rsidR="00615E2D" w:rsidRDefault="00C83E46">
            <w:pPr>
              <w:pStyle w:val="P68B1DB1-Normal28"/>
              <w:spacing w:line="240" w:lineRule="auto"/>
              <w:rPr>
                <w:noProof/>
              </w:rPr>
            </w:pPr>
            <w:r>
              <w:rPr>
                <w:noProof/>
              </w:rPr>
              <w:t>Reforma 1.: Razvoj politika tržišta rada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7ACE8D6" w14:textId="77777777" w:rsidR="00615E2D" w:rsidRDefault="00C83E46">
            <w:pPr>
              <w:pStyle w:val="P68B1DB1-Normal28"/>
              <w:spacing w:line="240" w:lineRule="auto"/>
              <w:rPr>
                <w:noProof/>
              </w:rPr>
            </w:pPr>
            <w:r>
              <w:rPr>
                <w:noProof/>
              </w:rPr>
              <w:t xml:space="preserve">Prekretnica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6F6D353A" w14:textId="77777777" w:rsidR="00615E2D" w:rsidRDefault="00C83E46">
            <w:pPr>
              <w:pStyle w:val="P68B1DB1-Normal28"/>
              <w:spacing w:line="240" w:lineRule="auto"/>
              <w:rPr>
                <w:noProof/>
              </w:rPr>
            </w:pPr>
            <w:r>
              <w:rPr>
                <w:noProof/>
              </w:rPr>
              <w:t>Baza podataka o tečajevima prekvalifikacije i usavršavanja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bottom"/>
          </w:tcPr>
          <w:p w14:paraId="4B9FE9F5" w14:textId="77777777" w:rsidR="00615E2D" w:rsidRDefault="00C83E46">
            <w:pPr>
              <w:pStyle w:val="P68B1DB1-Normal28"/>
              <w:spacing w:line="240" w:lineRule="auto"/>
              <w:rPr>
                <w:noProof/>
              </w:rPr>
            </w:pPr>
            <w:r>
              <w:rPr>
                <w:noProof/>
              </w:rPr>
              <w:t>Javna baza podataka o tečajevima usavršavanja i prekvalifikacije pokrenutima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0DF2775"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BF989F9"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4F2EE076" w14:textId="77777777" w:rsidR="00615E2D" w:rsidRDefault="00615E2D">
            <w:pPr>
              <w:spacing w:line="240" w:lineRule="auto"/>
              <w:jc w:val="center"/>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5465E1E3" w14:textId="77777777" w:rsidR="00615E2D" w:rsidRDefault="00C83E46">
            <w:pPr>
              <w:pStyle w:val="P68B1DB1-Normal28"/>
              <w:spacing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6397A531" w14:textId="77777777" w:rsidR="00615E2D" w:rsidRDefault="00C83E46">
            <w:pPr>
              <w:pStyle w:val="P68B1DB1-Normal28"/>
              <w:spacing w:line="240" w:lineRule="auto"/>
              <w:jc w:val="center"/>
              <w:rPr>
                <w:noProof/>
              </w:rPr>
            </w:pPr>
            <w:r>
              <w:rPr>
                <w:noProof/>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BA93FF0" w14:textId="77777777" w:rsidR="00615E2D" w:rsidRDefault="00C83E46">
            <w:pPr>
              <w:pStyle w:val="P68B1DB1-Normal28"/>
              <w:spacing w:after="0" w:line="259" w:lineRule="auto"/>
              <w:contextualSpacing/>
              <w:rPr>
                <w:i/>
                <w:noProof/>
              </w:rPr>
            </w:pPr>
            <w:r>
              <w:rPr>
                <w:noProof/>
              </w:rPr>
              <w:t>Baza podataka obuhvaća programe usavršavanja i prekvalifikacije certificirane u skladu sa Zakonom o zapošljavanju (koje osigurava Ured rada) te tečajeve koje nude strukovne škole, ustanove visokog obrazovanja i drugi pružatelji.</w:t>
            </w:r>
          </w:p>
        </w:tc>
      </w:tr>
      <w:tr w:rsidR="00615E2D" w14:paraId="452CB332" w14:textId="77777777">
        <w:trPr>
          <w:trHeight w:val="479"/>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161B8EE4" w14:textId="77777777" w:rsidR="00615E2D" w:rsidRDefault="00C83E46">
            <w:pPr>
              <w:pStyle w:val="P68B1DB1-Normal28"/>
              <w:spacing w:line="240" w:lineRule="auto"/>
              <w:jc w:val="center"/>
              <w:rPr>
                <w:noProof/>
              </w:rPr>
            </w:pPr>
            <w:r>
              <w:rPr>
                <w:noProof/>
              </w:rPr>
              <w:t>187</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3A458816" w14:textId="77777777" w:rsidR="00615E2D" w:rsidRDefault="00C83E46">
            <w:pPr>
              <w:pStyle w:val="P68B1DB1-Normal28"/>
              <w:spacing w:line="240" w:lineRule="auto"/>
              <w:rPr>
                <w:noProof/>
              </w:rPr>
            </w:pPr>
            <w:r>
              <w:rPr>
                <w:noProof/>
              </w:rPr>
              <w:t>Ulaganje 1: Razvoj politika tržišta rada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88283DE" w14:textId="77777777" w:rsidR="00615E2D" w:rsidRDefault="00C83E46">
            <w:pPr>
              <w:pStyle w:val="P68B1DB1-Normal28"/>
              <w:spacing w:after="0" w:line="240" w:lineRule="auto"/>
              <w:rPr>
                <w:noProof/>
              </w:rPr>
            </w:pPr>
            <w:r>
              <w:rPr>
                <w:noProof/>
              </w:rPr>
              <w:t>Ciljna</w:t>
            </w:r>
          </w:p>
          <w:p w14:paraId="6209A740" w14:textId="77777777" w:rsidR="00615E2D" w:rsidRDefault="00615E2D">
            <w:pPr>
              <w:spacing w:line="240" w:lineRule="auto"/>
              <w:rPr>
                <w:noProof/>
                <w:color w:val="006100"/>
                <w:sz w:val="18"/>
              </w:rPr>
            </w:pP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276226A8" w14:textId="77777777" w:rsidR="00615E2D" w:rsidRDefault="00C83E46">
            <w:pPr>
              <w:pStyle w:val="P68B1DB1-Normal28"/>
              <w:spacing w:after="0" w:line="240" w:lineRule="auto"/>
              <w:rPr>
                <w:noProof/>
              </w:rPr>
            </w:pPr>
            <w:r>
              <w:rPr>
                <w:noProof/>
              </w:rPr>
              <w:t>Broj osoba koje su dobile prekvalifikaciju i usavršavanje u području digitalnih vještina i vještina potrebnih za industriju 4.0.</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7B71BDCA"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58AE884" w14:textId="77777777" w:rsidR="00615E2D" w:rsidRDefault="00C83E46">
            <w:pPr>
              <w:pStyle w:val="P68B1DB1-Normal28"/>
              <w:spacing w:line="240" w:lineRule="auto"/>
              <w:rPr>
                <w:noProof/>
              </w:rPr>
            </w:pPr>
            <w:r>
              <w:rPr>
                <w:noProof/>
              </w:rPr>
              <w:t>Broj</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D06ECCA" w14:textId="77777777" w:rsidR="00615E2D" w:rsidRDefault="00C83E46">
            <w:pPr>
              <w:pStyle w:val="P68B1DB1-Normal28"/>
              <w:spacing w:line="240" w:lineRule="auto"/>
              <w:jc w:val="center"/>
              <w:rPr>
                <w:noProof/>
              </w:rPr>
            </w:pPr>
            <w:r>
              <w:rPr>
                <w:noProof/>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1DB6DD3F" w14:textId="77777777" w:rsidR="00615E2D" w:rsidRDefault="00C83E46">
            <w:pPr>
              <w:pStyle w:val="P68B1DB1-Normal28"/>
              <w:spacing w:line="240" w:lineRule="auto"/>
              <w:jc w:val="center"/>
              <w:rPr>
                <w:noProof/>
              </w:rPr>
            </w:pPr>
            <w:r>
              <w:rPr>
                <w:noProof/>
              </w:rPr>
              <w:t>130 000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B5287E4" w14:textId="77777777" w:rsidR="00615E2D" w:rsidRDefault="00C83E46">
            <w:pPr>
              <w:pStyle w:val="P68B1DB1-Normal28"/>
              <w:spacing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7833ECAC" w14:textId="77777777"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7B0B812F" w14:textId="77777777" w:rsidR="00615E2D" w:rsidRDefault="00C83E46">
            <w:pPr>
              <w:pStyle w:val="P68B1DB1-Normal28"/>
              <w:pBdr>
                <w:top w:val="nil"/>
                <w:left w:val="nil"/>
                <w:bottom w:val="nil"/>
                <w:right w:val="nil"/>
                <w:between w:val="nil"/>
              </w:pBdr>
              <w:spacing w:after="0" w:line="259" w:lineRule="auto"/>
              <w:rPr>
                <w:noProof/>
              </w:rPr>
            </w:pPr>
            <w:r>
              <w:rPr>
                <w:noProof/>
              </w:rPr>
              <w:t>Najmanje 65000 osoba dobiva usavršavanje ili prekvalifikaciju u području digitalnih vještina. Osim toga, najmanje 65000 osoba mora dobiti usavršavanje ili prekvalifikaciju u vještinama potrebnima za industriju 4.0.</w:t>
            </w:r>
          </w:p>
          <w:p w14:paraId="0367EE46" w14:textId="4202FD6B" w:rsidR="00615E2D" w:rsidRDefault="00C83E46">
            <w:pPr>
              <w:pStyle w:val="P68B1DB1-Normal28"/>
              <w:spacing w:line="240" w:lineRule="auto"/>
              <w:rPr>
                <w:noProof/>
              </w:rPr>
            </w:pPr>
            <w:r>
              <w:rPr>
                <w:noProof/>
              </w:rPr>
              <w:t>Potpora usavršavanju i prekvalifikaciji pruža se putem češkog ureda rada ili putem osposobljavanja u poduzeću koje pružaju poslodavci ili strukovne, poslovne ili općinske udruge. Kriterijima odabira osigurava se davanje prednosti MSP-ovima i samozaposlenim osobama.</w:t>
            </w:r>
          </w:p>
        </w:tc>
      </w:tr>
      <w:tr w:rsidR="00615E2D" w14:paraId="1A8C1190"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EE34EBE" w14:textId="77777777" w:rsidR="00615E2D" w:rsidRDefault="00C83E46">
            <w:pPr>
              <w:pStyle w:val="P68B1DB1-Normal28"/>
              <w:spacing w:line="240" w:lineRule="auto"/>
              <w:jc w:val="center"/>
              <w:rPr>
                <w:noProof/>
              </w:rPr>
            </w:pPr>
            <w:r>
              <w:rPr>
                <w:noProof/>
              </w:rPr>
              <w:t>188</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5150B719" w14:textId="77777777" w:rsidR="00615E2D" w:rsidRDefault="00C83E46">
            <w:pPr>
              <w:pStyle w:val="P68B1DB1-Normal28"/>
              <w:spacing w:line="240" w:lineRule="auto"/>
              <w:rPr>
                <w:noProof/>
              </w:rPr>
            </w:pPr>
            <w:r>
              <w:rPr>
                <w:noProof/>
              </w:rPr>
              <w:t>Reforma 1.: Razvoj politika tržišta rada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08D1F63" w14:textId="77777777" w:rsidR="00615E2D" w:rsidRDefault="00C83E46">
            <w:pPr>
              <w:pStyle w:val="P68B1DB1-Normal28"/>
              <w:spacing w:line="240" w:lineRule="auto"/>
              <w:rPr>
                <w:noProof/>
              </w:rPr>
            </w:pPr>
            <w:r>
              <w:rPr>
                <w:noProof/>
              </w:rPr>
              <w:t>Ciljna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60F9E29E" w14:textId="77777777" w:rsidR="00615E2D" w:rsidRDefault="00C83E46">
            <w:pPr>
              <w:pStyle w:val="P68B1DB1-Normal28"/>
              <w:spacing w:line="240" w:lineRule="auto"/>
              <w:rPr>
                <w:noProof/>
              </w:rPr>
            </w:pPr>
            <w:r>
              <w:rPr>
                <w:noProof/>
              </w:rPr>
              <w:t>Broj regionalnih centara za osposobljavanje uspostavljenih radi promicanja industrije 4.0</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bottom"/>
          </w:tcPr>
          <w:p w14:paraId="6D77B671"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49EEE3C"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0263DE8" w14:textId="77777777" w:rsidR="00615E2D" w:rsidRDefault="00C83E46">
            <w:pPr>
              <w:pStyle w:val="P68B1DB1-Normal28"/>
              <w:spacing w:line="240" w:lineRule="auto"/>
              <w:jc w:val="center"/>
              <w:rPr>
                <w:noProof/>
              </w:rPr>
            </w:pPr>
            <w:r>
              <w:rPr>
                <w:noProof/>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5621930B" w14:textId="77777777" w:rsidR="00615E2D" w:rsidRDefault="00C83E46">
            <w:pPr>
              <w:pStyle w:val="P68B1DB1-Normal28"/>
              <w:spacing w:line="240" w:lineRule="auto"/>
              <w:jc w:val="center"/>
              <w:rPr>
                <w:noProof/>
              </w:rPr>
            </w:pPr>
            <w:r>
              <w:rPr>
                <w:noProof/>
              </w:rPr>
              <w:t>14</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6112FBD1" w14:textId="77777777" w:rsidR="00615E2D" w:rsidRDefault="00C83E46">
            <w:pPr>
              <w:pStyle w:val="P68B1DB1-Normal28"/>
              <w:spacing w:line="240" w:lineRule="auto"/>
              <w:jc w:val="center"/>
              <w:rPr>
                <w:rFonts w:eastAsia="Times New Roman"/>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30535B97" w14:textId="77777777"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8ED8175" w14:textId="77777777" w:rsidR="00615E2D" w:rsidRDefault="00C83E46">
            <w:pPr>
              <w:pStyle w:val="P68B1DB1-Normal28"/>
              <w:spacing w:after="0" w:line="240" w:lineRule="auto"/>
              <w:rPr>
                <w:noProof/>
              </w:rPr>
            </w:pPr>
            <w:r>
              <w:rPr>
                <w:noProof/>
              </w:rPr>
              <w:t>Mora se uspostaviti, opremiti i pustiti u rad najmanje 14 centara za osposobljavanje (jedan centar po regiji). Centre osniva Ured za rad. Opremljeni su za pružanje tečajeva usavršavanja i prekvalifikacije u području digitalnih vještina i vještina potrebnih za prijelaz na industriju 4.0., u suradnji s regionalnim strukovnim školama.</w:t>
            </w:r>
          </w:p>
        </w:tc>
      </w:tr>
      <w:tr w:rsidR="00615E2D" w14:paraId="1012CD2B" w14:textId="77777777">
        <w:trPr>
          <w:trHeight w:val="114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0A8A93AA" w14:textId="77777777" w:rsidR="00615E2D" w:rsidRDefault="00C83E46">
            <w:pPr>
              <w:pStyle w:val="P68B1DB1-Normal28"/>
              <w:spacing w:line="240" w:lineRule="auto"/>
              <w:jc w:val="center"/>
              <w:rPr>
                <w:noProof/>
              </w:rPr>
            </w:pPr>
            <w:r>
              <w:rPr>
                <w:noProof/>
              </w:rPr>
              <w:t>189</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014F85C7" w14:textId="77777777" w:rsidR="00615E2D" w:rsidRDefault="00C83E46">
            <w:pPr>
              <w:pStyle w:val="P68B1DB1-Normal28"/>
              <w:spacing w:line="240" w:lineRule="auto"/>
              <w:rPr>
                <w:noProof/>
              </w:rPr>
            </w:pPr>
            <w:r>
              <w:rPr>
                <w:noProof/>
              </w:rPr>
              <w:t>Ulaganje 2: Povećanje kapaciteta predškolskih ustanova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2CBCC6D" w14:textId="77777777" w:rsidR="00615E2D" w:rsidRDefault="00C83E46">
            <w:pPr>
              <w:pStyle w:val="P68B1DB1-Normal28"/>
              <w:spacing w:line="240" w:lineRule="auto"/>
              <w:rPr>
                <w:noProof/>
              </w:rPr>
            </w:pPr>
            <w:r>
              <w:rPr>
                <w:noProof/>
              </w:rPr>
              <w:t>Ciljna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3F6E6716" w14:textId="77777777" w:rsidR="00615E2D" w:rsidRDefault="00C83E46">
            <w:pPr>
              <w:pStyle w:val="P68B1DB1-Normal28"/>
              <w:spacing w:line="240" w:lineRule="auto"/>
              <w:rPr>
                <w:noProof/>
              </w:rPr>
            </w:pPr>
            <w:r>
              <w:rPr>
                <w:noProof/>
              </w:rPr>
              <w:t xml:space="preserve">Broj obnovljenih postojećih predškolskih ustanova </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bottom"/>
          </w:tcPr>
          <w:p w14:paraId="0975951B"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EE5E5AD"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4A918E1" w14:textId="77777777" w:rsidR="00615E2D" w:rsidRDefault="00C83E46">
            <w:pPr>
              <w:pStyle w:val="P68B1DB1-Normal28"/>
              <w:spacing w:line="240" w:lineRule="auto"/>
              <w:jc w:val="center"/>
              <w:rPr>
                <w:noProof/>
              </w:rPr>
            </w:pPr>
            <w:r>
              <w:rPr>
                <w:noProof/>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762C5377" w14:textId="77777777" w:rsidR="00615E2D" w:rsidRDefault="00C83E46">
            <w:pPr>
              <w:pStyle w:val="P68B1DB1-Normal12"/>
              <w:spacing w:line="240" w:lineRule="auto"/>
              <w:jc w:val="center"/>
              <w:rPr>
                <w:noProof/>
                <w:color w:val="006100"/>
              </w:rPr>
            </w:pPr>
            <w:r>
              <w:rPr>
                <w:noProof/>
                <w:color w:val="006100"/>
              </w:rPr>
              <w:t>333</w:t>
            </w:r>
            <w:r>
              <w:rPr>
                <w:noProof/>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D8AF35E" w14:textId="153BA44E" w:rsidR="00615E2D" w:rsidRDefault="00C83E46">
            <w:pPr>
              <w:pStyle w:val="P68B1DB1-Normal12"/>
              <w:spacing w:line="240" w:lineRule="auto"/>
              <w:jc w:val="center"/>
              <w:rPr>
                <w:rFonts w:eastAsia="Times New Roman"/>
                <w:noProof/>
              </w:rPr>
            </w:pPr>
            <w:r>
              <w:rPr>
                <w:noProof/>
              </w:rPr>
              <w:t xml:space="preserve">  </w:t>
            </w:r>
            <w:r>
              <w:rPr>
                <w:noProof/>
                <w:color w:val="006100"/>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76A72FCB" w14:textId="2C1AF15F"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6E16600" w14:textId="1BB14506" w:rsidR="00615E2D" w:rsidRDefault="00C83E46">
            <w:pPr>
              <w:pStyle w:val="P68B1DB1-Normal28"/>
              <w:spacing w:after="0" w:line="240" w:lineRule="auto"/>
              <w:rPr>
                <w:noProof/>
              </w:rPr>
            </w:pPr>
            <w:r>
              <w:rPr>
                <w:noProof/>
              </w:rPr>
              <w:t>Od općeg cilja obnove 370 objekata najmanje 333 preuređeno je kako bi se uskladilo s novim tehničkim standardima utvrđenima izmjenom Zakona br. 247/2014 o pružanju usluga skrbi o djeci u dječjoj skupini (Zakon o dječjoj skupini) ili kako bi se povećao kapacitet.</w:t>
            </w:r>
          </w:p>
        </w:tc>
      </w:tr>
      <w:tr w:rsidR="00615E2D" w14:paraId="7038B17E"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3C55A2D1" w14:textId="77777777" w:rsidR="00615E2D" w:rsidRDefault="00C83E46">
            <w:pPr>
              <w:pStyle w:val="P68B1DB1-Normal28"/>
              <w:spacing w:line="240" w:lineRule="auto"/>
              <w:jc w:val="center"/>
              <w:rPr>
                <w:noProof/>
              </w:rPr>
            </w:pPr>
            <w:r>
              <w:rPr>
                <w:noProof/>
              </w:rPr>
              <w:t>190</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3C540E9B" w14:textId="77777777" w:rsidR="00615E2D" w:rsidRDefault="00C83E46">
            <w:pPr>
              <w:pStyle w:val="P68B1DB1-Normal28"/>
              <w:spacing w:line="240" w:lineRule="auto"/>
              <w:rPr>
                <w:noProof/>
              </w:rPr>
            </w:pPr>
            <w:r>
              <w:rPr>
                <w:noProof/>
              </w:rPr>
              <w:t>Ulaganje 2: Povećanje kapaciteta predškolskih ustanova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FC1329C" w14:textId="77777777" w:rsidR="00615E2D" w:rsidRDefault="00C83E46">
            <w:pPr>
              <w:pStyle w:val="P68B1DB1-Normal28"/>
              <w:spacing w:line="240" w:lineRule="auto"/>
              <w:rPr>
                <w:noProof/>
              </w:rPr>
            </w:pPr>
            <w:r>
              <w:rPr>
                <w:noProof/>
              </w:rPr>
              <w:t>Ciljna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31BF96DD" w14:textId="77777777" w:rsidR="00615E2D" w:rsidRDefault="00C83E46">
            <w:pPr>
              <w:pStyle w:val="P68B1DB1-Normal28"/>
              <w:spacing w:line="240" w:lineRule="auto"/>
              <w:rPr>
                <w:noProof/>
              </w:rPr>
            </w:pPr>
            <w:r>
              <w:rPr>
                <w:noProof/>
              </w:rPr>
              <w:t xml:space="preserve">Broj novih predškolskih ustanova </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E0B706F"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7E50520"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8027C4E" w14:textId="77777777" w:rsidR="00615E2D" w:rsidRDefault="00C83E46">
            <w:pPr>
              <w:pStyle w:val="P68B1DB1-Normal28"/>
              <w:spacing w:line="240" w:lineRule="auto"/>
              <w:jc w:val="center"/>
              <w:rPr>
                <w:noProof/>
              </w:rPr>
            </w:pPr>
            <w:r>
              <w:rPr>
                <w:noProof/>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4267BAD1" w14:textId="77777777" w:rsidR="00615E2D" w:rsidRDefault="00C83E46">
            <w:pPr>
              <w:pStyle w:val="P68B1DB1-Normal12"/>
              <w:spacing w:line="240" w:lineRule="auto"/>
              <w:jc w:val="center"/>
              <w:rPr>
                <w:noProof/>
                <w:color w:val="006100"/>
              </w:rPr>
            </w:pPr>
            <w:r>
              <w:rPr>
                <w:noProof/>
                <w:color w:val="006100"/>
              </w:rPr>
              <w:t>391</w:t>
            </w:r>
            <w:r>
              <w:rPr>
                <w:noProof/>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076AEC8" w14:textId="20AA835C" w:rsidR="00615E2D" w:rsidRDefault="00C83E46">
            <w:pPr>
              <w:pStyle w:val="P68B1DB1-Normal12"/>
              <w:spacing w:line="240" w:lineRule="auto"/>
              <w:jc w:val="center"/>
              <w:rPr>
                <w:rFonts w:eastAsia="Times New Roman"/>
                <w:noProof/>
              </w:rPr>
            </w:pPr>
            <w:r>
              <w:rPr>
                <w:noProof/>
              </w:rPr>
              <w:t xml:space="preserve">  </w:t>
            </w:r>
            <w:r>
              <w:rPr>
                <w:noProof/>
                <w:color w:val="006100"/>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041BF3BE" w14:textId="487E1C97"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03856D9" w14:textId="4ADAA7E9" w:rsidR="00615E2D" w:rsidRDefault="00C83E46">
            <w:pPr>
              <w:pStyle w:val="P68B1DB1-Normal12"/>
              <w:spacing w:after="0" w:line="240" w:lineRule="auto"/>
              <w:rPr>
                <w:noProof/>
                <w:color w:val="006100"/>
              </w:rPr>
            </w:pPr>
            <w:r>
              <w:rPr>
                <w:noProof/>
                <w:color w:val="006100"/>
              </w:rPr>
              <w:t>Od općeg cilja uspostave 435 novih rasadnika, najmanje 391 stvara se izgradnjom novih zgrada i obnovom postojećih zgrada.</w:t>
            </w:r>
            <w:r>
              <w:rPr>
                <w:rFonts w:eastAsia="Times New Roman"/>
                <w:noProof/>
              </w:rPr>
              <w:t xml:space="preserve"> Najmanje</w:t>
            </w:r>
            <w:r>
              <w:rPr>
                <w:noProof/>
                <w:color w:val="006100"/>
              </w:rPr>
              <w:t>176 obnova rasadnika mora postići uštedu primarne energije od najmanje 30 % ili smanjenje izravnih i neizravnih emisija stakleničkih plinova za najmanje 30 % i najmanje 98 novih zgrada s potražnjom za primarnom energijom za najmanje 20 % ispod zahtjeva za zgrade gotovo nulte energije.</w:t>
            </w:r>
          </w:p>
          <w:p w14:paraId="41AD67E0" w14:textId="2404F5C7" w:rsidR="00615E2D" w:rsidRDefault="00C83E46">
            <w:pPr>
              <w:pStyle w:val="P68B1DB1-Normal28"/>
              <w:numPr>
                <w:ilvl w:val="0"/>
                <w:numId w:val="196"/>
              </w:numPr>
              <w:pBdr>
                <w:top w:val="nil"/>
                <w:left w:val="nil"/>
                <w:bottom w:val="nil"/>
                <w:right w:val="nil"/>
                <w:between w:val="nil"/>
              </w:pBdr>
              <w:spacing w:after="0" w:line="259" w:lineRule="auto"/>
              <w:rPr>
                <w:noProof/>
              </w:rPr>
            </w:pPr>
            <w:r>
              <w:rPr>
                <w:noProof/>
              </w:rPr>
              <w:t xml:space="preserve">Nadalje, za pozive na podnošenje prijedloga za projekte koji ispunjavaju taj cilj potrebno je jedno ili više od sljedećeg: Ulaganje uključuje korištenje bespovratnih sredstava kako slijedi: Projekti su nove zgrade u kojima je potražnja za primarnom energijom najmanje 20 % niža od zahtjeva za zgrade gotovo nulte energije. </w:t>
            </w:r>
          </w:p>
          <w:p w14:paraId="3476D5EA" w14:textId="09E5AE47" w:rsidR="00615E2D" w:rsidRDefault="00C83E46">
            <w:pPr>
              <w:pStyle w:val="P68B1DB1-Normal28"/>
              <w:numPr>
                <w:ilvl w:val="0"/>
                <w:numId w:val="196"/>
              </w:numPr>
              <w:pBdr>
                <w:top w:val="nil"/>
                <w:left w:val="nil"/>
                <w:bottom w:val="nil"/>
                <w:right w:val="nil"/>
                <w:between w:val="nil"/>
              </w:pBdr>
              <w:spacing w:after="0" w:line="259" w:lineRule="auto"/>
              <w:rPr>
                <w:noProof/>
              </w:rPr>
            </w:pPr>
            <w:r>
              <w:rPr>
                <w:noProof/>
              </w:rPr>
              <w:t>Projekti su obnove kojima se u prosjeku postiže ušteda primarne energije od najmanje 30 % ili smanjenje izravnih i neizravnih emisija stakleničkih plinova za najmanje 30 %.</w:t>
            </w:r>
          </w:p>
          <w:p w14:paraId="4DF94E2B" w14:textId="4B5B9A28" w:rsidR="00615E2D" w:rsidRDefault="00C83E46">
            <w:pPr>
              <w:pStyle w:val="P68B1DB1-Normal28"/>
              <w:numPr>
                <w:ilvl w:val="0"/>
                <w:numId w:val="196"/>
              </w:numPr>
              <w:pBdr>
                <w:top w:val="nil"/>
                <w:left w:val="nil"/>
                <w:bottom w:val="nil"/>
                <w:right w:val="nil"/>
                <w:between w:val="nil"/>
              </w:pBdr>
              <w:spacing w:after="0" w:line="259" w:lineRule="auto"/>
              <w:rPr>
                <w:noProof/>
              </w:rPr>
            </w:pPr>
            <w:r>
              <w:rPr>
                <w:noProof/>
              </w:rPr>
              <w:t xml:space="preserve">Projekti su druge obnove radi povećanja energetske učinkovitosti. </w:t>
            </w:r>
          </w:p>
        </w:tc>
      </w:tr>
      <w:tr w:rsidR="00615E2D" w14:paraId="0363E3B4"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9FE21DD" w14:textId="77777777" w:rsidR="00615E2D" w:rsidRDefault="00C83E46">
            <w:pPr>
              <w:pStyle w:val="P68B1DB1-Normal28"/>
              <w:spacing w:line="240" w:lineRule="auto"/>
              <w:jc w:val="center"/>
              <w:rPr>
                <w:noProof/>
              </w:rPr>
            </w:pPr>
            <w:r>
              <w:rPr>
                <w:noProof/>
              </w:rPr>
              <w:t>191</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3565F520" w14:textId="77777777" w:rsidR="00615E2D" w:rsidRDefault="00C83E46">
            <w:pPr>
              <w:pStyle w:val="P68B1DB1-Normal28"/>
              <w:spacing w:line="240" w:lineRule="auto"/>
              <w:rPr>
                <w:noProof/>
              </w:rPr>
            </w:pPr>
            <w:r>
              <w:rPr>
                <w:noProof/>
              </w:rPr>
              <w:t>Ulaganje 2: Povećanje kapaciteta predškolskih ustanova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3799E4D" w14:textId="77777777" w:rsidR="00615E2D" w:rsidRDefault="00C83E46">
            <w:pPr>
              <w:pStyle w:val="P68B1DB1-Normal28"/>
              <w:spacing w:line="240" w:lineRule="auto"/>
              <w:rPr>
                <w:noProof/>
              </w:rPr>
            </w:pPr>
            <w:r>
              <w:rPr>
                <w:noProof/>
              </w:rPr>
              <w:t xml:space="preserve">Ciljna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0BBAA301" w14:textId="77777777" w:rsidR="00615E2D" w:rsidRDefault="00C83E46">
            <w:pPr>
              <w:pStyle w:val="P68B1DB1-Normal28"/>
              <w:spacing w:line="240" w:lineRule="auto"/>
              <w:rPr>
                <w:noProof/>
              </w:rPr>
            </w:pPr>
            <w:r>
              <w:rPr>
                <w:noProof/>
              </w:rPr>
              <w:t>Broj novih mjesta u predškolskim ustanovama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20C053A"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2314DD2"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88363A1" w14:textId="77777777" w:rsidR="00615E2D" w:rsidRDefault="00C83E46">
            <w:pPr>
              <w:pStyle w:val="P68B1DB1-Normal28"/>
              <w:spacing w:line="240" w:lineRule="auto"/>
              <w:jc w:val="center"/>
              <w:rPr>
                <w:noProof/>
              </w:rPr>
            </w:pPr>
            <w:r>
              <w:rPr>
                <w:noProof/>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1391F886" w14:textId="77777777" w:rsidR="00615E2D" w:rsidRDefault="00C83E46">
            <w:pPr>
              <w:pStyle w:val="P68B1DB1-Normal28"/>
              <w:spacing w:line="240" w:lineRule="auto"/>
              <w:jc w:val="center"/>
              <w:rPr>
                <w:noProof/>
              </w:rPr>
            </w:pPr>
            <w:r>
              <w:rPr>
                <w:noProof/>
              </w:rPr>
              <w:t>7430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61F7E8C5" w14:textId="1435CB7F" w:rsidR="00615E2D" w:rsidRDefault="00C83E46">
            <w:pPr>
              <w:pStyle w:val="P68B1DB1-Normal12"/>
              <w:spacing w:line="240" w:lineRule="auto"/>
              <w:jc w:val="center"/>
              <w:rPr>
                <w:noProof/>
                <w:color w:val="006100"/>
              </w:rPr>
            </w:pPr>
            <w:r>
              <w:rPr>
                <w:noProof/>
              </w:rPr>
              <w:t xml:space="preserve">  </w:t>
            </w:r>
            <w:r>
              <w:rPr>
                <w:noProof/>
                <w:color w:val="006100"/>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7EA9C154" w14:textId="6ECC8E3E"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16AA5B5" w14:textId="77777777" w:rsidR="00615E2D" w:rsidRDefault="00C83E46">
            <w:pPr>
              <w:pStyle w:val="P68B1DB1-Normal28"/>
              <w:spacing w:after="0" w:line="259" w:lineRule="auto"/>
              <w:contextualSpacing/>
              <w:rPr>
                <w:noProof/>
              </w:rPr>
            </w:pPr>
            <w:r>
              <w:rPr>
                <w:noProof/>
              </w:rPr>
              <w:t xml:space="preserve">Otvaranje najmanje 7430 novih mjesta u predškolskim ustanovama za djecu mlađu od tri godine. Ti instrumenti razlikuju se od instrumenata koji se financiraju iz drugih programa financiranja Unije. </w:t>
            </w:r>
          </w:p>
        </w:tc>
      </w:tr>
      <w:tr w:rsidR="00615E2D" w14:paraId="74F3B1F4"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2A2326CA" w14:textId="77777777" w:rsidR="00615E2D" w:rsidRDefault="00C83E46">
            <w:pPr>
              <w:pStyle w:val="P68B1DB1-Normal28"/>
              <w:spacing w:line="240" w:lineRule="auto"/>
              <w:jc w:val="center"/>
              <w:rPr>
                <w:noProof/>
              </w:rPr>
            </w:pPr>
            <w:r>
              <w:rPr>
                <w:noProof/>
              </w:rPr>
              <w:t>192</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2193E847" w14:textId="77777777" w:rsidR="00615E2D" w:rsidRDefault="00C83E46">
            <w:pPr>
              <w:pStyle w:val="P68B1DB1-Normal28"/>
              <w:spacing w:line="240" w:lineRule="auto"/>
              <w:rPr>
                <w:noProof/>
              </w:rPr>
            </w:pPr>
            <w:r>
              <w:rPr>
                <w:noProof/>
              </w:rPr>
              <w:t xml:space="preserve">Reforma br. 2: Osiguravanje održivosti financiranja ustanova za skrb o djeci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242BDEA" w14:textId="77777777" w:rsidR="00615E2D" w:rsidRDefault="00C83E46">
            <w:pPr>
              <w:pStyle w:val="P68B1DB1-Normal28"/>
              <w:spacing w:line="240" w:lineRule="auto"/>
              <w:rPr>
                <w:noProof/>
              </w:rPr>
            </w:pPr>
            <w:r>
              <w:rPr>
                <w:noProof/>
              </w:rPr>
              <w:t xml:space="preserve">Prekretnica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157C96D9" w14:textId="331A1A80" w:rsidR="00615E2D" w:rsidRDefault="00C83E46">
            <w:pPr>
              <w:pStyle w:val="P68B1DB1-Normal28"/>
              <w:spacing w:line="240" w:lineRule="auto"/>
              <w:rPr>
                <w:noProof/>
              </w:rPr>
            </w:pPr>
            <w:r>
              <w:rPr>
                <w:noProof/>
              </w:rPr>
              <w:t xml:space="preserve">Stupanje na snagu zakona o skrbi o djeci (izmjena Zakona br. 247/2014 o pružanju usluga skrbi o djeci u dječjoj skupini) </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67B3B854" w14:textId="0B775DCB" w:rsidR="00615E2D" w:rsidRDefault="00C83E46">
            <w:pPr>
              <w:pStyle w:val="P68B1DB1-Normal28"/>
              <w:spacing w:line="240" w:lineRule="auto"/>
              <w:rPr>
                <w:noProof/>
              </w:rPr>
            </w:pPr>
            <w:r>
              <w:rPr>
                <w:noProof/>
              </w:rPr>
              <w:t>Odredba u Zakonu o skrbi o djeci (izmjena Zakona br. 247/2014 o pružanju usluga skrbi o djeci u dječjoj skupini) u kojoj se navodi stupanje na snagu zakona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4B362E0"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0E52EF4"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1346F89F" w14:textId="77777777" w:rsidR="00615E2D" w:rsidRDefault="00615E2D">
            <w:pPr>
              <w:spacing w:line="240" w:lineRule="auto"/>
              <w:jc w:val="center"/>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4BCA529" w14:textId="77777777" w:rsidR="00615E2D" w:rsidRDefault="00C83E46">
            <w:pPr>
              <w:pStyle w:val="P68B1DB1-Normal12"/>
              <w:spacing w:line="240" w:lineRule="auto"/>
              <w:jc w:val="center"/>
              <w:rPr>
                <w:noProof/>
                <w:color w:val="006100"/>
              </w:rPr>
            </w:pPr>
            <w:r>
              <w:rPr>
                <w:noProof/>
              </w:rPr>
              <w:t xml:space="preserve">  </w:t>
            </w:r>
            <w:r>
              <w:rPr>
                <w:noProof/>
                <w:color w:val="006100"/>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7418CE9D" w14:textId="77777777" w:rsidR="00615E2D" w:rsidRDefault="00C83E46">
            <w:pPr>
              <w:pStyle w:val="P68B1DB1-Normal28"/>
              <w:spacing w:line="240" w:lineRule="auto"/>
              <w:jc w:val="center"/>
              <w:rPr>
                <w:noProof/>
              </w:rPr>
            </w:pPr>
            <w:r>
              <w:rPr>
                <w:noProof/>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76BB4A21" w14:textId="7D55FE8C" w:rsidR="00615E2D" w:rsidRDefault="00C83E46">
            <w:pPr>
              <w:pStyle w:val="P68B1DB1-Normal28"/>
              <w:spacing w:after="0" w:line="240" w:lineRule="auto"/>
              <w:rPr>
                <w:noProof/>
              </w:rPr>
            </w:pPr>
            <w:r>
              <w:rPr>
                <w:noProof/>
              </w:rPr>
              <w:t xml:space="preserve">Zakon o predškolskoj skrbi o djeci (izmjena Zakona br. 247/2014 o pružanju usluga skrbi o djeci u dječjoj skupini) </w:t>
            </w:r>
          </w:p>
          <w:p w14:paraId="0A17BFD0" w14:textId="77777777" w:rsidR="00615E2D" w:rsidRDefault="00C83E46">
            <w:pPr>
              <w:pStyle w:val="P68B1DB1-Normal28"/>
              <w:numPr>
                <w:ilvl w:val="0"/>
                <w:numId w:val="180"/>
              </w:numPr>
              <w:pBdr>
                <w:top w:val="nil"/>
                <w:left w:val="nil"/>
                <w:bottom w:val="nil"/>
                <w:right w:val="nil"/>
                <w:between w:val="nil"/>
              </w:pBdr>
              <w:spacing w:after="0" w:line="259" w:lineRule="auto"/>
              <w:rPr>
                <w:noProof/>
              </w:rPr>
            </w:pPr>
            <w:r>
              <w:rPr>
                <w:noProof/>
              </w:rPr>
              <w:t xml:space="preserve">osigurati stabilno financiranje predškolskih ustanova za djecu mlađu od tri godine </w:t>
            </w:r>
          </w:p>
          <w:p w14:paraId="4C2650B9" w14:textId="77777777" w:rsidR="00615E2D" w:rsidRDefault="00C83E46">
            <w:pPr>
              <w:pStyle w:val="P68B1DB1-Normal28"/>
              <w:numPr>
                <w:ilvl w:val="0"/>
                <w:numId w:val="180"/>
              </w:numPr>
              <w:spacing w:line="240" w:lineRule="auto"/>
              <w:rPr>
                <w:noProof/>
              </w:rPr>
            </w:pPr>
            <w:r>
              <w:rPr>
                <w:noProof/>
              </w:rPr>
              <w:t>cilj je osigurati pristup cjenovno pristupačnoj skrbi za djecu mlađu od tri godine u svim regijama.</w:t>
            </w:r>
          </w:p>
        </w:tc>
      </w:tr>
      <w:tr w:rsidR="00615E2D" w14:paraId="396E4D3A"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3FEDB4C" w14:textId="77777777" w:rsidR="00615E2D" w:rsidRDefault="00C83E46">
            <w:pPr>
              <w:pStyle w:val="P68B1DB1-Normal28"/>
              <w:spacing w:line="240" w:lineRule="auto"/>
              <w:jc w:val="center"/>
              <w:rPr>
                <w:noProof/>
              </w:rPr>
            </w:pPr>
            <w:r>
              <w:rPr>
                <w:noProof/>
              </w:rPr>
              <w:t>193</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232FBD9D" w14:textId="77777777" w:rsidR="00615E2D" w:rsidRDefault="00C83E46">
            <w:pPr>
              <w:pStyle w:val="P68B1DB1-Normal28"/>
              <w:spacing w:line="240" w:lineRule="auto"/>
              <w:rPr>
                <w:noProof/>
              </w:rPr>
            </w:pPr>
            <w:r>
              <w:rPr>
                <w:noProof/>
              </w:rPr>
              <w:t>Reforma 3.: Reforma dugotrajne skrbi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98A030D" w14:textId="77777777" w:rsidR="00615E2D" w:rsidRDefault="00C83E46">
            <w:pPr>
              <w:pStyle w:val="P68B1DB1-Normal28"/>
              <w:spacing w:line="240" w:lineRule="auto"/>
              <w:rPr>
                <w:noProof/>
              </w:rPr>
            </w:pPr>
            <w:r>
              <w:rPr>
                <w:noProof/>
              </w:rPr>
              <w:t xml:space="preserve">Prekretnica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3EA413D1" w14:textId="77777777" w:rsidR="00615E2D" w:rsidRDefault="00C83E46">
            <w:pPr>
              <w:pStyle w:val="P68B1DB1-Normal28"/>
              <w:spacing w:line="240" w:lineRule="auto"/>
              <w:rPr>
                <w:noProof/>
              </w:rPr>
            </w:pPr>
            <w:r>
              <w:rPr>
                <w:noProof/>
              </w:rPr>
              <w:t>Stupanje na snagu zakona o dugotrajnoj skrbi</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379909C6" w14:textId="77777777" w:rsidR="00615E2D" w:rsidRDefault="00C83E46">
            <w:pPr>
              <w:pStyle w:val="P68B1DB1-Normal28"/>
              <w:spacing w:line="240" w:lineRule="auto"/>
              <w:rPr>
                <w:noProof/>
              </w:rPr>
            </w:pPr>
            <w:r>
              <w:rPr>
                <w:noProof/>
              </w:rPr>
              <w:t>Odredba u Zakonu o dugotrajnoj skrbi u kojoj se navodi stupanje na snagu zakona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518CA66"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31959E3"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1E9A2119" w14:textId="77777777" w:rsidR="00615E2D" w:rsidRDefault="00615E2D">
            <w:pPr>
              <w:spacing w:line="240" w:lineRule="auto"/>
              <w:jc w:val="center"/>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9F48870" w14:textId="77183AD2" w:rsidR="00615E2D" w:rsidRDefault="00C83E46">
            <w:pPr>
              <w:pStyle w:val="P68B1DB1-Normal12"/>
              <w:spacing w:line="240" w:lineRule="auto"/>
              <w:jc w:val="center"/>
              <w:rPr>
                <w:noProof/>
                <w:color w:val="006100"/>
              </w:rPr>
            </w:pPr>
            <w:r>
              <w:rPr>
                <w:noProof/>
              </w:rPr>
              <w:t xml:space="preserve"> </w:t>
            </w:r>
            <w:r>
              <w:rPr>
                <w:noProof/>
                <w:color w:val="006100"/>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5522E7AF" w14:textId="33487DD8" w:rsidR="00615E2D" w:rsidRDefault="00C83E46">
            <w:pPr>
              <w:pStyle w:val="P68B1DB1-Normal28"/>
              <w:spacing w:line="240" w:lineRule="auto"/>
              <w:jc w:val="center"/>
              <w:rPr>
                <w:noProof/>
              </w:rPr>
            </w:pPr>
            <w:r>
              <w:rPr>
                <w:noProof/>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371F0ADA" w14:textId="77777777" w:rsidR="00615E2D" w:rsidRDefault="00C83E46">
            <w:pPr>
              <w:pStyle w:val="P68B1DB1-Normal28"/>
              <w:spacing w:after="0" w:line="240" w:lineRule="auto"/>
              <w:rPr>
                <w:noProof/>
              </w:rPr>
            </w:pPr>
            <w:r>
              <w:rPr>
                <w:noProof/>
              </w:rPr>
              <w:t xml:space="preserve">Zakon o dugotrajnoj skrbi </w:t>
            </w:r>
          </w:p>
          <w:p w14:paraId="3CF024B6" w14:textId="77777777" w:rsidR="00615E2D" w:rsidRDefault="00C83E46">
            <w:pPr>
              <w:pStyle w:val="P68B1DB1-Normal28"/>
              <w:numPr>
                <w:ilvl w:val="0"/>
                <w:numId w:val="181"/>
              </w:numPr>
              <w:pBdr>
                <w:top w:val="nil"/>
                <w:left w:val="nil"/>
                <w:bottom w:val="nil"/>
                <w:right w:val="nil"/>
                <w:between w:val="nil"/>
              </w:pBdr>
              <w:spacing w:after="0" w:line="259" w:lineRule="auto"/>
              <w:rPr>
                <w:noProof/>
              </w:rPr>
            </w:pPr>
            <w:r>
              <w:rPr>
                <w:noProof/>
              </w:rPr>
              <w:t xml:space="preserve">kojima se nastoji integrirati dugotrajna zdravstvena i socijalna skrb; </w:t>
            </w:r>
          </w:p>
          <w:p w14:paraId="63BD39F3" w14:textId="77777777" w:rsidR="00615E2D" w:rsidRDefault="00C83E46">
            <w:pPr>
              <w:pStyle w:val="P68B1DB1-Normal28"/>
              <w:numPr>
                <w:ilvl w:val="0"/>
                <w:numId w:val="181"/>
              </w:numPr>
              <w:pBdr>
                <w:top w:val="nil"/>
                <w:left w:val="nil"/>
                <w:bottom w:val="nil"/>
                <w:right w:val="nil"/>
                <w:between w:val="nil"/>
              </w:pBdr>
              <w:spacing w:after="0" w:line="259" w:lineRule="auto"/>
              <w:rPr>
                <w:noProof/>
              </w:rPr>
            </w:pPr>
            <w:r>
              <w:rPr>
                <w:noProof/>
              </w:rPr>
              <w:t>osigurati visoke standarde kvalitete za sve vrste usluga dugotrajne skrbi;</w:t>
            </w:r>
          </w:p>
          <w:p w14:paraId="6D650554" w14:textId="77777777" w:rsidR="00615E2D" w:rsidRDefault="00C83E46">
            <w:pPr>
              <w:pStyle w:val="P68B1DB1-Normal28"/>
              <w:numPr>
                <w:ilvl w:val="0"/>
                <w:numId w:val="181"/>
              </w:numPr>
              <w:pBdr>
                <w:top w:val="nil"/>
                <w:left w:val="nil"/>
                <w:bottom w:val="nil"/>
                <w:right w:val="nil"/>
                <w:between w:val="nil"/>
              </w:pBdr>
              <w:spacing w:after="0" w:line="259" w:lineRule="auto"/>
              <w:rPr>
                <w:noProof/>
              </w:rPr>
            </w:pPr>
            <w:r>
              <w:rPr>
                <w:noProof/>
              </w:rPr>
              <w:t>promicanje skrbi u zajednici i kućne njege kojima se osigurava samostalan život u prirodnom okruženju;</w:t>
            </w:r>
          </w:p>
          <w:p w14:paraId="578A507D" w14:textId="77777777" w:rsidR="00615E2D" w:rsidRDefault="00C83E46">
            <w:pPr>
              <w:pStyle w:val="P68B1DB1-Normal28"/>
              <w:numPr>
                <w:ilvl w:val="0"/>
                <w:numId w:val="181"/>
              </w:numPr>
              <w:pBdr>
                <w:top w:val="nil"/>
                <w:left w:val="nil"/>
                <w:bottom w:val="nil"/>
                <w:right w:val="nil"/>
                <w:between w:val="nil"/>
              </w:pBdr>
              <w:spacing w:after="0" w:line="259" w:lineRule="auto"/>
              <w:rPr>
                <w:noProof/>
              </w:rPr>
            </w:pPr>
            <w:r>
              <w:rPr>
                <w:noProof/>
              </w:rPr>
              <w:t>osigurati stabilan sustav odgovarajućeg financiranja usluga dugotrajne skrbi, među ostalim za skrb u zajednici i kućnu njegu;</w:t>
            </w:r>
          </w:p>
          <w:p w14:paraId="703EB7AE" w14:textId="77777777" w:rsidR="00615E2D" w:rsidRDefault="00C83E46">
            <w:pPr>
              <w:pStyle w:val="P68B1DB1-Normal28"/>
              <w:numPr>
                <w:ilvl w:val="0"/>
                <w:numId w:val="181"/>
              </w:numPr>
              <w:pBdr>
                <w:top w:val="nil"/>
                <w:left w:val="nil"/>
                <w:bottom w:val="nil"/>
                <w:right w:val="nil"/>
                <w:between w:val="nil"/>
              </w:pBdr>
              <w:spacing w:after="0" w:line="259" w:lineRule="auto"/>
              <w:rPr>
                <w:i/>
                <w:noProof/>
              </w:rPr>
            </w:pPr>
            <w:r>
              <w:rPr>
                <w:noProof/>
              </w:rPr>
              <w:t>definirati pravila za praćenje kvalitete skrbi, zahtjeve za osoblje (uključujući kvalifikacije) i opremu;</w:t>
            </w:r>
          </w:p>
          <w:p w14:paraId="31197A1C" w14:textId="77777777" w:rsidR="00615E2D" w:rsidRDefault="00C83E46">
            <w:pPr>
              <w:pStyle w:val="P68B1DB1-Normal28"/>
              <w:numPr>
                <w:ilvl w:val="0"/>
                <w:numId w:val="181"/>
              </w:numPr>
              <w:pBdr>
                <w:top w:val="nil"/>
                <w:left w:val="nil"/>
                <w:bottom w:val="nil"/>
                <w:right w:val="nil"/>
                <w:between w:val="nil"/>
              </w:pBdr>
              <w:spacing w:after="0" w:line="259" w:lineRule="auto"/>
              <w:rPr>
                <w:i/>
                <w:noProof/>
              </w:rPr>
            </w:pPr>
            <w:r>
              <w:rPr>
                <w:noProof/>
              </w:rPr>
              <w:t>omogućiti pristup privatnim pružateljima dugotrajne skrbi uz primjenu istih pravila i standarda kvalitete na sve pružatelje usluga.</w:t>
            </w:r>
          </w:p>
        </w:tc>
      </w:tr>
      <w:tr w:rsidR="00615E2D" w14:paraId="34384F60" w14:textId="77777777">
        <w:trPr>
          <w:trHeight w:val="19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79587BB" w14:textId="77777777" w:rsidR="00615E2D" w:rsidRDefault="00C83E46">
            <w:pPr>
              <w:pStyle w:val="P68B1DB1-Normal28"/>
              <w:spacing w:line="240" w:lineRule="auto"/>
              <w:jc w:val="center"/>
              <w:rPr>
                <w:noProof/>
              </w:rPr>
            </w:pPr>
            <w:r>
              <w:rPr>
                <w:noProof/>
              </w:rPr>
              <w:t>194</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1E84ECB9" w14:textId="77777777" w:rsidR="00615E2D" w:rsidRDefault="00C83E46">
            <w:pPr>
              <w:pStyle w:val="P68B1DB1-Normal28"/>
              <w:spacing w:line="240" w:lineRule="auto"/>
              <w:rPr>
                <w:noProof/>
              </w:rPr>
            </w:pPr>
            <w:r>
              <w:rPr>
                <w:noProof/>
              </w:rPr>
              <w:t>Ulaganje 3: Razvoj i modernizacija infrastrukture socijalne skrbi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C7A3C3D" w14:textId="77777777" w:rsidR="00615E2D" w:rsidRDefault="00C83E46">
            <w:pPr>
              <w:pStyle w:val="P68B1DB1-Normal28"/>
              <w:spacing w:line="240" w:lineRule="auto"/>
              <w:rPr>
                <w:noProof/>
              </w:rPr>
            </w:pPr>
            <w:r>
              <w:rPr>
                <w:noProof/>
              </w:rPr>
              <w:t>Ciljna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2865D17E" w14:textId="68383A0B" w:rsidR="00615E2D" w:rsidRDefault="00C83E46">
            <w:pPr>
              <w:pStyle w:val="P68B1DB1-Normal28"/>
              <w:spacing w:line="240" w:lineRule="auto"/>
              <w:rPr>
                <w:noProof/>
              </w:rPr>
            </w:pPr>
            <w:r>
              <w:rPr>
                <w:noProof/>
              </w:rPr>
              <w:t>T1: Broj izgrađenih ili obnovljenih objekata za smještaj, izvanbolnički smještaj, informiranje, prevenciju i savjetovanje u zajednici</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6522A6D0"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D6663CF" w14:textId="77777777" w:rsidR="00615E2D" w:rsidRDefault="00C83E46">
            <w:pPr>
              <w:pStyle w:val="P68B1DB1-Normal28"/>
              <w:spacing w:line="240" w:lineRule="auto"/>
              <w:rPr>
                <w:noProof/>
              </w:rPr>
            </w:pPr>
            <w:r>
              <w:rPr>
                <w:noProof/>
              </w:rPr>
              <w:t>Broj objekata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C0FEBC4" w14:textId="77777777" w:rsidR="00615E2D" w:rsidRDefault="00C83E46">
            <w:pPr>
              <w:pStyle w:val="P68B1DB1-Normal28"/>
              <w:spacing w:line="240" w:lineRule="auto"/>
              <w:jc w:val="center"/>
              <w:rPr>
                <w:noProof/>
              </w:rPr>
            </w:pPr>
            <w:r>
              <w:rPr>
                <w:noProof/>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69D4A9DF" w14:textId="5017A923" w:rsidR="00615E2D" w:rsidRDefault="00C83E46">
            <w:pPr>
              <w:pStyle w:val="P68B1DB1-Normal28"/>
              <w:spacing w:line="240" w:lineRule="auto"/>
              <w:jc w:val="center"/>
              <w:rPr>
                <w:noProof/>
              </w:rPr>
            </w:pPr>
            <w:r>
              <w:rPr>
                <w:noProof/>
              </w:rPr>
              <w:t>94</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E85D0E4" w14:textId="77777777" w:rsidR="00615E2D" w:rsidRDefault="00C83E46">
            <w:pPr>
              <w:pStyle w:val="P68B1DB1-Normal12"/>
              <w:spacing w:line="240" w:lineRule="auto"/>
              <w:jc w:val="center"/>
              <w:rPr>
                <w:noProof/>
                <w:color w:val="006100"/>
              </w:rPr>
            </w:pPr>
            <w:r>
              <w:rPr>
                <w:noProof/>
              </w:rPr>
              <w:t xml:space="preserve">  </w:t>
            </w:r>
            <w:r>
              <w:rPr>
                <w:noProof/>
                <w:color w:val="006100"/>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0EAB7E7E" w14:textId="36C08832"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28C04523" w14:textId="0DA9B3D8" w:rsidR="00615E2D" w:rsidRDefault="00C83E46">
            <w:pPr>
              <w:pStyle w:val="P68B1DB1-Normal28"/>
              <w:spacing w:after="0" w:line="240" w:lineRule="auto"/>
              <w:rPr>
                <w:noProof/>
              </w:rPr>
            </w:pPr>
            <w:r>
              <w:rPr>
                <w:noProof/>
              </w:rPr>
              <w:t>Uspostavljaju se najmanje 94 postrojenja, od kojih se najmanje 42 postrojenja obnavljaju kako bi se u prosjeku postiglo najmanje 30 % uštede primarne energije ili najmanje 30 % smanjenja izravnih i neizravnih emisija stakleničkih plinova, a najmanje 32 nove su zgrade s potrošnjom primarne energije najmanje 20 % ispod zahtjeva za zgrade gotovo nulte energije.</w:t>
            </w:r>
          </w:p>
          <w:p w14:paraId="6C403737" w14:textId="2A34FD57" w:rsidR="00615E2D" w:rsidRDefault="00C83E46">
            <w:pPr>
              <w:pStyle w:val="P68B1DB1-Normal28"/>
              <w:spacing w:after="0" w:line="240" w:lineRule="auto"/>
              <w:rPr>
                <w:noProof/>
              </w:rPr>
            </w:pPr>
            <w:r>
              <w:rPr>
                <w:noProof/>
              </w:rPr>
              <w:t xml:space="preserve">Nadalje, za pozive na podnošenje prijedloga za projekte koji ispunjavaju taj cilj potrebno je jedno ili više od sljedećeg: </w:t>
            </w:r>
          </w:p>
          <w:p w14:paraId="48791680" w14:textId="662B3735" w:rsidR="00615E2D" w:rsidRDefault="00C83E46">
            <w:pPr>
              <w:pStyle w:val="P68B1DB1-Normal28"/>
              <w:numPr>
                <w:ilvl w:val="0"/>
                <w:numId w:val="182"/>
              </w:numPr>
              <w:pBdr>
                <w:top w:val="nil"/>
                <w:left w:val="nil"/>
                <w:bottom w:val="nil"/>
                <w:right w:val="nil"/>
                <w:between w:val="nil"/>
              </w:pBdr>
              <w:spacing w:after="0" w:line="259" w:lineRule="auto"/>
              <w:rPr>
                <w:noProof/>
              </w:rPr>
            </w:pPr>
            <w:r>
              <w:rPr>
                <w:noProof/>
              </w:rPr>
              <w:t xml:space="preserve">Projekti su nove zgrade u kojima je potražnja za primarnom energijom najmanje 20 % niža od zahtjeva za zgrade gotovo nulte energije.; </w:t>
            </w:r>
          </w:p>
          <w:p w14:paraId="6860FEEB" w14:textId="3473C869" w:rsidR="00615E2D" w:rsidRDefault="00C83E46">
            <w:pPr>
              <w:pStyle w:val="P68B1DB1-Normal28"/>
              <w:numPr>
                <w:ilvl w:val="0"/>
                <w:numId w:val="182"/>
              </w:numPr>
              <w:pBdr>
                <w:top w:val="nil"/>
                <w:left w:val="nil"/>
                <w:bottom w:val="nil"/>
                <w:right w:val="nil"/>
                <w:between w:val="nil"/>
              </w:pBdr>
              <w:spacing w:after="0" w:line="259" w:lineRule="auto"/>
              <w:rPr>
                <w:noProof/>
              </w:rPr>
            </w:pPr>
            <w:r>
              <w:rPr>
                <w:noProof/>
              </w:rPr>
              <w:t>Projekti su obnove kojima se u prosjeku postiže ušteda primarne energije od najmanje 30 % ili smanjenje izravnih i neizravnih emisija stakleničkih plinova za najmanje 30 %.</w:t>
            </w:r>
          </w:p>
          <w:p w14:paraId="6C207614" w14:textId="58DC4327" w:rsidR="00615E2D" w:rsidRDefault="00C83E46">
            <w:pPr>
              <w:pStyle w:val="P68B1DB1-Normal28"/>
              <w:numPr>
                <w:ilvl w:val="0"/>
                <w:numId w:val="182"/>
              </w:numPr>
              <w:pBdr>
                <w:top w:val="nil"/>
                <w:left w:val="nil"/>
                <w:bottom w:val="nil"/>
                <w:right w:val="nil"/>
                <w:between w:val="nil"/>
              </w:pBdr>
              <w:spacing w:after="0" w:line="259" w:lineRule="auto"/>
              <w:rPr>
                <w:noProof/>
              </w:rPr>
            </w:pPr>
            <w:r>
              <w:rPr>
                <w:noProof/>
              </w:rPr>
              <w:t xml:space="preserve">Projekti su druge obnove radi povećanja energetske učinkovitosti. </w:t>
            </w:r>
          </w:p>
          <w:p w14:paraId="345ECF02" w14:textId="7C7438E1" w:rsidR="00615E2D" w:rsidRDefault="00C83E46">
            <w:pPr>
              <w:pStyle w:val="P68B1DB1-Normal28"/>
              <w:spacing w:after="0" w:line="240" w:lineRule="auto"/>
              <w:rPr>
                <w:noProof/>
              </w:rPr>
            </w:pPr>
            <w:r>
              <w:rPr>
                <w:noProof/>
              </w:rPr>
              <w:t>U pozivima na podnošenje prijedloga zahtijeva se i da se projektima osigura napredak prema deinstitucionalizaciji osoba s invaliditetom u skladu s Konvencijom UN-a o pravima osoba s invaliditetom, posebno s načelima samostalnog života i uključenosti u zajednicu, posebno slobode izbora mjesta i s kim će živjeti, kontrole nad svakodnevnim aktivnostima i pristupa uslugama u zajednici.</w:t>
            </w:r>
          </w:p>
        </w:tc>
      </w:tr>
      <w:tr w:rsidR="00615E2D" w14:paraId="1E17E51C" w14:textId="77777777">
        <w:trPr>
          <w:trHeight w:val="19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F22EBAA" w14:textId="569B292F" w:rsidR="00615E2D" w:rsidRDefault="00C83E46">
            <w:pPr>
              <w:pStyle w:val="P68B1DB1-Normal28"/>
              <w:spacing w:line="240" w:lineRule="auto"/>
              <w:jc w:val="center"/>
              <w:rPr>
                <w:noProof/>
              </w:rPr>
            </w:pPr>
            <w:r>
              <w:rPr>
                <w:noProof/>
              </w:rPr>
              <w:t>273</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2B35A421" w14:textId="15E728F5" w:rsidR="00615E2D" w:rsidRDefault="00C83E46">
            <w:pPr>
              <w:pStyle w:val="P68B1DB1-Normal28"/>
              <w:spacing w:line="240" w:lineRule="auto"/>
              <w:rPr>
                <w:noProof/>
              </w:rPr>
            </w:pPr>
            <w:r>
              <w:rPr>
                <w:noProof/>
              </w:rPr>
              <w:t>Ulaganje 3: Razvoj i modernizacija infrastrukture socijalne skrbi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A5FBB80" w14:textId="68143F79" w:rsidR="00615E2D" w:rsidRDefault="00C83E46">
            <w:pPr>
              <w:pStyle w:val="P68B1DB1-Normal28"/>
              <w:spacing w:line="240" w:lineRule="auto"/>
              <w:rPr>
                <w:noProof/>
              </w:rPr>
            </w:pPr>
            <w:r>
              <w:rPr>
                <w:noProof/>
              </w:rPr>
              <w:t>Prekretnica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2EB0FCD7" w14:textId="6D5D4509" w:rsidR="00615E2D" w:rsidRDefault="00C83E46">
            <w:pPr>
              <w:pStyle w:val="P68B1DB1-Normal28"/>
              <w:spacing w:line="240" w:lineRule="auto"/>
              <w:rPr>
                <w:noProof/>
              </w:rPr>
            </w:pPr>
            <w:r>
              <w:rPr>
                <w:noProof/>
              </w:rPr>
              <w:t>Izmjena Zakona o socijalnoj skrbi u vezi s inspekcijama i pritužbama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B3A62E6" w14:textId="36E2E900" w:rsidR="00615E2D" w:rsidRDefault="00C83E46">
            <w:pPr>
              <w:pStyle w:val="P68B1DB1-Normal28"/>
              <w:spacing w:line="240" w:lineRule="auto"/>
              <w:rPr>
                <w:noProof/>
              </w:rPr>
            </w:pPr>
            <w:r>
              <w:rPr>
                <w:noProof/>
              </w:rPr>
              <w:t>Izmijenjeni Zakon o socijalnim uslugama i metodologija inspekcije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08D493B" w14:textId="098773B6"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BADC74F" w14:textId="4FABF1C4"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0F14414F" w14:textId="29C21882" w:rsidR="00615E2D" w:rsidRDefault="00615E2D">
            <w:pPr>
              <w:spacing w:line="240" w:lineRule="auto"/>
              <w:jc w:val="center"/>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ECD639C" w14:textId="289907CA" w:rsidR="00615E2D" w:rsidRDefault="00C83E46">
            <w:pPr>
              <w:pStyle w:val="P68B1DB1-Normal28"/>
              <w:spacing w:line="240" w:lineRule="auto"/>
              <w:jc w:val="center"/>
              <w:rPr>
                <w:noProof/>
              </w:rPr>
            </w:pPr>
            <w:r>
              <w:rPr>
                <w:noProof/>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5B7435BB" w14:textId="7A3B7913"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B004902" w14:textId="6FED59E4" w:rsidR="00615E2D" w:rsidRDefault="00C83E46">
            <w:pPr>
              <w:pStyle w:val="P68B1DB1-Normal28"/>
              <w:spacing w:line="240" w:lineRule="auto"/>
              <w:rPr>
                <w:noProof/>
              </w:rPr>
            </w:pPr>
            <w:r>
              <w:rPr>
                <w:noProof/>
              </w:rPr>
              <w:t>Izmijenit će se Zakon o socijalnoj skrbi, a izmjena i dopuna stupa na snagu. Donosi se obvezujuća metodologija za inspekciju socijalnih usluga. Aktom ili metodologijom propisuje se da se inspekcijama provjerava ispunjavanje obveza iz Konvencije UN-a o pravima osoba s invaliditetom u pružanju socijalnih usluga.</w:t>
            </w:r>
          </w:p>
          <w:p w14:paraId="46B37BBF" w14:textId="7F9E6FD8" w:rsidR="00615E2D" w:rsidRDefault="00C83E46">
            <w:pPr>
              <w:pStyle w:val="P68B1DB1-Normal28"/>
              <w:spacing w:line="240" w:lineRule="auto"/>
              <w:rPr>
                <w:noProof/>
              </w:rPr>
            </w:pPr>
            <w:r>
              <w:rPr>
                <w:noProof/>
              </w:rPr>
              <w:t xml:space="preserve">Nadalje, u okviru pokusnih inspekcija u skladu s novim pravilima provodi se inspekcija socijalnih usluga koje se pružaju u bilo kojem objektu kapaciteta od više od 25 osoba koje se financiraju iz plana za oporavak i otpornost. U slučaju da se inspekcijskim nadzorom utvrde bilo kakvi nedostaci, socijalne službe obvezuju se na plan za ispravljanje tih nedostataka u roku od jedne godine. </w:t>
            </w:r>
          </w:p>
          <w:p w14:paraId="5F8A419B" w14:textId="650BF9ED" w:rsidR="00615E2D" w:rsidRDefault="00C83E46">
            <w:pPr>
              <w:pStyle w:val="P68B1DB1-Normal28"/>
              <w:spacing w:line="240" w:lineRule="auto"/>
              <w:rPr>
                <w:rFonts w:eastAsia="Times New Roman"/>
                <w:noProof/>
              </w:rPr>
            </w:pPr>
            <w:r>
              <w:rPr>
                <w:noProof/>
              </w:rPr>
              <w:t>Nadalje, izmijenjenim Zakonom o socijalnoj skrbi uspostavlja se i mehanizam za pritužbe u području socijalnih usluga kojim se osigurava barem sljedeće:</w:t>
            </w:r>
          </w:p>
          <w:p w14:paraId="7265C8A5" w14:textId="7C35A096" w:rsidR="00615E2D" w:rsidRDefault="00C83E46">
            <w:pPr>
              <w:pStyle w:val="P68B1DB1-ListParagraph42"/>
              <w:numPr>
                <w:ilvl w:val="0"/>
                <w:numId w:val="130"/>
              </w:numPr>
              <w:spacing w:line="240" w:lineRule="auto"/>
              <w:rPr>
                <w:noProof/>
              </w:rPr>
            </w:pPr>
            <w:r>
              <w:rPr>
                <w:noProof/>
              </w:rPr>
              <w:t>Klijenti, zakonski skrbnici klijenta i članovi obitelji imaju pravo podnijeti pritužbe u vezi sa socijalnim uslugama svojem pružatelju.</w:t>
            </w:r>
          </w:p>
          <w:p w14:paraId="0BD8185C" w14:textId="351DEF7E" w:rsidR="00615E2D" w:rsidRDefault="00C83E46">
            <w:pPr>
              <w:pStyle w:val="P68B1DB1-ListParagraph42"/>
              <w:numPr>
                <w:ilvl w:val="0"/>
                <w:numId w:val="130"/>
              </w:numPr>
              <w:spacing w:line="240" w:lineRule="auto"/>
              <w:rPr>
                <w:noProof/>
              </w:rPr>
            </w:pPr>
            <w:r>
              <w:rPr>
                <w:noProof/>
              </w:rPr>
              <w:t>Podnositelji pritužbe imaju pravo biti obaviješteni o tome kako je pritužba riješena.</w:t>
            </w:r>
          </w:p>
          <w:p w14:paraId="3B23F158" w14:textId="474D5224" w:rsidR="00615E2D" w:rsidRDefault="00C83E46">
            <w:pPr>
              <w:pStyle w:val="P68B1DB1-ListParagraph42"/>
              <w:numPr>
                <w:ilvl w:val="0"/>
                <w:numId w:val="130"/>
              </w:numPr>
              <w:spacing w:line="240" w:lineRule="auto"/>
              <w:rPr>
                <w:noProof/>
              </w:rPr>
            </w:pPr>
            <w:r>
              <w:rPr>
                <w:noProof/>
              </w:rPr>
              <w:t>Podnositelji pritužbe imaju pravo žalbe tijelu koje je neovisno o pružatelju usluga; a tijelo razmatra žalbe i u pogledu zasluga i u pogledu postupka.</w:t>
            </w:r>
          </w:p>
          <w:p w14:paraId="7724CBE1" w14:textId="7C551919" w:rsidR="00615E2D" w:rsidRDefault="00C83E46">
            <w:pPr>
              <w:pStyle w:val="P68B1DB1-ListParagraph42"/>
              <w:numPr>
                <w:ilvl w:val="0"/>
                <w:numId w:val="130"/>
              </w:numPr>
              <w:spacing w:line="240" w:lineRule="auto"/>
              <w:rPr>
                <w:noProof/>
              </w:rPr>
            </w:pPr>
            <w:r>
              <w:rPr>
                <w:noProof/>
              </w:rPr>
              <w:t xml:space="preserve">Pružatelji usluga i relevantno žalbeno tijelo ili tijela vode evidenciju o zaprimljenim pritužbama. </w:t>
            </w:r>
          </w:p>
          <w:p w14:paraId="769A4F5D" w14:textId="435A7F62" w:rsidR="00615E2D" w:rsidRDefault="00C83E46">
            <w:pPr>
              <w:pStyle w:val="P68B1DB1-Normal11"/>
              <w:spacing w:line="240" w:lineRule="auto"/>
              <w:rPr>
                <w:noProof/>
              </w:rPr>
            </w:pPr>
            <w:r>
              <w:rPr>
                <w:noProof/>
              </w:rPr>
              <w:t xml:space="preserve">Cilj je mehanizma za podnošenje pritužbi u području socijalnih usluga uglavnom odgovarati mehanizmu za podnošenje pritužbi u području zdravstvenih usluga. </w:t>
            </w:r>
          </w:p>
          <w:p w14:paraId="74C876E3" w14:textId="7D837FE0" w:rsidR="00615E2D" w:rsidRDefault="00C83E46">
            <w:pPr>
              <w:pStyle w:val="P68B1DB1-Normal11"/>
              <w:spacing w:line="240" w:lineRule="auto"/>
              <w:rPr>
                <w:noProof/>
              </w:rPr>
            </w:pPr>
            <w:r>
              <w:rPr>
                <w:noProof/>
              </w:rPr>
              <w:t>Relevantni dionici raspravljaju i dogovaraju izmjene Zakona o socijalnim uslugama i metodologiju inspekcije.</w:t>
            </w:r>
            <w:r>
              <w:rPr>
                <w:noProof/>
                <w:shd w:val="clear" w:color="auto" w:fill="E6E6E6"/>
              </w:rPr>
              <w:t xml:space="preserve"> </w:t>
            </w:r>
          </w:p>
        </w:tc>
      </w:tr>
      <w:tr w:rsidR="00615E2D" w14:paraId="7AAF8AFC" w14:textId="77777777">
        <w:trPr>
          <w:trHeight w:val="3388"/>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F49F2EF" w14:textId="77777777" w:rsidR="00615E2D" w:rsidRDefault="00C83E46">
            <w:pPr>
              <w:pStyle w:val="P68B1DB1-Normal28"/>
              <w:spacing w:line="240" w:lineRule="auto"/>
              <w:jc w:val="center"/>
              <w:rPr>
                <w:noProof/>
              </w:rPr>
            </w:pPr>
            <w:r>
              <w:rPr>
                <w:noProof/>
              </w:rPr>
              <w:t>195</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02F9AB98" w14:textId="77777777" w:rsidR="00615E2D" w:rsidRDefault="00C83E46">
            <w:pPr>
              <w:pStyle w:val="P68B1DB1-Normal28"/>
              <w:spacing w:line="240" w:lineRule="auto"/>
              <w:rPr>
                <w:noProof/>
              </w:rPr>
            </w:pPr>
            <w:r>
              <w:rPr>
                <w:noProof/>
              </w:rPr>
              <w:t>Ulaganje 3: Razvoj i modernizacija infrastrukture socijalne skrbi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F38A7EE" w14:textId="77777777" w:rsidR="00615E2D" w:rsidRDefault="00C83E46">
            <w:pPr>
              <w:pStyle w:val="P68B1DB1-Normal28"/>
              <w:spacing w:line="240" w:lineRule="auto"/>
              <w:rPr>
                <w:noProof/>
              </w:rPr>
            </w:pPr>
            <w:r>
              <w:rPr>
                <w:noProof/>
              </w:rPr>
              <w:t>Ciljna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7B8F3AC3" w14:textId="67B0D51B" w:rsidR="00615E2D" w:rsidRDefault="00C83E46">
            <w:pPr>
              <w:pStyle w:val="P68B1DB1-Normal28"/>
              <w:spacing w:line="240" w:lineRule="auto"/>
              <w:rPr>
                <w:noProof/>
              </w:rPr>
            </w:pPr>
            <w:r>
              <w:rPr>
                <w:noProof/>
              </w:rPr>
              <w:t>T2: Broj izgrađenih ili obnovljenih objekata za smještaj, izvanbolnički smještaj, informiranje, prevenciju i savjetovanje u zajednici</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40CE51DC"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6274B0D" w14:textId="77777777" w:rsidR="00615E2D" w:rsidRDefault="00C83E46">
            <w:pPr>
              <w:pStyle w:val="P68B1DB1-Normal28"/>
              <w:spacing w:line="240" w:lineRule="auto"/>
              <w:rPr>
                <w:noProof/>
              </w:rPr>
            </w:pPr>
            <w:r>
              <w:rPr>
                <w:noProof/>
              </w:rPr>
              <w:t>Broj objekata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C76FB4D" w14:textId="05EC64EC" w:rsidR="00615E2D" w:rsidRDefault="00C83E46">
            <w:pPr>
              <w:pStyle w:val="P68B1DB1-Normal28"/>
              <w:spacing w:line="240" w:lineRule="auto"/>
              <w:jc w:val="center"/>
              <w:rPr>
                <w:noProof/>
              </w:rPr>
            </w:pPr>
            <w:r>
              <w:rPr>
                <w:noProof/>
              </w:rPr>
              <w:t>94</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2B93A10D" w14:textId="58E86BBA" w:rsidR="00615E2D" w:rsidRDefault="00C83E46">
            <w:pPr>
              <w:pStyle w:val="P68B1DB1-Normal28"/>
              <w:spacing w:line="240" w:lineRule="auto"/>
              <w:jc w:val="center"/>
              <w:rPr>
                <w:noProof/>
              </w:rPr>
            </w:pPr>
            <w:r>
              <w:rPr>
                <w:noProof/>
              </w:rPr>
              <w:t>228</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59962EBC" w14:textId="6779AF09" w:rsidR="00615E2D" w:rsidRDefault="00C83E46">
            <w:pPr>
              <w:pStyle w:val="P68B1DB1-Normal12"/>
              <w:spacing w:line="240" w:lineRule="auto"/>
              <w:jc w:val="center"/>
              <w:rPr>
                <w:rFonts w:eastAsia="Times New Roman"/>
                <w:noProof/>
              </w:rPr>
            </w:pPr>
            <w:r>
              <w:rPr>
                <w:noProof/>
              </w:rPr>
              <w:t xml:space="preserve">  </w:t>
            </w:r>
            <w:r>
              <w:rPr>
                <w:noProof/>
                <w:color w:val="006100"/>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718BD948" w14:textId="423CDEC3"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1D1B8A15" w14:textId="4930DAE3" w:rsidR="00615E2D" w:rsidRDefault="00C83E46">
            <w:pPr>
              <w:pStyle w:val="P68B1DB1-Normal28"/>
              <w:spacing w:after="0" w:line="240" w:lineRule="auto"/>
              <w:rPr>
                <w:noProof/>
              </w:rPr>
            </w:pPr>
            <w:r>
              <w:rPr>
                <w:noProof/>
              </w:rPr>
              <w:t>Mora se stvoriti najmanje 228 objekata, od kojih: najmanje 100 postrojenja obnavlja se kako bi se u prosjeku ostvarile uštede primarne energije od najmanje 30 % ili smanjenje izravnih i neizravnih emisija stakleničkih plinova za najmanje 30 %, a najmanje 76 su nove zgrade u kojima je potražnja za primarnom energijom najmanje 20 % niža od zahtjeva za zgrade gotovo nulte energije.</w:t>
            </w:r>
          </w:p>
          <w:p w14:paraId="743008BC" w14:textId="1D2DD2EB" w:rsidR="00615E2D" w:rsidRDefault="00C83E46">
            <w:pPr>
              <w:pStyle w:val="P68B1DB1-Normal28"/>
              <w:spacing w:after="0" w:line="240" w:lineRule="auto"/>
              <w:rPr>
                <w:noProof/>
              </w:rPr>
            </w:pPr>
            <w:r>
              <w:rPr>
                <w:noProof/>
              </w:rPr>
              <w:t>Nadalje, za pozive na podnošenje prijedloga za projekte koji ispunjavaju taj cilj potrebno je jedno ili više od sljedećeg:</w:t>
            </w:r>
          </w:p>
          <w:p w14:paraId="448D02E6" w14:textId="708A4F97" w:rsidR="00615E2D" w:rsidRDefault="00C83E46">
            <w:pPr>
              <w:pStyle w:val="P68B1DB1-ListParagraph42"/>
              <w:numPr>
                <w:ilvl w:val="0"/>
                <w:numId w:val="183"/>
              </w:numPr>
              <w:spacing w:after="0" w:line="240" w:lineRule="auto"/>
              <w:rPr>
                <w:noProof/>
              </w:rPr>
            </w:pPr>
            <w:r>
              <w:rPr>
                <w:noProof/>
              </w:rPr>
              <w:t xml:space="preserve">Projekti su nove zgrade u kojima je potražnja za primarnom energijom najmanje 20 % niža od zahtjeva za zgrade gotovo nulte energije.  </w:t>
            </w:r>
          </w:p>
          <w:p w14:paraId="70B4FF07" w14:textId="56F2B443" w:rsidR="00615E2D" w:rsidRDefault="00C83E46">
            <w:pPr>
              <w:pStyle w:val="P68B1DB1-ListParagraph43"/>
              <w:numPr>
                <w:ilvl w:val="0"/>
                <w:numId w:val="183"/>
              </w:numPr>
              <w:spacing w:after="0" w:line="240" w:lineRule="auto"/>
              <w:rPr>
                <w:noProof/>
              </w:rPr>
            </w:pPr>
            <w:r>
              <w:rPr>
                <w:noProof/>
              </w:rPr>
              <w:t>Projekti su obnove kojima se u prosjeku ostvaruju uštede primarne energije od najmanje 30 % ili smanjenje izravnih i neizravnih emisija stakleničkih plinova za najmanje 30 %.</w:t>
            </w:r>
          </w:p>
          <w:p w14:paraId="3C11F124" w14:textId="23A03722" w:rsidR="00615E2D" w:rsidRDefault="00C83E46">
            <w:pPr>
              <w:pStyle w:val="P68B1DB1-Normal28"/>
              <w:numPr>
                <w:ilvl w:val="0"/>
                <w:numId w:val="183"/>
              </w:numPr>
              <w:spacing w:after="0" w:line="259" w:lineRule="auto"/>
              <w:rPr>
                <w:noProof/>
              </w:rPr>
            </w:pPr>
            <w:r>
              <w:rPr>
                <w:noProof/>
              </w:rPr>
              <w:t xml:space="preserve">Projekt se sastoji od drugih obnova radi povećanja energetske učinkovitosti. </w:t>
            </w:r>
          </w:p>
          <w:p w14:paraId="71EF3043" w14:textId="5D210E75" w:rsidR="00615E2D" w:rsidRDefault="00C83E46">
            <w:pPr>
              <w:pStyle w:val="P68B1DB1-Normal28"/>
              <w:spacing w:after="0" w:line="240" w:lineRule="auto"/>
              <w:rPr>
                <w:noProof/>
              </w:rPr>
            </w:pPr>
            <w:r>
              <w:rPr>
                <w:noProof/>
              </w:rPr>
              <w:t>U pozivima na podnošenje prijedloga zahtijeva se i da se projektima osigura napredak prema deinstitucionalizaciji osoba s invaliditetom u skladu s Konvencijom UN-a o pravima osoba s invaliditetom, posebno s načelima samostalnog života i uključenosti u zajednicu, posebno slobode izbora mjesta i s kim će živjeti, kontrole nad svakodnevnim aktivnostima i pristupa uslugama u zajednici.</w:t>
            </w:r>
          </w:p>
          <w:p w14:paraId="635CD04A" w14:textId="64220B86" w:rsidR="00615E2D" w:rsidRDefault="00C83E46">
            <w:pPr>
              <w:pStyle w:val="P68B1DB1-Normal28"/>
              <w:spacing w:after="0" w:line="240" w:lineRule="auto"/>
              <w:rPr>
                <w:i/>
                <w:noProof/>
              </w:rPr>
            </w:pPr>
            <w:r>
              <w:rPr>
                <w:noProof/>
              </w:rPr>
              <w:t xml:space="preserve">Cilj je te mjere povećati kapacitet usluga za 3958 klijenata nego što bi to bilo moguće bez objekata. </w:t>
            </w:r>
          </w:p>
        </w:tc>
      </w:tr>
      <w:tr w:rsidR="00615E2D" w14:paraId="49AF8043"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3B73D929" w14:textId="77777777" w:rsidR="00615E2D" w:rsidRDefault="00C83E46">
            <w:pPr>
              <w:pStyle w:val="P68B1DB1-Normal28"/>
              <w:spacing w:line="240" w:lineRule="auto"/>
              <w:jc w:val="center"/>
              <w:rPr>
                <w:noProof/>
              </w:rPr>
            </w:pPr>
            <w:r>
              <w:rPr>
                <w:noProof/>
              </w:rPr>
              <w:t>196</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665EDE39" w14:textId="77777777" w:rsidR="00615E2D" w:rsidRDefault="00C83E46">
            <w:pPr>
              <w:pStyle w:val="P68B1DB1-Normal28"/>
              <w:spacing w:line="240" w:lineRule="auto"/>
              <w:rPr>
                <w:noProof/>
              </w:rPr>
            </w:pPr>
            <w:r>
              <w:rPr>
                <w:noProof/>
              </w:rPr>
              <w:t>Ulaganje 3: Razvoj i modernizacija infrastrukture socijalne skrbi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08012DD" w14:textId="77777777" w:rsidR="00615E2D" w:rsidRDefault="00C83E46">
            <w:pPr>
              <w:pStyle w:val="P68B1DB1-Normal28"/>
              <w:spacing w:line="240" w:lineRule="auto"/>
              <w:rPr>
                <w:noProof/>
              </w:rPr>
            </w:pPr>
            <w:r>
              <w:rPr>
                <w:noProof/>
              </w:rPr>
              <w:t xml:space="preserve">Ciljna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2C60802D" w14:textId="77777777" w:rsidR="00615E2D" w:rsidRDefault="00C83E46">
            <w:pPr>
              <w:pStyle w:val="P68B1DB1-Normal28"/>
              <w:spacing w:line="240" w:lineRule="auto"/>
              <w:rPr>
                <w:noProof/>
              </w:rPr>
            </w:pPr>
            <w:r>
              <w:rPr>
                <w:noProof/>
              </w:rPr>
              <w:t>T1: Broj vozila s niskom razinom emisija kupljenih za usluge socijalne prevencije, savjetovanja i kućne njege</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0D221AAA"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06596D7"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458A0F5" w14:textId="77777777" w:rsidR="00615E2D" w:rsidRDefault="00C83E46">
            <w:pPr>
              <w:pStyle w:val="P68B1DB1-Normal28"/>
              <w:spacing w:line="240" w:lineRule="auto"/>
              <w:jc w:val="center"/>
              <w:rPr>
                <w:noProof/>
              </w:rPr>
            </w:pPr>
            <w:r>
              <w:rPr>
                <w:noProof/>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57238B61" w14:textId="77777777" w:rsidR="00615E2D" w:rsidRDefault="00C83E46">
            <w:pPr>
              <w:pStyle w:val="P68B1DB1-Normal28"/>
              <w:spacing w:line="240" w:lineRule="auto"/>
              <w:jc w:val="center"/>
              <w:rPr>
                <w:noProof/>
              </w:rPr>
            </w:pPr>
            <w:r>
              <w:rPr>
                <w:noProof/>
              </w:rPr>
              <w:t>120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9A6E0CF" w14:textId="77777777" w:rsidR="00615E2D" w:rsidRDefault="00C83E46">
            <w:pPr>
              <w:pStyle w:val="P68B1DB1-Normal12"/>
              <w:spacing w:line="240" w:lineRule="auto"/>
              <w:jc w:val="center"/>
              <w:rPr>
                <w:rFonts w:eastAsia="Times New Roman"/>
                <w:noProof/>
              </w:rPr>
            </w:pPr>
            <w:r>
              <w:rPr>
                <w:noProof/>
              </w:rPr>
              <w:t xml:space="preserve">  </w:t>
            </w:r>
            <w:r>
              <w:rPr>
                <w:noProof/>
                <w:color w:val="006100"/>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620B0D22" w14:textId="09210101" w:rsidR="00615E2D" w:rsidRDefault="00C83E46">
            <w:pPr>
              <w:pStyle w:val="P68B1DB1-Normal28"/>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D03CA6F" w14:textId="77777777" w:rsidR="00615E2D" w:rsidRDefault="00C83E46">
            <w:pPr>
              <w:pStyle w:val="P68B1DB1-Normal28"/>
              <w:spacing w:after="0" w:line="240" w:lineRule="auto"/>
              <w:rPr>
                <w:noProof/>
              </w:rPr>
            </w:pPr>
            <w:r>
              <w:rPr>
                <w:noProof/>
              </w:rPr>
              <w:t xml:space="preserve">Kupuje se najmanje 120 vozila s niskim emisijama, od kojih: </w:t>
            </w:r>
          </w:p>
          <w:p w14:paraId="7579F28A" w14:textId="36A89597" w:rsidR="00615E2D" w:rsidRDefault="00C83E46">
            <w:pPr>
              <w:pStyle w:val="P68B1DB1-Normal28"/>
              <w:numPr>
                <w:ilvl w:val="0"/>
                <w:numId w:val="184"/>
              </w:numPr>
              <w:pBdr>
                <w:top w:val="nil"/>
                <w:left w:val="nil"/>
                <w:bottom w:val="nil"/>
                <w:right w:val="nil"/>
                <w:between w:val="nil"/>
              </w:pBdr>
              <w:spacing w:after="0" w:line="259" w:lineRule="auto"/>
              <w:rPr>
                <w:noProof/>
              </w:rPr>
            </w:pPr>
            <w:r>
              <w:rPr>
                <w:noProof/>
              </w:rPr>
              <w:t xml:space="preserve">najmanje 40 baterijskih električnih automobila </w:t>
            </w:r>
          </w:p>
          <w:p w14:paraId="625A9FC0" w14:textId="4C2B57C3" w:rsidR="00615E2D" w:rsidRDefault="00C83E46">
            <w:pPr>
              <w:pStyle w:val="P68B1DB1-Normal28"/>
              <w:numPr>
                <w:ilvl w:val="0"/>
                <w:numId w:val="184"/>
              </w:numPr>
              <w:pBdr>
                <w:top w:val="nil"/>
                <w:left w:val="nil"/>
                <w:bottom w:val="nil"/>
                <w:right w:val="nil"/>
                <w:between w:val="nil"/>
              </w:pBdr>
              <w:spacing w:after="0" w:line="259" w:lineRule="auto"/>
              <w:rPr>
                <w:noProof/>
              </w:rPr>
            </w:pPr>
            <w:r>
              <w:rPr>
                <w:noProof/>
              </w:rPr>
              <w:t xml:space="preserve">najviše 80 hibridnih automobila na punjenje </w:t>
            </w:r>
          </w:p>
        </w:tc>
      </w:tr>
      <w:tr w:rsidR="00615E2D" w14:paraId="22EC5C55"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CD85950" w14:textId="77777777" w:rsidR="00615E2D" w:rsidRDefault="00C83E46">
            <w:pPr>
              <w:pStyle w:val="P68B1DB1-Normal28"/>
              <w:spacing w:line="240" w:lineRule="auto"/>
              <w:jc w:val="center"/>
              <w:rPr>
                <w:noProof/>
              </w:rPr>
            </w:pPr>
            <w:r>
              <w:rPr>
                <w:noProof/>
              </w:rPr>
              <w:t>197</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42E73D23" w14:textId="77777777" w:rsidR="00615E2D" w:rsidRDefault="00C83E46">
            <w:pPr>
              <w:pStyle w:val="P68B1DB1-Normal28"/>
              <w:spacing w:line="240" w:lineRule="auto"/>
              <w:rPr>
                <w:noProof/>
              </w:rPr>
            </w:pPr>
            <w:r>
              <w:rPr>
                <w:noProof/>
              </w:rPr>
              <w:t>Ulaganje 3: Razvoj i modernizacija infrastrukture socijalne skrbi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C2130EC" w14:textId="77777777" w:rsidR="00615E2D" w:rsidRDefault="00C83E46">
            <w:pPr>
              <w:pStyle w:val="P68B1DB1-Normal28"/>
              <w:spacing w:line="240" w:lineRule="auto"/>
              <w:rPr>
                <w:noProof/>
              </w:rPr>
            </w:pPr>
            <w:r>
              <w:rPr>
                <w:noProof/>
              </w:rPr>
              <w:t>Ciljna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605E92F7" w14:textId="5A788C21" w:rsidR="00615E2D" w:rsidRDefault="00C83E46">
            <w:pPr>
              <w:pStyle w:val="P68B1DB1-Normal28"/>
              <w:spacing w:line="240" w:lineRule="auto"/>
              <w:rPr>
                <w:noProof/>
              </w:rPr>
            </w:pPr>
            <w:r>
              <w:rPr>
                <w:noProof/>
              </w:rPr>
              <w:t>T2: Broj vozila s niskom razinom emisija kupljenih za usluge socijalne prevencije, savjetovanja i kućne njege</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273907A4"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1E6E65C" w14:textId="77777777" w:rsidR="00615E2D" w:rsidRDefault="00C83E46">
            <w:pPr>
              <w:pStyle w:val="P68B1DB1-Normal28"/>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22031B6" w14:textId="77777777" w:rsidR="00615E2D" w:rsidRDefault="00C83E46">
            <w:pPr>
              <w:pStyle w:val="P68B1DB1-Normal28"/>
              <w:spacing w:line="240" w:lineRule="auto"/>
              <w:jc w:val="center"/>
              <w:rPr>
                <w:noProof/>
              </w:rPr>
            </w:pPr>
            <w:r>
              <w:rPr>
                <w:noProof/>
              </w:rPr>
              <w:t>120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481FE83C" w14:textId="77777777" w:rsidR="00615E2D" w:rsidRDefault="00C83E46">
            <w:pPr>
              <w:pStyle w:val="P68B1DB1-Normal28"/>
              <w:spacing w:line="240" w:lineRule="auto"/>
              <w:jc w:val="center"/>
              <w:rPr>
                <w:noProof/>
              </w:rPr>
            </w:pPr>
            <w:r>
              <w:rPr>
                <w:noProof/>
              </w:rPr>
              <w:t>251</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B1D2CD4" w14:textId="5230375D" w:rsidR="00615E2D" w:rsidRDefault="00C83E46">
            <w:pPr>
              <w:pStyle w:val="P68B1DB1-Normal12"/>
              <w:spacing w:line="240" w:lineRule="auto"/>
              <w:jc w:val="center"/>
              <w:rPr>
                <w:rFonts w:eastAsia="Times New Roman"/>
                <w:noProof/>
              </w:rPr>
            </w:pPr>
            <w:r>
              <w:rPr>
                <w:noProof/>
              </w:rPr>
              <w:t xml:space="preserve">  </w:t>
            </w:r>
            <w:r>
              <w:rPr>
                <w:noProof/>
                <w:color w:val="006100"/>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794D6B1F" w14:textId="1EC8C6E0"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2A13879D" w14:textId="77777777" w:rsidR="00615E2D" w:rsidRDefault="00C83E46">
            <w:pPr>
              <w:pStyle w:val="P68B1DB1-Normal28"/>
              <w:spacing w:after="0" w:line="240" w:lineRule="auto"/>
              <w:rPr>
                <w:noProof/>
              </w:rPr>
            </w:pPr>
            <w:r>
              <w:rPr>
                <w:noProof/>
              </w:rPr>
              <w:t xml:space="preserve">Kupuje se najmanje 251 vozilo s niskim emisijama, od čega: </w:t>
            </w:r>
          </w:p>
          <w:p w14:paraId="4A46558C" w14:textId="225EF8D7" w:rsidR="00615E2D" w:rsidRDefault="00C83E46">
            <w:pPr>
              <w:pStyle w:val="P68B1DB1-Normal28"/>
              <w:numPr>
                <w:ilvl w:val="0"/>
                <w:numId w:val="185"/>
              </w:numPr>
              <w:pBdr>
                <w:top w:val="nil"/>
                <w:left w:val="nil"/>
                <w:bottom w:val="nil"/>
                <w:right w:val="nil"/>
                <w:between w:val="nil"/>
              </w:pBdr>
              <w:spacing w:after="0" w:line="259" w:lineRule="auto"/>
              <w:rPr>
                <w:noProof/>
              </w:rPr>
            </w:pPr>
            <w:r>
              <w:rPr>
                <w:noProof/>
              </w:rPr>
              <w:t xml:space="preserve">najmanje 100 baterijskih električnih automobila </w:t>
            </w:r>
          </w:p>
          <w:p w14:paraId="074CA897" w14:textId="22F99709" w:rsidR="00615E2D" w:rsidRDefault="00C83E46">
            <w:pPr>
              <w:pStyle w:val="P68B1DB1-Normal28"/>
              <w:numPr>
                <w:ilvl w:val="0"/>
                <w:numId w:val="185"/>
              </w:numPr>
              <w:pBdr>
                <w:top w:val="nil"/>
                <w:left w:val="nil"/>
                <w:bottom w:val="nil"/>
                <w:right w:val="nil"/>
                <w:between w:val="nil"/>
              </w:pBdr>
              <w:spacing w:after="0" w:line="259" w:lineRule="auto"/>
              <w:rPr>
                <w:noProof/>
              </w:rPr>
            </w:pPr>
            <w:r>
              <w:rPr>
                <w:noProof/>
              </w:rPr>
              <w:t>najviše 151 punjiva hibridna vozila</w:t>
            </w:r>
          </w:p>
        </w:tc>
      </w:tr>
      <w:tr w:rsidR="00615E2D" w14:paraId="4185F300"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2C845E78" w14:textId="67F4006B" w:rsidR="00615E2D" w:rsidRDefault="00C83E46">
            <w:pPr>
              <w:pStyle w:val="P68B1DB1-Normal28"/>
              <w:spacing w:line="240" w:lineRule="auto"/>
              <w:jc w:val="center"/>
              <w:rPr>
                <w:noProof/>
              </w:rPr>
            </w:pPr>
            <w:r>
              <w:rPr>
                <w:noProof/>
              </w:rPr>
              <w:t>274</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13EA456F" w14:textId="7C633A0E" w:rsidR="00615E2D" w:rsidRDefault="00C83E46">
            <w:pPr>
              <w:pStyle w:val="P68B1DB1-Normal11"/>
              <w:spacing w:line="240" w:lineRule="auto"/>
              <w:rPr>
                <w:noProof/>
              </w:rPr>
            </w:pPr>
            <w:r>
              <w:rPr>
                <w:noProof/>
              </w:rPr>
              <w:t>Ulaganje 4: Razvoj i modernizacija infrastrukture za socijalnu skrb o djeci</w:t>
            </w:r>
          </w:p>
          <w:p w14:paraId="6F120B59" w14:textId="3847F1D2" w:rsidR="00615E2D" w:rsidRDefault="00615E2D">
            <w:pPr>
              <w:spacing w:line="240" w:lineRule="auto"/>
              <w:rPr>
                <w:rFonts w:eastAsia="Times New Roman"/>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360931B" w14:textId="078420DB" w:rsidR="00615E2D" w:rsidRDefault="00C83E46">
            <w:pPr>
              <w:pStyle w:val="P68B1DB1-Normal11"/>
              <w:spacing w:line="240" w:lineRule="auto"/>
              <w:jc w:val="center"/>
              <w:rPr>
                <w:noProof/>
              </w:rPr>
            </w:pPr>
            <w:r>
              <w:rPr>
                <w:noProof/>
              </w:rPr>
              <w:t>Prekretnica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53B632DB" w14:textId="743F6DE1" w:rsidR="00615E2D" w:rsidRDefault="00C83E46">
            <w:pPr>
              <w:pStyle w:val="P68B1DB1-Normal11"/>
              <w:spacing w:after="0" w:line="240" w:lineRule="auto"/>
              <w:rPr>
                <w:noProof/>
              </w:rPr>
            </w:pPr>
            <w:r>
              <w:rPr>
                <w:noProof/>
              </w:rPr>
              <w:t>Objavljen poziv na podnošenje projekata za smještaj ugrožene djece</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41896B61" w14:textId="5D83AE5D" w:rsidR="00615E2D" w:rsidRDefault="00C83E46">
            <w:pPr>
              <w:pStyle w:val="P68B1DB1-Normal11"/>
              <w:spacing w:line="240" w:lineRule="auto"/>
              <w:jc w:val="center"/>
              <w:rPr>
                <w:noProof/>
              </w:rPr>
            </w:pPr>
            <w:r>
              <w:rPr>
                <w:noProof/>
              </w:rPr>
              <w:t>Poziv</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171B0B7" w14:textId="4B13E763" w:rsidR="00615E2D" w:rsidRDefault="00615E2D">
            <w:pPr>
              <w:spacing w:line="240" w:lineRule="auto"/>
              <w:jc w:val="center"/>
              <w:rPr>
                <w:rFonts w:eastAsia="Times New Roman"/>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61FDC41" w14:textId="71929F91" w:rsidR="00615E2D" w:rsidRDefault="00615E2D">
            <w:pPr>
              <w:spacing w:line="240" w:lineRule="auto"/>
              <w:jc w:val="center"/>
              <w:rPr>
                <w:rFonts w:eastAsia="Times New Roman"/>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75CF4A91" w14:textId="4763F1AE" w:rsidR="00615E2D" w:rsidRDefault="00615E2D">
            <w:pPr>
              <w:spacing w:line="240" w:lineRule="auto"/>
              <w:jc w:val="center"/>
              <w:rPr>
                <w:rFonts w:eastAsia="Times New Roman"/>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1CF238F" w14:textId="3421C9C6" w:rsidR="00615E2D" w:rsidRDefault="00C83E46">
            <w:pPr>
              <w:pStyle w:val="P68B1DB1-Normal11"/>
              <w:spacing w:line="240" w:lineRule="auto"/>
              <w:jc w:val="center"/>
              <w:rPr>
                <w:noProof/>
              </w:rPr>
            </w:pPr>
            <w:r>
              <w:rPr>
                <w:noProof/>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4544B136" w14:textId="7556CFFA" w:rsidR="00615E2D" w:rsidRDefault="00C83E46">
            <w:pPr>
              <w:pStyle w:val="P68B1DB1-Normal11"/>
              <w:spacing w:after="0" w:line="240" w:lineRule="auto"/>
              <w:jc w:val="center"/>
              <w:rPr>
                <w:noProof/>
              </w:rPr>
            </w:pPr>
            <w:r>
              <w:rPr>
                <w:noProof/>
              </w:rPr>
              <w:t>2024</w:t>
            </w:r>
          </w:p>
          <w:p w14:paraId="63B99F18" w14:textId="53CECC25" w:rsidR="00615E2D" w:rsidRDefault="00615E2D">
            <w:pPr>
              <w:spacing w:line="240" w:lineRule="auto"/>
              <w:jc w:val="center"/>
              <w:rPr>
                <w:rFonts w:eastAsia="Times New Roman"/>
                <w:noProof/>
                <w:color w:val="006100"/>
                <w:sz w:val="18"/>
              </w:rPr>
            </w:pP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171CA0F" w14:textId="6BA04B92" w:rsidR="00615E2D" w:rsidRDefault="00C83E46">
            <w:pPr>
              <w:pStyle w:val="P68B1DB1-Normal11"/>
              <w:spacing w:line="240" w:lineRule="auto"/>
              <w:rPr>
                <w:noProof/>
              </w:rPr>
            </w:pPr>
            <w:r>
              <w:rPr>
                <w:noProof/>
              </w:rPr>
              <w:t xml:space="preserve">Objavljuje se najmanje jedan poziv na podnošenje projekata za kupnju stambenog prostora za ugroženu djecu. </w:t>
            </w:r>
          </w:p>
          <w:p w14:paraId="0D577751" w14:textId="73F47774" w:rsidR="00615E2D" w:rsidRDefault="00C83E46">
            <w:pPr>
              <w:pStyle w:val="P68B1DB1-Normal11"/>
              <w:spacing w:line="240" w:lineRule="auto"/>
              <w:rPr>
                <w:noProof/>
              </w:rPr>
            </w:pPr>
            <w:r>
              <w:rPr>
                <w:noProof/>
              </w:rPr>
              <w:t xml:space="preserve">U relevantnim pozivima zahtijeva se sljedeće: </w:t>
            </w:r>
          </w:p>
          <w:p w14:paraId="2D379487" w14:textId="7A417737" w:rsidR="00615E2D" w:rsidRDefault="00C83E46">
            <w:pPr>
              <w:pStyle w:val="P68B1DB1-ListParagraph31"/>
              <w:numPr>
                <w:ilvl w:val="0"/>
                <w:numId w:val="219"/>
              </w:numPr>
              <w:spacing w:after="0" w:line="240" w:lineRule="auto"/>
              <w:rPr>
                <w:noProof/>
              </w:rPr>
            </w:pPr>
            <w:r>
              <w:rPr>
                <w:noProof/>
              </w:rPr>
              <w:t>Svaka stambena jedinica ne smije biti veća od 200 m² i imati spavaće sobe namijenjene za najviše dvoje djece.</w:t>
            </w:r>
          </w:p>
          <w:p w14:paraId="6EFB3E8B" w14:textId="3432728B" w:rsidR="00615E2D" w:rsidRDefault="00C83E46">
            <w:pPr>
              <w:pStyle w:val="P68B1DB1-ListParagraph31"/>
              <w:numPr>
                <w:ilvl w:val="0"/>
                <w:numId w:val="219"/>
              </w:numPr>
              <w:spacing w:after="0" w:line="240" w:lineRule="auto"/>
              <w:rPr>
                <w:noProof/>
              </w:rPr>
            </w:pPr>
            <w:r>
              <w:rPr>
                <w:noProof/>
              </w:rPr>
              <w:t>Spavaće sobe namijenjene za dvoje djece ne smiju biti manje od 12,25 m², a spavaće sobe namijenjene za jedno dijete ne smiju biti manje od 8 m².</w:t>
            </w:r>
          </w:p>
          <w:p w14:paraId="6429AEDF" w14:textId="0E611411" w:rsidR="00615E2D" w:rsidRDefault="00C83E46">
            <w:pPr>
              <w:pStyle w:val="P68B1DB1-ListParagraph31"/>
              <w:numPr>
                <w:ilvl w:val="0"/>
                <w:numId w:val="219"/>
              </w:numPr>
              <w:spacing w:after="0" w:line="240" w:lineRule="auto"/>
              <w:rPr>
                <w:noProof/>
              </w:rPr>
            </w:pPr>
            <w:r>
              <w:rPr>
                <w:noProof/>
              </w:rPr>
              <w:t>Djeca izložena riziku koriste stambene jedinice u roku od najviše 12 mjeseci od kupnje.</w:t>
            </w:r>
          </w:p>
          <w:p w14:paraId="3B8B918C" w14:textId="50586CA7" w:rsidR="00615E2D" w:rsidRDefault="00C83E46">
            <w:pPr>
              <w:pStyle w:val="P68B1DB1-ListParagraph31"/>
              <w:numPr>
                <w:ilvl w:val="0"/>
                <w:numId w:val="219"/>
              </w:numPr>
              <w:spacing w:line="240" w:lineRule="auto"/>
              <w:rPr>
                <w:noProof/>
              </w:rPr>
            </w:pPr>
            <w:r>
              <w:rPr>
                <w:noProof/>
              </w:rPr>
              <w:t>Stambene jedinice upotrebljavaju se u socijalne svrhe najmanje 10 godina.</w:t>
            </w:r>
          </w:p>
        </w:tc>
      </w:tr>
      <w:tr w:rsidR="00615E2D" w14:paraId="3B56F69B"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00A3F734" w14:textId="67F4006B" w:rsidR="00615E2D" w:rsidRDefault="00C83E46">
            <w:pPr>
              <w:pStyle w:val="P68B1DB1-Normal28"/>
              <w:spacing w:line="240" w:lineRule="auto"/>
              <w:jc w:val="center"/>
              <w:rPr>
                <w:noProof/>
              </w:rPr>
            </w:pPr>
            <w:r>
              <w:rPr>
                <w:noProof/>
              </w:rPr>
              <w:t>275</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445B6B53" w14:textId="242D6E6F" w:rsidR="00615E2D" w:rsidRDefault="00C83E46">
            <w:pPr>
              <w:pStyle w:val="P68B1DB1-Normal11"/>
              <w:spacing w:line="240" w:lineRule="auto"/>
              <w:rPr>
                <w:noProof/>
              </w:rPr>
            </w:pPr>
            <w:r>
              <w:rPr>
                <w:noProof/>
              </w:rPr>
              <w:t>Ulaganje 4: Razvoj i modernizacija infrastrukture za socijalnu skrb o djeci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CC54D56" w14:textId="521699AB" w:rsidR="00615E2D" w:rsidRDefault="00C83E46">
            <w:pPr>
              <w:pStyle w:val="P68B1DB1-Normal11"/>
              <w:spacing w:line="240" w:lineRule="auto"/>
              <w:rPr>
                <w:noProof/>
              </w:rPr>
            </w:pPr>
            <w:r>
              <w:rPr>
                <w:noProof/>
              </w:rPr>
              <w:t>Prekretnica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49DCE04A" w14:textId="1F19068E" w:rsidR="00615E2D" w:rsidRDefault="00C83E46">
            <w:pPr>
              <w:pStyle w:val="P68B1DB1-Normal11"/>
              <w:spacing w:line="240" w:lineRule="auto"/>
              <w:rPr>
                <w:noProof/>
              </w:rPr>
            </w:pPr>
            <w:r>
              <w:rPr>
                <w:noProof/>
              </w:rPr>
              <w:t>Objavljen poziv na podnošenje projekata za ustanove za ugroženu djecu</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260E5CF" w14:textId="6C0D5765" w:rsidR="00615E2D" w:rsidRDefault="00C83E46">
            <w:pPr>
              <w:pStyle w:val="P68B1DB1-Normal11"/>
              <w:spacing w:line="240" w:lineRule="auto"/>
              <w:rPr>
                <w:noProof/>
              </w:rPr>
            </w:pPr>
            <w:r>
              <w:rPr>
                <w:noProof/>
              </w:rPr>
              <w:t>Poziv na podnošenje projekata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3735CAB" w14:textId="7B3154D7" w:rsidR="00615E2D" w:rsidRDefault="00615E2D">
            <w:pPr>
              <w:spacing w:line="240" w:lineRule="auto"/>
              <w:rPr>
                <w:rFonts w:eastAsia="Times New Roman"/>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62C10EA" w14:textId="1A7EDD33" w:rsidR="00615E2D" w:rsidRDefault="00615E2D">
            <w:pPr>
              <w:spacing w:line="240" w:lineRule="auto"/>
              <w:jc w:val="right"/>
              <w:rPr>
                <w:rFonts w:eastAsia="Times New Roman"/>
                <w:noProof/>
                <w:color w:val="038387"/>
                <w:sz w:val="18"/>
                <w:u w:val="single"/>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03F30156" w14:textId="25857CAB" w:rsidR="00615E2D" w:rsidRDefault="00615E2D">
            <w:pPr>
              <w:spacing w:line="240" w:lineRule="auto"/>
              <w:jc w:val="right"/>
              <w:rPr>
                <w:rFonts w:eastAsia="Times New Roman"/>
                <w:noProof/>
                <w:color w:val="038387"/>
                <w:sz w:val="18"/>
                <w:u w:val="single"/>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2CF84B6" w14:textId="185645E1" w:rsidR="00615E2D" w:rsidRDefault="00C83E46">
            <w:pPr>
              <w:pStyle w:val="P68B1DB1-Normal11"/>
              <w:spacing w:line="240" w:lineRule="auto"/>
              <w:jc w:val="center"/>
              <w:rPr>
                <w:noProof/>
              </w:rPr>
            </w:pPr>
            <w:r>
              <w:rPr>
                <w:noProof/>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0FCF5A19" w14:textId="08417377" w:rsidR="00615E2D" w:rsidRDefault="00C83E46">
            <w:pPr>
              <w:pStyle w:val="P68B1DB1-Normal11"/>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7629AC6C" w14:textId="2508DA17" w:rsidR="00615E2D" w:rsidRDefault="00C83E46">
            <w:pPr>
              <w:pStyle w:val="P68B1DB1-Normal11"/>
              <w:spacing w:after="160" w:line="240" w:lineRule="auto"/>
              <w:rPr>
                <w:noProof/>
              </w:rPr>
            </w:pPr>
            <w:r>
              <w:rPr>
                <w:noProof/>
              </w:rPr>
              <w:t>Objavljuje se najmanje jedan poziv na podnošenje projekata za obnovu ili izgradnju objekata za djecu u opasnosti. U relevantnim pozivima zahtijeva se sljedeće:</w:t>
            </w:r>
          </w:p>
          <w:p w14:paraId="0D282D99" w14:textId="4DE0903E" w:rsidR="00615E2D" w:rsidRDefault="00C83E46">
            <w:pPr>
              <w:pStyle w:val="P68B1DB1-ListParagraph31"/>
              <w:numPr>
                <w:ilvl w:val="0"/>
                <w:numId w:val="273"/>
              </w:numPr>
              <w:spacing w:after="0" w:line="240" w:lineRule="auto"/>
              <w:rPr>
                <w:noProof/>
              </w:rPr>
            </w:pPr>
            <w:r>
              <w:rPr>
                <w:noProof/>
              </w:rPr>
              <w:t>Svaki objekt sastoji se od najviše tri stana, svaki stan mora biti projektiran za najviše šest djece i po svakom stanu, najviše za svaki stan.</w:t>
            </w:r>
          </w:p>
          <w:p w14:paraId="62F45A79" w14:textId="07329EA1" w:rsidR="00615E2D" w:rsidRDefault="00C83E46">
            <w:pPr>
              <w:pStyle w:val="P68B1DB1-ListParagraph31"/>
              <w:numPr>
                <w:ilvl w:val="0"/>
                <w:numId w:val="273"/>
              </w:numPr>
              <w:spacing w:after="0" w:line="240" w:lineRule="auto"/>
              <w:rPr>
                <w:noProof/>
              </w:rPr>
            </w:pPr>
            <w:r>
              <w:rPr>
                <w:noProof/>
              </w:rPr>
              <w:t>Spavaće sobe namijenjene za dvoje djece ne smiju biti manje od 12,25 m², a spavaće sobe namijenjene za jedno dijete ne smiju biti manje od 8 m².</w:t>
            </w:r>
          </w:p>
          <w:p w14:paraId="78A8490C" w14:textId="239FB707" w:rsidR="00615E2D" w:rsidRDefault="00C83E46">
            <w:pPr>
              <w:pStyle w:val="P68B1DB1-ListParagraph31"/>
              <w:numPr>
                <w:ilvl w:val="0"/>
                <w:numId w:val="273"/>
              </w:numPr>
              <w:spacing w:after="0" w:line="240" w:lineRule="auto"/>
              <w:rPr>
                <w:noProof/>
              </w:rPr>
            </w:pPr>
            <w:r>
              <w:rPr>
                <w:noProof/>
              </w:rPr>
              <w:t>Sve obnove uključuju barem druge obnove radi povećanja energetske učinkovitosti.</w:t>
            </w:r>
          </w:p>
          <w:p w14:paraId="2D298313" w14:textId="48B62F89" w:rsidR="00615E2D" w:rsidRDefault="00C83E46">
            <w:pPr>
              <w:pStyle w:val="P68B1DB1-ListParagraph31"/>
              <w:numPr>
                <w:ilvl w:val="0"/>
                <w:numId w:val="273"/>
              </w:numPr>
              <w:spacing w:after="0" w:line="240" w:lineRule="auto"/>
              <w:rPr>
                <w:noProof/>
              </w:rPr>
            </w:pPr>
            <w:r>
              <w:rPr>
                <w:noProof/>
              </w:rPr>
              <w:t>Potražnja za primarnom energijom za sve nove zgrade mora biti najmanje 20 % niža od zahtjeva za zgrade gotovo nulte energije.</w:t>
            </w:r>
          </w:p>
          <w:p w14:paraId="1EE8A12F" w14:textId="1FCBDBD5" w:rsidR="00615E2D" w:rsidRDefault="00C83E46">
            <w:pPr>
              <w:pStyle w:val="P68B1DB1-ListParagraph31"/>
              <w:numPr>
                <w:ilvl w:val="0"/>
                <w:numId w:val="273"/>
              </w:numPr>
              <w:spacing w:after="0" w:line="240" w:lineRule="auto"/>
              <w:rPr>
                <w:noProof/>
              </w:rPr>
            </w:pPr>
            <w:r>
              <w:rPr>
                <w:noProof/>
              </w:rPr>
              <w:t>Objekti se koriste u socijalne svrhe najmanje 10 godina.</w:t>
            </w:r>
          </w:p>
        </w:tc>
      </w:tr>
      <w:tr w:rsidR="00615E2D" w14:paraId="09DFCEF1"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26D4242" w14:textId="67F4006B" w:rsidR="00615E2D" w:rsidRDefault="00C83E46">
            <w:pPr>
              <w:pStyle w:val="P68B1DB1-Normal28"/>
              <w:spacing w:line="240" w:lineRule="auto"/>
              <w:jc w:val="center"/>
              <w:rPr>
                <w:noProof/>
              </w:rPr>
            </w:pPr>
            <w:r>
              <w:rPr>
                <w:noProof/>
              </w:rPr>
              <w:t>276</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59026825" w14:textId="3FF63828" w:rsidR="00615E2D" w:rsidRDefault="00C83E46">
            <w:pPr>
              <w:pStyle w:val="P68B1DB1-Normal11"/>
              <w:spacing w:after="0" w:line="240" w:lineRule="auto"/>
              <w:rPr>
                <w:noProof/>
              </w:rPr>
            </w:pPr>
            <w:r>
              <w:rPr>
                <w:noProof/>
              </w:rPr>
              <w:t>Reforma 4.: Reforma rezidencijalne i socijalne skrbi za ranjivu djecu i obitelji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12959C7" w14:textId="29363CEE" w:rsidR="00615E2D" w:rsidRDefault="00615E2D">
            <w:pPr>
              <w:spacing w:after="0" w:line="240" w:lineRule="auto"/>
              <w:rPr>
                <w:rFonts w:eastAsia="Times New Roman"/>
                <w:noProof/>
                <w:color w:val="006100"/>
                <w:sz w:val="18"/>
              </w:rPr>
            </w:pPr>
          </w:p>
          <w:p w14:paraId="7103224E" w14:textId="6EF1423B" w:rsidR="00615E2D" w:rsidRDefault="00C83E46">
            <w:pPr>
              <w:pStyle w:val="P68B1DB1-Normal11"/>
              <w:spacing w:after="0" w:line="240" w:lineRule="auto"/>
              <w:rPr>
                <w:noProof/>
              </w:rPr>
            </w:pPr>
            <w:r>
              <w:rPr>
                <w:noProof/>
              </w:rPr>
              <w:t>Prekretnica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4AE3B62A" w14:textId="66507B67" w:rsidR="00615E2D" w:rsidRDefault="00C83E46">
            <w:pPr>
              <w:pStyle w:val="P68B1DB1-Normal11"/>
              <w:spacing w:after="0" w:line="240" w:lineRule="auto"/>
              <w:rPr>
                <w:noProof/>
              </w:rPr>
            </w:pPr>
            <w:r>
              <w:rPr>
                <w:noProof/>
              </w:rPr>
              <w:t>Stupanje na snagu izmjene Zakona o socijalnoj i pravnoj zaštiti djece</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3ED2E347" w14:textId="295EDAA7" w:rsidR="00615E2D" w:rsidRDefault="00C83E46">
            <w:pPr>
              <w:pStyle w:val="P68B1DB1-Normal11"/>
              <w:spacing w:after="0" w:line="240" w:lineRule="auto"/>
              <w:rPr>
                <w:noProof/>
              </w:rPr>
            </w:pPr>
            <w:r>
              <w:rPr>
                <w:noProof/>
              </w:rPr>
              <w:t>Pravni akt</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7EDA2B6" w14:textId="3076C885" w:rsidR="00615E2D" w:rsidRDefault="00615E2D">
            <w:pPr>
              <w:spacing w:after="0" w:line="240" w:lineRule="auto"/>
              <w:rPr>
                <w:rFonts w:eastAsia="Times New Roman"/>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9B113F5" w14:textId="57425D57" w:rsidR="00615E2D" w:rsidRDefault="00615E2D">
            <w:pPr>
              <w:spacing w:after="0" w:line="240" w:lineRule="auto"/>
              <w:jc w:val="right"/>
              <w:rPr>
                <w:rFonts w:eastAsia="Times New Roman"/>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2785D924" w14:textId="0DE16B02" w:rsidR="00615E2D" w:rsidRDefault="00615E2D">
            <w:pPr>
              <w:spacing w:after="0" w:line="240" w:lineRule="auto"/>
              <w:jc w:val="right"/>
              <w:rPr>
                <w:rFonts w:eastAsia="Times New Roman"/>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FAFB327" w14:textId="60811B2E" w:rsidR="00615E2D" w:rsidRDefault="00C83E46">
            <w:pPr>
              <w:pStyle w:val="P68B1DB1-Normal11"/>
              <w:spacing w:after="0"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2E292C4D" w14:textId="6FCF5CC2" w:rsidR="00615E2D" w:rsidRDefault="00C83E46">
            <w:pPr>
              <w:pStyle w:val="P68B1DB1-Normal11"/>
              <w:spacing w:after="0"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3E4C952" w14:textId="3969F300" w:rsidR="00615E2D" w:rsidRDefault="00C83E46">
            <w:pPr>
              <w:pStyle w:val="P68B1DB1-Normal11"/>
              <w:spacing w:after="0" w:line="240" w:lineRule="auto"/>
              <w:rPr>
                <w:noProof/>
              </w:rPr>
            </w:pPr>
            <w:r>
              <w:rPr>
                <w:noProof/>
              </w:rPr>
              <w:t>Na snagu stupaju izmjene i dopune Zakona o socijalnoj i pravnoj zaštiti djece kojima se osigurava:</w:t>
            </w:r>
          </w:p>
          <w:p w14:paraId="6672A09E" w14:textId="6B73BE22" w:rsidR="00615E2D" w:rsidRDefault="00C83E46">
            <w:pPr>
              <w:pStyle w:val="P68B1DB1-ListParagraph31"/>
              <w:numPr>
                <w:ilvl w:val="0"/>
                <w:numId w:val="221"/>
              </w:numPr>
              <w:spacing w:after="0" w:line="240" w:lineRule="auto"/>
              <w:rPr>
                <w:noProof/>
              </w:rPr>
            </w:pPr>
            <w:r>
              <w:rPr>
                <w:noProof/>
              </w:rPr>
              <w:t xml:space="preserve">zabranjeno je smještanje djece mlađe od četiri godine u institucionalnu skrb, uz najviše dvije iznimke: i) ne boravi dulje od (najviše) dva mjeseca; i. djeca 3. ili 4. kategorije intenziteta skrbi.  </w:t>
            </w:r>
          </w:p>
          <w:p w14:paraId="06E2675C" w14:textId="178492A2" w:rsidR="00615E2D" w:rsidRDefault="00C83E46">
            <w:pPr>
              <w:pStyle w:val="P68B1DB1-ListParagraph31"/>
              <w:numPr>
                <w:ilvl w:val="0"/>
                <w:numId w:val="221"/>
              </w:numPr>
              <w:spacing w:after="0" w:line="240" w:lineRule="auto"/>
              <w:rPr>
                <w:noProof/>
              </w:rPr>
            </w:pPr>
            <w:r>
              <w:rPr>
                <w:noProof/>
              </w:rPr>
              <w:t>Ukida se institucionalna skrb („dětské domovy pro děti do 3 let věku”) za djecu mlađu od četiri godine</w:t>
            </w:r>
          </w:p>
        </w:tc>
      </w:tr>
      <w:tr w:rsidR="00615E2D" w14:paraId="2137FBB9"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EFBBAD5" w14:textId="67F4006B" w:rsidR="00615E2D" w:rsidRDefault="00C83E46">
            <w:pPr>
              <w:pStyle w:val="P68B1DB1-Normal28"/>
              <w:spacing w:line="240" w:lineRule="auto"/>
              <w:jc w:val="center"/>
              <w:rPr>
                <w:noProof/>
              </w:rPr>
            </w:pPr>
            <w:r>
              <w:rPr>
                <w:noProof/>
              </w:rPr>
              <w:t>277</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0DEBA845" w14:textId="49DC1839" w:rsidR="00615E2D" w:rsidRDefault="00C83E46">
            <w:pPr>
              <w:pStyle w:val="P68B1DB1-Normal11"/>
              <w:spacing w:line="240" w:lineRule="auto"/>
              <w:rPr>
                <w:noProof/>
              </w:rPr>
            </w:pPr>
            <w:r>
              <w:rPr>
                <w:noProof/>
              </w:rPr>
              <w:t>Ulaganje 4: Razvoj i modernizacija infrastrukture za socijalnu skrb o djeci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0F3CC16" w14:textId="49DC1839" w:rsidR="00615E2D" w:rsidRDefault="00C83E46">
            <w:pPr>
              <w:pStyle w:val="P68B1DB1-Normal11"/>
              <w:spacing w:line="240" w:lineRule="auto"/>
              <w:rPr>
                <w:noProof/>
              </w:rPr>
            </w:pPr>
            <w:r>
              <w:rPr>
                <w:noProof/>
              </w:rPr>
              <w:t>Ciljna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0A240D4F" w14:textId="1478A6B4" w:rsidR="00615E2D" w:rsidRDefault="00C83E46">
            <w:pPr>
              <w:pStyle w:val="P68B1DB1-Normal11"/>
              <w:spacing w:after="0" w:line="240" w:lineRule="auto"/>
              <w:rPr>
                <w:noProof/>
              </w:rPr>
            </w:pPr>
            <w:r>
              <w:rPr>
                <w:noProof/>
              </w:rPr>
              <w:t>Stambeni prostor za rizičnu djecu stečenu – prva serija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497A0B50" w14:textId="479146D1" w:rsidR="00615E2D" w:rsidRDefault="00615E2D">
            <w:pPr>
              <w:spacing w:line="240" w:lineRule="auto"/>
              <w:rPr>
                <w:rFonts w:eastAsia="Times New Roman"/>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25107BB" w14:textId="58F5FDA9" w:rsidR="00615E2D" w:rsidRDefault="00C83E46">
            <w:pPr>
              <w:pStyle w:val="P68B1DB1-Normal11"/>
              <w:spacing w:line="240" w:lineRule="auto"/>
              <w:jc w:val="center"/>
              <w:rPr>
                <w:noProof/>
              </w:rPr>
            </w:pPr>
            <w:r>
              <w:rPr>
                <w:noProof/>
              </w:rPr>
              <w:t>Stambene jedinice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9164CD3" w14:textId="416C9ED0" w:rsidR="00615E2D" w:rsidRDefault="00C83E46">
            <w:pPr>
              <w:pStyle w:val="P68B1DB1-Normal11"/>
              <w:spacing w:line="240" w:lineRule="auto"/>
              <w:jc w:val="center"/>
              <w:rPr>
                <w:noProof/>
              </w:rPr>
            </w:pPr>
            <w:r>
              <w:rPr>
                <w:noProof/>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68FCA7AF" w14:textId="7CEBE7B7" w:rsidR="00615E2D" w:rsidRDefault="00C83E46">
            <w:pPr>
              <w:pStyle w:val="P68B1DB1-Normal11"/>
              <w:spacing w:line="240" w:lineRule="auto"/>
              <w:jc w:val="center"/>
              <w:rPr>
                <w:noProof/>
              </w:rPr>
            </w:pPr>
            <w:r>
              <w:rPr>
                <w:noProof/>
              </w:rPr>
              <w:t>1800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D4F6BE7" w14:textId="4C06F18C" w:rsidR="00615E2D" w:rsidRDefault="00C83E46">
            <w:pPr>
              <w:pStyle w:val="P68B1DB1-Normal11"/>
              <w:spacing w:line="240" w:lineRule="auto"/>
              <w:jc w:val="center"/>
              <w:rPr>
                <w:noProof/>
              </w:rPr>
            </w:pPr>
            <w:r>
              <w:rPr>
                <w:noProof/>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2BAFF6AF" w14:textId="7469FD81" w:rsidR="00615E2D" w:rsidRDefault="00C83E46">
            <w:pPr>
              <w:pStyle w:val="P68B1DB1-Normal11"/>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30802367" w14:textId="2624B1A4" w:rsidR="00615E2D" w:rsidRDefault="00C83E46">
            <w:pPr>
              <w:pStyle w:val="P68B1DB1-Normal11"/>
              <w:spacing w:line="240" w:lineRule="auto"/>
              <w:rPr>
                <w:noProof/>
              </w:rPr>
            </w:pPr>
            <w:r>
              <w:rPr>
                <w:noProof/>
              </w:rPr>
              <w:t>Najmanje 1 800 m² stambene površine nabavlja se kao smještaj za ugroženu djecu u skladu s pozivima na podnošenje prijedloga za projekte u ključnoj etapi 274 ili u drugom pozivu koji ispunjava iste zahtjeve.</w:t>
            </w:r>
          </w:p>
        </w:tc>
      </w:tr>
      <w:tr w:rsidR="00615E2D" w14:paraId="6D651D1F"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36FBB22" w14:textId="67F4006B" w:rsidR="00615E2D" w:rsidRDefault="00C83E46">
            <w:pPr>
              <w:pStyle w:val="P68B1DB1-Normal28"/>
              <w:spacing w:line="240" w:lineRule="auto"/>
              <w:jc w:val="center"/>
              <w:rPr>
                <w:noProof/>
              </w:rPr>
            </w:pPr>
            <w:r>
              <w:rPr>
                <w:noProof/>
              </w:rPr>
              <w:t>278</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4F4D86A7" w14:textId="4B89650F" w:rsidR="00615E2D" w:rsidRDefault="00C83E46">
            <w:pPr>
              <w:pStyle w:val="P68B1DB1-Normal11"/>
              <w:spacing w:line="240" w:lineRule="auto"/>
              <w:rPr>
                <w:noProof/>
              </w:rPr>
            </w:pPr>
            <w:r>
              <w:rPr>
                <w:noProof/>
              </w:rPr>
              <w:t>Ulaganje 4: Razvoj i modernizacija infrastrukture za socijalnu skrb o djeci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D36EA83" w14:textId="6F6E12FE" w:rsidR="00615E2D" w:rsidRDefault="00C83E46">
            <w:pPr>
              <w:pStyle w:val="P68B1DB1-Normal11"/>
              <w:spacing w:line="240" w:lineRule="auto"/>
              <w:rPr>
                <w:noProof/>
              </w:rPr>
            </w:pPr>
            <w:r>
              <w:rPr>
                <w:noProof/>
              </w:rPr>
              <w:t>Ciljna</w:t>
            </w:r>
          </w:p>
          <w:p w14:paraId="556A2340" w14:textId="6A4EF8C8" w:rsidR="00615E2D" w:rsidRDefault="00615E2D">
            <w:pPr>
              <w:spacing w:line="240" w:lineRule="auto"/>
              <w:rPr>
                <w:rFonts w:eastAsia="Times New Roman"/>
                <w:noProof/>
                <w:color w:val="006100"/>
                <w:sz w:val="18"/>
              </w:rPr>
            </w:pP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3EBBF732" w14:textId="465A2738" w:rsidR="00615E2D" w:rsidRDefault="00C83E46">
            <w:pPr>
              <w:pStyle w:val="P68B1DB1-Normal11"/>
              <w:spacing w:after="0" w:line="240" w:lineRule="auto"/>
              <w:rPr>
                <w:noProof/>
              </w:rPr>
            </w:pPr>
            <w:r>
              <w:rPr>
                <w:noProof/>
              </w:rPr>
              <w:t>Stambeni prostor za rizičnu djecu stečenu – druga serija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65DE1FCB" w14:textId="539FCC70" w:rsidR="00615E2D" w:rsidRDefault="00615E2D">
            <w:pPr>
              <w:spacing w:line="240" w:lineRule="auto"/>
              <w:rPr>
                <w:rFonts w:eastAsia="Times New Roman"/>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8380C2A" w14:textId="1D5E7892" w:rsidR="00615E2D" w:rsidRDefault="00615E2D">
            <w:pPr>
              <w:spacing w:line="240" w:lineRule="auto"/>
              <w:rPr>
                <w:rFonts w:eastAsia="Times New Roman"/>
                <w:noProof/>
                <w:color w:val="006100"/>
                <w:sz w:val="18"/>
              </w:rPr>
            </w:pPr>
          </w:p>
          <w:p w14:paraId="226F2535" w14:textId="60B4C7AB" w:rsidR="00615E2D" w:rsidRDefault="00C83E46">
            <w:pPr>
              <w:pStyle w:val="P68B1DB1-Normal11"/>
              <w:spacing w:line="240" w:lineRule="auto"/>
              <w:rPr>
                <w:noProof/>
              </w:rPr>
            </w:pPr>
            <w:r>
              <w:rPr>
                <w:noProof/>
              </w:rPr>
              <w:t>Stambene jedinice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2C89283" w14:textId="247E37E0" w:rsidR="00615E2D" w:rsidRDefault="00C83E46">
            <w:pPr>
              <w:pStyle w:val="P68B1DB1-Normal11"/>
              <w:spacing w:line="240" w:lineRule="auto"/>
              <w:jc w:val="right"/>
              <w:rPr>
                <w:noProof/>
              </w:rPr>
            </w:pPr>
            <w:r>
              <w:rPr>
                <w:noProof/>
              </w:rPr>
              <w:t>1800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287FA7F9" w14:textId="5F25CB44" w:rsidR="00615E2D" w:rsidRDefault="00C83E46">
            <w:pPr>
              <w:pStyle w:val="P68B1DB1-Normal11"/>
              <w:spacing w:line="240" w:lineRule="auto"/>
              <w:rPr>
                <w:noProof/>
              </w:rPr>
            </w:pPr>
            <w:r>
              <w:rPr>
                <w:noProof/>
              </w:rPr>
              <w:t>5580</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64B74F2" w14:textId="03324E34" w:rsidR="00615E2D" w:rsidRDefault="00C83E46">
            <w:pPr>
              <w:pStyle w:val="P68B1DB1-Normal11"/>
              <w:spacing w:after="0"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66635B82" w14:textId="4767FB43" w:rsidR="00615E2D" w:rsidRDefault="00C83E46">
            <w:pPr>
              <w:pStyle w:val="P68B1DB1-Normal11"/>
              <w:spacing w:after="0"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90CDBF7" w14:textId="10C1CBB4" w:rsidR="00615E2D" w:rsidRDefault="00C83E46">
            <w:pPr>
              <w:pStyle w:val="P68B1DB1-Normal11"/>
              <w:spacing w:line="240" w:lineRule="auto"/>
              <w:rPr>
                <w:noProof/>
              </w:rPr>
            </w:pPr>
            <w:r>
              <w:rPr>
                <w:noProof/>
              </w:rPr>
              <w:t>Najmanje 3 780 m² dodatne stambene površine nabavlja se kao smještaj za djecu izloženu riziku u skladu s pozivima na podnošenje prijedloga za projekte u ključnoj etapi 274 ili drugim pozivom koji ispunjava iste zahtjeve.</w:t>
            </w:r>
          </w:p>
        </w:tc>
      </w:tr>
      <w:tr w:rsidR="00615E2D" w14:paraId="4F64717B"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212ADB45" w14:textId="67F4006B" w:rsidR="00615E2D" w:rsidRDefault="00C83E46">
            <w:pPr>
              <w:pStyle w:val="P68B1DB1-Normal28"/>
              <w:spacing w:line="240" w:lineRule="auto"/>
              <w:jc w:val="center"/>
              <w:rPr>
                <w:noProof/>
              </w:rPr>
            </w:pPr>
            <w:r>
              <w:rPr>
                <w:noProof/>
              </w:rPr>
              <w:t>279</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24A6B27C" w14:textId="2871FA81" w:rsidR="00615E2D" w:rsidRDefault="00C83E46">
            <w:pPr>
              <w:pStyle w:val="P68B1DB1-Normal11"/>
              <w:spacing w:line="240" w:lineRule="auto"/>
              <w:rPr>
                <w:noProof/>
              </w:rPr>
            </w:pPr>
            <w:r>
              <w:rPr>
                <w:noProof/>
              </w:rPr>
              <w:t>Ulaganje 4: Razvoj i modernizacija infrastrukture za socijalnu skrb o djeci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025C952" w14:textId="3E3A7242" w:rsidR="00615E2D" w:rsidRDefault="00C83E46">
            <w:pPr>
              <w:pStyle w:val="P68B1DB1-Normal11"/>
              <w:spacing w:line="240" w:lineRule="auto"/>
              <w:rPr>
                <w:noProof/>
              </w:rPr>
            </w:pPr>
            <w:r>
              <w:rPr>
                <w:noProof/>
              </w:rPr>
              <w:t>Ciljna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29A5502C" w14:textId="69372103" w:rsidR="00615E2D" w:rsidRDefault="00C83E46">
            <w:pPr>
              <w:pStyle w:val="P68B1DB1-Normal11"/>
              <w:spacing w:line="240" w:lineRule="auto"/>
              <w:rPr>
                <w:noProof/>
              </w:rPr>
            </w:pPr>
            <w:r>
              <w:rPr>
                <w:noProof/>
              </w:rPr>
              <w:t>Kapacitet ustanova za ugroženu djecu</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7DF0A23E" w14:textId="2AB7C94A" w:rsidR="00615E2D" w:rsidRDefault="00615E2D">
            <w:pPr>
              <w:spacing w:line="240" w:lineRule="auto"/>
              <w:rPr>
                <w:rFonts w:eastAsia="Times New Roman"/>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ACCE2CE" w14:textId="2F19F851" w:rsidR="00615E2D" w:rsidRDefault="00C83E46">
            <w:pPr>
              <w:pStyle w:val="P68B1DB1-Normal11"/>
              <w:spacing w:line="240" w:lineRule="auto"/>
              <w:rPr>
                <w:noProof/>
              </w:rPr>
            </w:pPr>
            <w:r>
              <w:rPr>
                <w:noProof/>
              </w:rPr>
              <w:t>Mjesta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FCB1056" w14:textId="2B83CE33" w:rsidR="00615E2D" w:rsidRDefault="00C83E46">
            <w:pPr>
              <w:pStyle w:val="P68B1DB1-Normal11"/>
              <w:spacing w:line="240" w:lineRule="auto"/>
              <w:jc w:val="center"/>
              <w:rPr>
                <w:noProof/>
              </w:rPr>
            </w:pPr>
            <w:r>
              <w:rPr>
                <w:noProof/>
              </w:rPr>
              <w:t>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0F057E33" w14:textId="53FA09B9" w:rsidR="00615E2D" w:rsidRDefault="00C83E46">
            <w:pPr>
              <w:pStyle w:val="P68B1DB1-Normal11"/>
              <w:spacing w:line="240" w:lineRule="auto"/>
              <w:jc w:val="center"/>
              <w:rPr>
                <w:noProof/>
              </w:rPr>
            </w:pPr>
            <w:r>
              <w:rPr>
                <w:noProof/>
              </w:rPr>
              <w:t>237</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213C2FE" w14:textId="102F1F00" w:rsidR="00615E2D" w:rsidRDefault="00C83E46">
            <w:pPr>
              <w:pStyle w:val="P68B1DB1-Normal11"/>
              <w:spacing w:line="240" w:lineRule="auto"/>
              <w:jc w:val="center"/>
              <w:rPr>
                <w:noProof/>
              </w:rPr>
            </w:pPr>
            <w:r>
              <w:rPr>
                <w:noProof/>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66F73D0F" w14:textId="7A410A4C" w:rsidR="00615E2D" w:rsidRDefault="00C83E46">
            <w:pPr>
              <w:pStyle w:val="P68B1DB1-Normal11"/>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EE459E2" w14:textId="41CB14CD" w:rsidR="00615E2D" w:rsidRDefault="00C83E46">
            <w:pPr>
              <w:pStyle w:val="P68B1DB1-Normal11"/>
              <w:spacing w:line="240" w:lineRule="auto"/>
              <w:rPr>
                <w:noProof/>
              </w:rPr>
            </w:pPr>
            <w:r>
              <w:rPr>
                <w:noProof/>
              </w:rPr>
              <w:t xml:space="preserve">U rizičnim objektima za djecu mora biti najmanje 237 mjesta izgrađenih ili obnovljenih u skladu s pozivom na podnošenje projekata u ključnoj etapi 275 ili drugom pozivu koji ispunjava iste zahtjeve. </w:t>
            </w:r>
          </w:p>
          <w:p w14:paraId="411779BC" w14:textId="3E96F1A1" w:rsidR="00615E2D" w:rsidRDefault="00C83E46">
            <w:pPr>
              <w:pStyle w:val="P68B1DB1-Normal11"/>
              <w:spacing w:line="240" w:lineRule="auto"/>
              <w:rPr>
                <w:noProof/>
              </w:rPr>
            </w:pPr>
            <w:r>
              <w:rPr>
                <w:noProof/>
              </w:rPr>
              <w:t>Od 237 mjesta najmanje 35 % mora se obnoviti i ostvariti najmanje 30 % uštede primarne energije ili najmanje 30 % smanjenja izravnih i neizravnih emisija stakleničkih plinova.</w:t>
            </w:r>
          </w:p>
        </w:tc>
      </w:tr>
    </w:tbl>
    <w:p w14:paraId="4DF2D7F6" w14:textId="77777777" w:rsidR="00615E2D" w:rsidRDefault="00615E2D">
      <w:pPr>
        <w:rPr>
          <w:noProof/>
        </w:rPr>
        <w:sectPr w:rsidR="00615E2D" w:rsidSect="003C3F81">
          <w:headerReference w:type="even" r:id="rId312"/>
          <w:headerReference w:type="default" r:id="rId313"/>
          <w:footerReference w:type="even" r:id="rId314"/>
          <w:footerReference w:type="default" r:id="rId315"/>
          <w:headerReference w:type="first" r:id="rId316"/>
          <w:footerReference w:type="first" r:id="rId317"/>
          <w:pgSz w:w="16839" w:h="11907" w:orient="landscape"/>
          <w:pgMar w:top="1134" w:right="1134" w:bottom="1134" w:left="1134" w:header="567" w:footer="567" w:gutter="0"/>
          <w:cols w:space="720"/>
          <w:docGrid w:linePitch="326"/>
        </w:sectPr>
      </w:pPr>
    </w:p>
    <w:p w14:paraId="5C3B5FC4" w14:textId="611F2CE3" w:rsidR="00615E2D" w:rsidRDefault="00C83E46">
      <w:pPr>
        <w:pStyle w:val="P68B1DB1-Normal2"/>
        <w:keepNext/>
        <w:tabs>
          <w:tab w:val="left" w:pos="850"/>
        </w:tabs>
        <w:spacing w:before="360" w:line="240" w:lineRule="auto"/>
        <w:jc w:val="both"/>
        <w:outlineLvl w:val="0"/>
        <w:rPr>
          <w:noProof/>
        </w:rPr>
      </w:pPr>
      <w:r>
        <w:rPr>
          <w:noProof/>
        </w:rPr>
        <w:t>U. SASTAVNICA 4.1.: Sustavna potpora za javna ulaganja</w:t>
      </w:r>
    </w:p>
    <w:p w14:paraId="19AE07A6" w14:textId="5AB5F0EC" w:rsidR="00615E2D" w:rsidRDefault="00C83E46">
      <w:pPr>
        <w:pStyle w:val="P68B1DB1-Normal4"/>
        <w:spacing w:line="259" w:lineRule="auto"/>
        <w:jc w:val="both"/>
        <w:rPr>
          <w:noProof/>
          <w:color w:val="000000" w:themeColor="text1"/>
        </w:rPr>
      </w:pPr>
      <w:r>
        <w:rPr>
          <w:noProof/>
        </w:rPr>
        <w:t xml:space="preserve">Ta komponenta češkog plana za oporavak i otpornost pridonosi svladavanju izazova jačanja administrativnih kapaciteta javne uprave u Češkoj. Cilj je komponente pružiti metodološku potporu za pripremu projekata, modernizirati strateški okvir i kapacitete u području javne nabave, poduprijeti pripremu projekata ulaganja i povećati broj osoblja koje radi na provedbi plana za oporavak i otpornost u Češkoj. </w:t>
      </w:r>
    </w:p>
    <w:p w14:paraId="74AA4A67" w14:textId="44832548" w:rsidR="00615E2D" w:rsidRDefault="00C83E46">
      <w:pPr>
        <w:pStyle w:val="P68B1DB1-Normal4"/>
        <w:spacing w:line="259" w:lineRule="auto"/>
        <w:jc w:val="both"/>
        <w:rPr>
          <w:noProof/>
          <w:color w:val="000000" w:themeColor="text1"/>
        </w:rPr>
      </w:pPr>
      <w:r>
        <w:rPr>
          <w:noProof/>
        </w:rPr>
        <w:t>Komponentom se podupire odgovor na preporuku za pojedinu zemlju 3. 2019., u skladu s kojom će Češka smanjiti administrativno opterećenje ulaganja i podupirati tržišno natjecanje u javnoj nabavi koje se više temelji na kvaliteti, te preporuku za pojedinu zemlju br. 3 2020., u skladu s kojom Češka pruža potporu malim i srednjim poduzećima većom upotrebom financijskih instrumenata kako bi se osigurala potpora likvidnosti, smanjilo administrativno opterećenje i poboljšala e-uprava.</w:t>
      </w:r>
    </w:p>
    <w:p w14:paraId="5987FA7D" w14:textId="5B8FF68B"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246AD4FB" w14:textId="708F3ECE" w:rsidR="00615E2D" w:rsidRDefault="00615E2D">
      <w:pPr>
        <w:keepNext/>
        <w:spacing w:line="240" w:lineRule="auto"/>
        <w:jc w:val="both"/>
        <w:rPr>
          <w:rFonts w:eastAsia="Times New Roman"/>
          <w:noProof/>
          <w:color w:val="000000" w:themeColor="text1"/>
        </w:rPr>
      </w:pPr>
    </w:p>
    <w:p w14:paraId="77936C62" w14:textId="581BC8B3" w:rsidR="00615E2D" w:rsidRDefault="00C83E46">
      <w:pPr>
        <w:keepNext/>
        <w:spacing w:line="240" w:lineRule="auto"/>
        <w:jc w:val="both"/>
        <w:rPr>
          <w:rFonts w:eastAsia="Times New Roman"/>
          <w:noProof/>
          <w:color w:val="000000" w:themeColor="text1"/>
        </w:rPr>
      </w:pPr>
      <w:r>
        <w:rPr>
          <w:rFonts w:eastAsia="Times New Roman"/>
          <w:b/>
          <w:noProof/>
          <w:color w:val="000000" w:themeColor="text1"/>
          <w:u w:val="single"/>
        </w:rPr>
        <w:t xml:space="preserve">U.1. </w:t>
      </w:r>
      <w:r>
        <w:rPr>
          <w:noProof/>
        </w:rPr>
        <w:tab/>
      </w:r>
      <w:r>
        <w:rPr>
          <w:rFonts w:eastAsia="Times New Roman"/>
          <w:b/>
          <w:noProof/>
          <w:color w:val="000000" w:themeColor="text1"/>
          <w:u w:val="single"/>
        </w:rPr>
        <w:t>Opis reformi i ulaganja za programe bespovratne financijske potpore</w:t>
      </w:r>
    </w:p>
    <w:p w14:paraId="38782A0F" w14:textId="7D9A88A9" w:rsidR="00615E2D" w:rsidRDefault="00C83E46">
      <w:pPr>
        <w:pStyle w:val="P68B1DB1-Normal18"/>
        <w:spacing w:line="259" w:lineRule="auto"/>
        <w:jc w:val="both"/>
        <w:rPr>
          <w:noProof/>
        </w:rPr>
      </w:pPr>
      <w:r>
        <w:rPr>
          <w:noProof/>
        </w:rPr>
        <w:t xml:space="preserve">Reforma 1.: Metodološka potpora za pripremu projekata u skladu s ciljevima EU-a   </w:t>
      </w:r>
    </w:p>
    <w:p w14:paraId="5B7FAF10" w14:textId="478C721D" w:rsidR="00615E2D" w:rsidRDefault="00C83E46">
      <w:pPr>
        <w:pStyle w:val="P68B1DB1-Normal4"/>
        <w:spacing w:line="259" w:lineRule="auto"/>
        <w:jc w:val="both"/>
        <w:rPr>
          <w:noProof/>
          <w:color w:val="000000" w:themeColor="text1"/>
        </w:rPr>
      </w:pPr>
      <w:r>
        <w:rPr>
          <w:noProof/>
        </w:rPr>
        <w:t xml:space="preserve">Reforma se sastoji od institucijskih i proceduralnih promjena, a cilj joj je pružiti izgradnju kapaciteta, kao i metodološku i informacijsku potporu javnim ulagačima, npr. općinama, regijama ili korporacijama u vlasništvu javnih subjekata koji su odgovorni za provedbu javnih ulaganja. Tu metodološku i informacijsku potporu pruža osnovan Centar za koordinaciju i stručnost. Reforma je usmjerena na donošenje plana upravljanja Centra za koordinaciju i stručnost s detaljnim opisom podržanih aktivnosti i njihovim vremenskim rasporedom provedbe. </w:t>
      </w:r>
    </w:p>
    <w:p w14:paraId="6A54F4C9" w14:textId="58DA7808" w:rsidR="00615E2D" w:rsidRDefault="00C83E46">
      <w:pPr>
        <w:pStyle w:val="P68B1DB1-Normal4"/>
        <w:spacing w:line="259" w:lineRule="auto"/>
        <w:jc w:val="both"/>
        <w:rPr>
          <w:noProof/>
          <w:color w:val="000000" w:themeColor="text1"/>
        </w:rPr>
      </w:pPr>
      <w:r>
        <w:rPr>
          <w:noProof/>
        </w:rPr>
        <w:t>Ta će se reforma provesti do 31. prosinca 2023.</w:t>
      </w:r>
    </w:p>
    <w:p w14:paraId="46CBEC9A" w14:textId="1606F8B8" w:rsidR="00615E2D" w:rsidRDefault="00C83E46">
      <w:pPr>
        <w:pStyle w:val="P68B1DB1-Normal18"/>
        <w:spacing w:line="259" w:lineRule="auto"/>
        <w:jc w:val="both"/>
        <w:rPr>
          <w:noProof/>
        </w:rPr>
      </w:pPr>
      <w:r>
        <w:rPr>
          <w:noProof/>
        </w:rPr>
        <w:t>Reforma br. 2: Metodološka potpora i modernizacija javnih ulaganja</w:t>
      </w:r>
    </w:p>
    <w:p w14:paraId="5A380FB7" w14:textId="0F731998" w:rsidR="00615E2D" w:rsidRDefault="00C83E46">
      <w:pPr>
        <w:pStyle w:val="P68B1DB1-Normal4"/>
        <w:keepNext/>
        <w:spacing w:line="240" w:lineRule="auto"/>
        <w:jc w:val="both"/>
        <w:rPr>
          <w:noProof/>
          <w:color w:val="000000" w:themeColor="text1"/>
        </w:rPr>
      </w:pPr>
      <w:r>
        <w:rPr>
          <w:noProof/>
        </w:rPr>
        <w:t>Reforma se sastoji od institucijskih i postupovnih promjena, a cilj joj je poduprijeti pripremu i donošenje nove strategije javne nabave i akcijskog plana za njezinu provedbu. Strategija i akcijski plan usmjereni su barem na sljedeće prioritete: profesionalizacija javnih naručitelja, održiva nabava, centralizacija i zajednička nabava.</w:t>
      </w:r>
    </w:p>
    <w:p w14:paraId="507B4570" w14:textId="7B846702" w:rsidR="00615E2D" w:rsidRDefault="00C83E46">
      <w:pPr>
        <w:pStyle w:val="P68B1DB1-Normal4"/>
        <w:spacing w:line="259" w:lineRule="auto"/>
        <w:jc w:val="both"/>
        <w:rPr>
          <w:noProof/>
          <w:color w:val="000000" w:themeColor="text1"/>
        </w:rPr>
      </w:pPr>
      <w:r>
        <w:rPr>
          <w:noProof/>
        </w:rPr>
        <w:t>Ta se reforma provodi do 31. ožujka 2024.</w:t>
      </w:r>
    </w:p>
    <w:p w14:paraId="02A980F1" w14:textId="5F84FF95" w:rsidR="00615E2D" w:rsidRDefault="00C83E46">
      <w:pPr>
        <w:pStyle w:val="P68B1DB1-Normal18"/>
        <w:keepNext/>
        <w:spacing w:line="259" w:lineRule="auto"/>
        <w:jc w:val="both"/>
        <w:rPr>
          <w:noProof/>
        </w:rPr>
      </w:pPr>
      <w:r>
        <w:rPr>
          <w:noProof/>
        </w:rPr>
        <w:t xml:space="preserve">Reforma 3.: Financijska potpora za pripremu projekata u skladu s ciljevima EU-a </w:t>
      </w:r>
    </w:p>
    <w:p w14:paraId="4A75FE40" w14:textId="503BBF92" w:rsidR="00615E2D" w:rsidRDefault="00C83E46">
      <w:pPr>
        <w:pStyle w:val="P68B1DB1-Normal4"/>
        <w:spacing w:line="259" w:lineRule="auto"/>
        <w:jc w:val="both"/>
        <w:rPr>
          <w:noProof/>
          <w:color w:val="000000" w:themeColor="text1"/>
        </w:rPr>
      </w:pPr>
      <w:r>
        <w:rPr>
          <w:noProof/>
        </w:rPr>
        <w:t xml:space="preserve">Reforma se sastoji od institucijskih i proceduralnih promjena i cilj joj je pripremiti najmanje 90 projekata, uključujući najmanje 72 projekta koji moraju biti dovoljno konačni da se podnesu u pozivima na podnošenje prijedloga iz različitih izvora financiranja. </w:t>
      </w:r>
    </w:p>
    <w:p w14:paraId="3751B73D" w14:textId="3217E51B" w:rsidR="00615E2D" w:rsidRDefault="00C83E46">
      <w:pPr>
        <w:pStyle w:val="P68B1DB1-Normal4"/>
        <w:spacing w:line="259" w:lineRule="auto"/>
        <w:jc w:val="both"/>
        <w:rPr>
          <w:noProof/>
          <w:color w:val="000000" w:themeColor="text1"/>
        </w:rPr>
      </w:pPr>
      <w:r>
        <w:rPr>
          <w:noProof/>
        </w:rPr>
        <w:t xml:space="preserve">Ta će se reforma provesti do 30. lipnja 2026. </w:t>
      </w:r>
    </w:p>
    <w:p w14:paraId="02326826" w14:textId="61BFCF60" w:rsidR="00615E2D" w:rsidRDefault="00C83E46">
      <w:pPr>
        <w:pStyle w:val="P68B1DB1-Normal18"/>
        <w:spacing w:line="259" w:lineRule="auto"/>
        <w:jc w:val="both"/>
        <w:rPr>
          <w:noProof/>
        </w:rPr>
      </w:pPr>
      <w:r>
        <w:rPr>
          <w:noProof/>
        </w:rPr>
        <w:t xml:space="preserve">Reforma 4.: Povećanje učinkovitosti i poboljšanje provedbe nacionalnog plana za oporavak i otpornost  </w:t>
      </w:r>
    </w:p>
    <w:p w14:paraId="35A56EB0" w14:textId="1F3116C3" w:rsidR="00615E2D" w:rsidRDefault="00C83E46">
      <w:pPr>
        <w:pStyle w:val="P68B1DB1-Normal4"/>
        <w:spacing w:line="259" w:lineRule="auto"/>
        <w:jc w:val="both"/>
        <w:rPr>
          <w:noProof/>
          <w:color w:val="000000" w:themeColor="text1"/>
        </w:rPr>
      </w:pPr>
      <w:r>
        <w:rPr>
          <w:noProof/>
        </w:rPr>
        <w:t>Reforma se sastoji od institucijskih i postupovnih promjena, a cilj joj je jačanje administrativnih kapaciteta za koordinaciju i provedbu češkog plana za oporavak i otpornost. Nove osobe u ekvivalentu punog radnog vremena zapošljavaju se za potporu strateškim, analitičkim, koordinacijskim, nadzornim, kontrolnim i komunikacijskim aktivnostima tijela uključenih u provedbu Plana, uključujući njegovu koordinaciju i reviziju. Podupiru se i komunikacijska i medijska kampanja te nove funkcije sustava praćenja i izvješćivanja.</w:t>
      </w:r>
    </w:p>
    <w:p w14:paraId="3D87AB10" w14:textId="77777777" w:rsidR="00615E2D" w:rsidRDefault="00C83E46">
      <w:pPr>
        <w:pStyle w:val="P68B1DB1-Normal4"/>
        <w:keepNext/>
        <w:spacing w:line="240" w:lineRule="auto"/>
        <w:jc w:val="both"/>
        <w:rPr>
          <w:noProof/>
          <w:color w:val="000000" w:themeColor="text1"/>
        </w:rPr>
        <w:sectPr w:rsidR="00615E2D" w:rsidSect="003C3F81">
          <w:headerReference w:type="even" r:id="rId318"/>
          <w:headerReference w:type="default" r:id="rId319"/>
          <w:footerReference w:type="even" r:id="rId320"/>
          <w:footerReference w:type="default" r:id="rId321"/>
          <w:headerReference w:type="first" r:id="rId322"/>
          <w:footerReference w:type="first" r:id="rId323"/>
          <w:pgSz w:w="11907" w:h="16839"/>
          <w:pgMar w:top="1134" w:right="1134" w:bottom="1134" w:left="1134" w:header="567" w:footer="567" w:gutter="0"/>
          <w:cols w:space="720"/>
          <w:docGrid w:linePitch="326"/>
        </w:sectPr>
      </w:pPr>
      <w:r>
        <w:rPr>
          <w:noProof/>
        </w:rPr>
        <w:t>Ta se reforma provodi do 31. prosinca 2024.</w:t>
      </w:r>
    </w:p>
    <w:p w14:paraId="6D8659D2" w14:textId="4214CA97" w:rsidR="00615E2D" w:rsidRDefault="00C83E46">
      <w:pPr>
        <w:pStyle w:val="P68B1DB1-Normal44"/>
        <w:keepNext/>
        <w:spacing w:line="240" w:lineRule="auto"/>
        <w:jc w:val="both"/>
        <w:rPr>
          <w:rFonts w:eastAsia="Times New Roman"/>
          <w:b/>
          <w:noProof/>
          <w:color w:val="000000" w:themeColor="text1"/>
        </w:rPr>
      </w:pPr>
      <w:r>
        <w:rPr>
          <w:rFonts w:eastAsia="Times New Roman"/>
          <w:b/>
          <w:noProof/>
          <w:color w:val="000000" w:themeColor="text1"/>
        </w:rPr>
        <w:t xml:space="preserve">U.2. </w:t>
      </w:r>
      <w:r>
        <w:rPr>
          <w:noProof/>
        </w:rPr>
        <w:tab/>
      </w:r>
      <w:r>
        <w:rPr>
          <w:rFonts w:eastAsia="Times New Roman"/>
          <w:b/>
          <w:noProof/>
          <w:color w:val="000000" w:themeColor="text1"/>
        </w:rPr>
        <w:t>Ključne etape, ciljne vrijednosti i vremenski raspored za praćenje i provedbu programa bespovratne financijske potpore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7"/>
        <w:gridCol w:w="1565"/>
        <w:gridCol w:w="1095"/>
        <w:gridCol w:w="1489"/>
        <w:gridCol w:w="1731"/>
        <w:gridCol w:w="955"/>
        <w:gridCol w:w="955"/>
        <w:gridCol w:w="955"/>
        <w:gridCol w:w="1040"/>
        <w:gridCol w:w="640"/>
        <w:gridCol w:w="3959"/>
      </w:tblGrid>
      <w:tr w:rsidR="00615E2D" w14:paraId="2503A0B8" w14:textId="77777777">
        <w:trPr>
          <w:trHeight w:val="672"/>
          <w:tblHeader/>
          <w:jc w:val="center"/>
        </w:trPr>
        <w:tc>
          <w:tcPr>
            <w:tcW w:w="654" w:type="dxa"/>
            <w:vMerge w:val="restart"/>
            <w:shd w:val="clear" w:color="auto" w:fill="BDD7EE"/>
            <w:vAlign w:val="center"/>
            <w:hideMark/>
          </w:tcPr>
          <w:p w14:paraId="402064F9" w14:textId="77777777" w:rsidR="00615E2D" w:rsidRDefault="00C83E46">
            <w:pPr>
              <w:pStyle w:val="P68B1DB1-Normal9"/>
              <w:spacing w:before="0" w:after="0" w:line="240" w:lineRule="auto"/>
              <w:jc w:val="center"/>
              <w:rPr>
                <w:noProof/>
              </w:rPr>
            </w:pPr>
            <w:r>
              <w:rPr>
                <w:noProof/>
              </w:rPr>
              <w:t>Sljedeće NUM.</w:t>
            </w:r>
          </w:p>
        </w:tc>
        <w:tc>
          <w:tcPr>
            <w:tcW w:w="1625" w:type="dxa"/>
            <w:vMerge w:val="restart"/>
            <w:shd w:val="clear" w:color="auto" w:fill="BDD7EE"/>
            <w:vAlign w:val="center"/>
            <w:hideMark/>
          </w:tcPr>
          <w:p w14:paraId="35CE7861"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4CECE57F" w14:textId="77777777" w:rsidR="00615E2D" w:rsidRDefault="00C83E46">
            <w:pPr>
              <w:pStyle w:val="P68B1DB1-Normal9"/>
              <w:spacing w:before="0" w:after="0" w:line="240" w:lineRule="auto"/>
              <w:jc w:val="center"/>
              <w:rPr>
                <w:noProof/>
              </w:rPr>
            </w:pPr>
            <w:r>
              <w:rPr>
                <w:noProof/>
              </w:rPr>
              <w:t>Ključna etapa/ciljna vrijednost</w:t>
            </w:r>
          </w:p>
        </w:tc>
        <w:tc>
          <w:tcPr>
            <w:tcW w:w="1546" w:type="dxa"/>
            <w:vMerge w:val="restart"/>
            <w:shd w:val="clear" w:color="auto" w:fill="BDD7EE"/>
            <w:vAlign w:val="center"/>
            <w:hideMark/>
          </w:tcPr>
          <w:p w14:paraId="372D252F" w14:textId="77777777" w:rsidR="00615E2D" w:rsidRDefault="00C83E46">
            <w:pPr>
              <w:pStyle w:val="P68B1DB1-Normal9"/>
              <w:spacing w:before="0" w:after="0" w:line="240" w:lineRule="auto"/>
              <w:jc w:val="center"/>
              <w:rPr>
                <w:noProof/>
              </w:rPr>
            </w:pPr>
            <w:r>
              <w:rPr>
                <w:noProof/>
              </w:rPr>
              <w:t>Ime</w:t>
            </w:r>
          </w:p>
        </w:tc>
        <w:tc>
          <w:tcPr>
            <w:tcW w:w="1799" w:type="dxa"/>
            <w:vMerge w:val="restart"/>
            <w:shd w:val="clear" w:color="auto" w:fill="BDD7EE"/>
            <w:vAlign w:val="center"/>
            <w:hideMark/>
          </w:tcPr>
          <w:p w14:paraId="59F85311"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2964" w:type="dxa"/>
            <w:gridSpan w:val="3"/>
            <w:shd w:val="clear" w:color="auto" w:fill="BDD7EE"/>
            <w:vAlign w:val="center"/>
            <w:hideMark/>
          </w:tcPr>
          <w:p w14:paraId="26978899"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317" w:type="dxa"/>
            <w:gridSpan w:val="2"/>
            <w:shd w:val="clear" w:color="auto" w:fill="BDD7EE"/>
            <w:vAlign w:val="center"/>
            <w:hideMark/>
          </w:tcPr>
          <w:p w14:paraId="1E600BC2"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128" w:type="dxa"/>
            <w:vMerge w:val="restart"/>
            <w:shd w:val="clear" w:color="auto" w:fill="BDD7EE"/>
            <w:vAlign w:val="center"/>
            <w:hideMark/>
          </w:tcPr>
          <w:p w14:paraId="65AFD177"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38A7DE69" w14:textId="77777777">
        <w:trPr>
          <w:trHeight w:val="458"/>
          <w:tblHeader/>
          <w:jc w:val="center"/>
        </w:trPr>
        <w:tc>
          <w:tcPr>
            <w:tcW w:w="654" w:type="dxa"/>
            <w:vMerge/>
            <w:vAlign w:val="center"/>
            <w:hideMark/>
          </w:tcPr>
          <w:p w14:paraId="17396832" w14:textId="77777777" w:rsidR="00615E2D" w:rsidRDefault="00615E2D">
            <w:pPr>
              <w:spacing w:before="0" w:after="0" w:line="240" w:lineRule="auto"/>
              <w:rPr>
                <w:rFonts w:eastAsia="Times New Roman"/>
                <w:b/>
                <w:noProof/>
                <w:sz w:val="18"/>
              </w:rPr>
            </w:pPr>
          </w:p>
        </w:tc>
        <w:tc>
          <w:tcPr>
            <w:tcW w:w="1625" w:type="dxa"/>
            <w:vMerge/>
            <w:vAlign w:val="center"/>
            <w:hideMark/>
          </w:tcPr>
          <w:p w14:paraId="105F063B" w14:textId="77777777" w:rsidR="00615E2D" w:rsidRDefault="00615E2D">
            <w:pPr>
              <w:spacing w:before="0" w:after="0" w:line="240" w:lineRule="auto"/>
              <w:rPr>
                <w:rFonts w:eastAsia="Times New Roman"/>
                <w:b/>
                <w:noProof/>
                <w:sz w:val="18"/>
              </w:rPr>
            </w:pPr>
          </w:p>
        </w:tc>
        <w:tc>
          <w:tcPr>
            <w:tcW w:w="1134" w:type="dxa"/>
            <w:vMerge/>
            <w:vAlign w:val="center"/>
            <w:hideMark/>
          </w:tcPr>
          <w:p w14:paraId="287EC486" w14:textId="77777777" w:rsidR="00615E2D" w:rsidRDefault="00615E2D">
            <w:pPr>
              <w:spacing w:before="0" w:after="0" w:line="240" w:lineRule="auto"/>
              <w:rPr>
                <w:rFonts w:eastAsia="Times New Roman"/>
                <w:b/>
                <w:noProof/>
                <w:sz w:val="18"/>
              </w:rPr>
            </w:pPr>
          </w:p>
        </w:tc>
        <w:tc>
          <w:tcPr>
            <w:tcW w:w="1546" w:type="dxa"/>
            <w:vMerge/>
            <w:vAlign w:val="center"/>
            <w:hideMark/>
          </w:tcPr>
          <w:p w14:paraId="22462046" w14:textId="77777777" w:rsidR="00615E2D" w:rsidRDefault="00615E2D">
            <w:pPr>
              <w:spacing w:before="0" w:after="0" w:line="240" w:lineRule="auto"/>
              <w:rPr>
                <w:rFonts w:eastAsia="Times New Roman"/>
                <w:b/>
                <w:noProof/>
                <w:sz w:val="18"/>
              </w:rPr>
            </w:pPr>
          </w:p>
        </w:tc>
        <w:tc>
          <w:tcPr>
            <w:tcW w:w="1799" w:type="dxa"/>
            <w:vMerge/>
            <w:vAlign w:val="center"/>
            <w:hideMark/>
          </w:tcPr>
          <w:p w14:paraId="7750DDDD" w14:textId="77777777" w:rsidR="00615E2D" w:rsidRDefault="00615E2D">
            <w:pPr>
              <w:spacing w:before="0" w:after="0" w:line="240" w:lineRule="auto"/>
              <w:rPr>
                <w:rFonts w:eastAsia="Times New Roman"/>
                <w:b/>
                <w:noProof/>
                <w:sz w:val="18"/>
              </w:rPr>
            </w:pPr>
          </w:p>
        </w:tc>
        <w:tc>
          <w:tcPr>
            <w:tcW w:w="988" w:type="dxa"/>
            <w:shd w:val="clear" w:color="auto" w:fill="BDD7EE"/>
            <w:vAlign w:val="center"/>
            <w:hideMark/>
          </w:tcPr>
          <w:p w14:paraId="745C6F94" w14:textId="77777777" w:rsidR="00615E2D" w:rsidRDefault="00C83E46">
            <w:pPr>
              <w:pStyle w:val="P68B1DB1-Normal9"/>
              <w:spacing w:before="0" w:after="0" w:line="240" w:lineRule="auto"/>
              <w:jc w:val="center"/>
              <w:rPr>
                <w:noProof/>
              </w:rPr>
            </w:pPr>
            <w:r>
              <w:rPr>
                <w:noProof/>
              </w:rPr>
              <w:t>Jedinica mjere</w:t>
            </w:r>
          </w:p>
        </w:tc>
        <w:tc>
          <w:tcPr>
            <w:tcW w:w="988" w:type="dxa"/>
            <w:shd w:val="clear" w:color="auto" w:fill="BDD7EE"/>
            <w:vAlign w:val="center"/>
            <w:hideMark/>
          </w:tcPr>
          <w:p w14:paraId="19316A31" w14:textId="77777777" w:rsidR="00615E2D" w:rsidRDefault="00C83E46">
            <w:pPr>
              <w:pStyle w:val="P68B1DB1-Normal9"/>
              <w:spacing w:before="0" w:after="0" w:line="240" w:lineRule="auto"/>
              <w:jc w:val="center"/>
              <w:rPr>
                <w:noProof/>
              </w:rPr>
            </w:pPr>
            <w:r>
              <w:rPr>
                <w:noProof/>
              </w:rPr>
              <w:t xml:space="preserve">Osnovna vrijednost </w:t>
            </w:r>
          </w:p>
        </w:tc>
        <w:tc>
          <w:tcPr>
            <w:tcW w:w="988" w:type="dxa"/>
            <w:shd w:val="clear" w:color="auto" w:fill="BDD7EE"/>
            <w:vAlign w:val="center"/>
            <w:hideMark/>
          </w:tcPr>
          <w:p w14:paraId="17C3A329" w14:textId="77777777" w:rsidR="00615E2D" w:rsidRDefault="00C83E46">
            <w:pPr>
              <w:pStyle w:val="P68B1DB1-Normal9"/>
              <w:spacing w:before="0" w:after="0" w:line="240" w:lineRule="auto"/>
              <w:jc w:val="center"/>
              <w:rPr>
                <w:noProof/>
              </w:rPr>
            </w:pPr>
            <w:r>
              <w:rPr>
                <w:noProof/>
              </w:rPr>
              <w:t xml:space="preserve">Cilj </w:t>
            </w:r>
          </w:p>
        </w:tc>
        <w:tc>
          <w:tcPr>
            <w:tcW w:w="1077" w:type="dxa"/>
            <w:shd w:val="clear" w:color="auto" w:fill="BDD7EE"/>
            <w:vAlign w:val="center"/>
            <w:hideMark/>
          </w:tcPr>
          <w:p w14:paraId="475708B4" w14:textId="77777777" w:rsidR="00615E2D" w:rsidRDefault="00C83E46">
            <w:pPr>
              <w:pStyle w:val="P68B1DB1-Normal9"/>
              <w:spacing w:before="0" w:after="0" w:line="240" w:lineRule="auto"/>
              <w:jc w:val="center"/>
              <w:rPr>
                <w:noProof/>
              </w:rPr>
            </w:pPr>
            <w:r>
              <w:rPr>
                <w:noProof/>
              </w:rPr>
              <w:t>Tromjesečje</w:t>
            </w:r>
          </w:p>
        </w:tc>
        <w:tc>
          <w:tcPr>
            <w:tcW w:w="658" w:type="dxa"/>
            <w:shd w:val="clear" w:color="auto" w:fill="BDD7EE"/>
            <w:vAlign w:val="center"/>
            <w:hideMark/>
          </w:tcPr>
          <w:p w14:paraId="70F5ACB1" w14:textId="77777777" w:rsidR="00615E2D" w:rsidRDefault="00C83E46">
            <w:pPr>
              <w:pStyle w:val="P68B1DB1-Normal9"/>
              <w:spacing w:before="0" w:after="0" w:line="240" w:lineRule="auto"/>
              <w:jc w:val="center"/>
              <w:rPr>
                <w:noProof/>
              </w:rPr>
            </w:pPr>
            <w:r>
              <w:rPr>
                <w:noProof/>
              </w:rPr>
              <w:t>Godina</w:t>
            </w:r>
          </w:p>
        </w:tc>
        <w:tc>
          <w:tcPr>
            <w:tcW w:w="4128" w:type="dxa"/>
            <w:vMerge/>
            <w:vAlign w:val="center"/>
            <w:hideMark/>
          </w:tcPr>
          <w:p w14:paraId="1BEEF132" w14:textId="77777777" w:rsidR="00615E2D" w:rsidRDefault="00615E2D">
            <w:pPr>
              <w:spacing w:before="0" w:after="0" w:line="240" w:lineRule="auto"/>
              <w:rPr>
                <w:rFonts w:eastAsia="Times New Roman"/>
                <w:b/>
                <w:noProof/>
                <w:sz w:val="18"/>
              </w:rPr>
            </w:pPr>
          </w:p>
        </w:tc>
      </w:tr>
      <w:tr w:rsidR="00615E2D" w14:paraId="06C11DBB" w14:textId="77777777">
        <w:trPr>
          <w:trHeight w:val="309"/>
          <w:jc w:val="center"/>
        </w:trPr>
        <w:tc>
          <w:tcPr>
            <w:tcW w:w="654" w:type="dxa"/>
            <w:shd w:val="clear" w:color="auto" w:fill="C6EFCE"/>
            <w:hideMark/>
          </w:tcPr>
          <w:p w14:paraId="1B0C346B" w14:textId="522CA416" w:rsidR="00615E2D" w:rsidRDefault="00C83E46">
            <w:pPr>
              <w:pStyle w:val="P68B1DB1-Normal15"/>
              <w:spacing w:before="0" w:after="0" w:line="240" w:lineRule="auto"/>
              <w:jc w:val="center"/>
              <w:rPr>
                <w:noProof/>
              </w:rPr>
            </w:pPr>
            <w:r>
              <w:rPr>
                <w:noProof/>
              </w:rPr>
              <w:t>280</w:t>
            </w:r>
          </w:p>
        </w:tc>
        <w:tc>
          <w:tcPr>
            <w:tcW w:w="1625" w:type="dxa"/>
            <w:shd w:val="clear" w:color="auto" w:fill="C6EFCE"/>
            <w:hideMark/>
          </w:tcPr>
          <w:p w14:paraId="3E43B148" w14:textId="26D71814" w:rsidR="00615E2D" w:rsidRDefault="00C83E46">
            <w:pPr>
              <w:spacing w:before="0" w:after="0" w:line="259" w:lineRule="auto"/>
              <w:rPr>
                <w:rFonts w:eastAsia="Times New Roman"/>
                <w:noProof/>
                <w:color w:val="006100"/>
                <w:sz w:val="18"/>
              </w:rPr>
            </w:pPr>
            <w:r>
              <w:rPr>
                <w:rFonts w:eastAsia="Times New Roman"/>
                <w:noProof/>
                <w:color w:val="006100"/>
                <w:sz w:val="18"/>
              </w:rPr>
              <w:t>Reforma 1.:</w:t>
            </w:r>
            <w:r>
              <w:rPr>
                <w:noProof/>
              </w:rPr>
              <w:br/>
            </w:r>
            <w:r>
              <w:rPr>
                <w:rFonts w:eastAsia="Times New Roman"/>
                <w:noProof/>
                <w:color w:val="006100"/>
                <w:sz w:val="18"/>
              </w:rPr>
              <w:t>Metodološka potpora za pripremu projekata u skladu s ciljevima EU-a</w:t>
            </w:r>
          </w:p>
        </w:tc>
        <w:tc>
          <w:tcPr>
            <w:tcW w:w="1134" w:type="dxa"/>
            <w:shd w:val="clear" w:color="auto" w:fill="C6EFCE"/>
            <w:hideMark/>
          </w:tcPr>
          <w:p w14:paraId="45F4EAC7" w14:textId="54FCD344" w:rsidR="00615E2D" w:rsidRDefault="00C83E46">
            <w:pPr>
              <w:pStyle w:val="P68B1DB1-Normal11"/>
              <w:spacing w:before="0" w:after="0" w:line="240" w:lineRule="auto"/>
              <w:rPr>
                <w:noProof/>
                <w:color w:val="004300"/>
              </w:rPr>
            </w:pPr>
            <w:r>
              <w:rPr>
                <w:noProof/>
              </w:rPr>
              <w:t>Prekretnica</w:t>
            </w:r>
          </w:p>
        </w:tc>
        <w:tc>
          <w:tcPr>
            <w:tcW w:w="1546" w:type="dxa"/>
            <w:shd w:val="clear" w:color="auto" w:fill="C6EFCE"/>
            <w:hideMark/>
          </w:tcPr>
          <w:p w14:paraId="5FDFA30A" w14:textId="2F729A14" w:rsidR="00615E2D" w:rsidRDefault="00C83E46">
            <w:pPr>
              <w:pStyle w:val="P68B1DB1-Normal11"/>
              <w:spacing w:before="0" w:after="0" w:line="240" w:lineRule="auto"/>
              <w:rPr>
                <w:noProof/>
              </w:rPr>
            </w:pPr>
            <w:r>
              <w:rPr>
                <w:noProof/>
              </w:rPr>
              <w:t xml:space="preserve">Osnivanje Centra za koordinaciju i stručnost i donošenje njegova plana upravljanja.  </w:t>
            </w:r>
          </w:p>
        </w:tc>
        <w:tc>
          <w:tcPr>
            <w:tcW w:w="1799" w:type="dxa"/>
            <w:shd w:val="clear" w:color="auto" w:fill="C6EFCE"/>
            <w:hideMark/>
          </w:tcPr>
          <w:p w14:paraId="217EB32A" w14:textId="0D9029A8" w:rsidR="00615E2D" w:rsidRDefault="00C83E46">
            <w:pPr>
              <w:pStyle w:val="P68B1DB1-Normal11"/>
              <w:spacing w:before="0" w:after="0" w:line="240" w:lineRule="auto"/>
              <w:rPr>
                <w:noProof/>
                <w:color w:val="004300"/>
              </w:rPr>
            </w:pPr>
            <w:r>
              <w:rPr>
                <w:noProof/>
              </w:rPr>
              <w:t>Osnovan je Centar za koordinaciju i stručnost i donesen njegov plan upravljanja</w:t>
            </w:r>
          </w:p>
        </w:tc>
        <w:tc>
          <w:tcPr>
            <w:tcW w:w="988" w:type="dxa"/>
            <w:shd w:val="clear" w:color="auto" w:fill="C6EFCE"/>
            <w:vAlign w:val="center"/>
          </w:tcPr>
          <w:p w14:paraId="14AC27C1" w14:textId="656A1049"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2B7DD442" w14:textId="64E671B2"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1544A3D9" w14:textId="21791979" w:rsidR="00615E2D" w:rsidRDefault="00615E2D">
            <w:pPr>
              <w:spacing w:before="0" w:after="0" w:line="240" w:lineRule="auto"/>
              <w:jc w:val="center"/>
              <w:rPr>
                <w:rFonts w:eastAsia="Times New Roman"/>
                <w:noProof/>
                <w:color w:val="006100"/>
                <w:sz w:val="18"/>
              </w:rPr>
            </w:pPr>
          </w:p>
        </w:tc>
        <w:tc>
          <w:tcPr>
            <w:tcW w:w="1077" w:type="dxa"/>
            <w:shd w:val="clear" w:color="auto" w:fill="C6EFCE"/>
            <w:vAlign w:val="center"/>
            <w:hideMark/>
          </w:tcPr>
          <w:p w14:paraId="054E7455" w14:textId="0CCA7FF1" w:rsidR="00615E2D" w:rsidRDefault="00C83E46">
            <w:pPr>
              <w:pStyle w:val="P68B1DB1-Normal11"/>
              <w:spacing w:before="0" w:after="0" w:line="240" w:lineRule="auto"/>
              <w:jc w:val="center"/>
              <w:rPr>
                <w:noProof/>
                <w:color w:val="004300"/>
              </w:rPr>
            </w:pPr>
            <w:r>
              <w:rPr>
                <w:noProof/>
              </w:rPr>
              <w:t>ČETVRTO TROMJESEČJE</w:t>
            </w:r>
          </w:p>
        </w:tc>
        <w:tc>
          <w:tcPr>
            <w:tcW w:w="658" w:type="dxa"/>
            <w:shd w:val="clear" w:color="auto" w:fill="C6EFCE"/>
            <w:vAlign w:val="center"/>
            <w:hideMark/>
          </w:tcPr>
          <w:p w14:paraId="2DD192B5" w14:textId="08878B96" w:rsidR="00615E2D" w:rsidRDefault="00C83E46">
            <w:pPr>
              <w:pStyle w:val="P68B1DB1-Normal11"/>
              <w:spacing w:before="0" w:after="0" w:line="240" w:lineRule="auto"/>
              <w:jc w:val="center"/>
              <w:rPr>
                <w:noProof/>
                <w:color w:val="004300"/>
              </w:rPr>
            </w:pPr>
            <w:r>
              <w:rPr>
                <w:noProof/>
              </w:rPr>
              <w:t>2023</w:t>
            </w:r>
          </w:p>
        </w:tc>
        <w:tc>
          <w:tcPr>
            <w:tcW w:w="4128" w:type="dxa"/>
            <w:shd w:val="clear" w:color="auto" w:fill="C6EFCE"/>
            <w:vAlign w:val="center"/>
            <w:hideMark/>
          </w:tcPr>
          <w:p w14:paraId="29C94B39" w14:textId="77777777" w:rsidR="00615E2D" w:rsidRDefault="00C83E46">
            <w:pPr>
              <w:pStyle w:val="P68B1DB1-Normal11"/>
              <w:spacing w:line="259" w:lineRule="auto"/>
              <w:rPr>
                <w:noProof/>
              </w:rPr>
            </w:pPr>
            <w:r>
              <w:rPr>
                <w:noProof/>
              </w:rPr>
              <w:t xml:space="preserve">Centar za koordinaciju i stručnost osniva se radi pružanja metodološke potpore za pripremu projekata u skladu s ciljevima EU-a. </w:t>
            </w:r>
          </w:p>
          <w:p w14:paraId="5BF5FB93" w14:textId="2A5792FD" w:rsidR="00615E2D" w:rsidRDefault="00C83E46">
            <w:pPr>
              <w:pStyle w:val="P68B1DB1-Normal11"/>
              <w:spacing w:before="0" w:after="0" w:line="240" w:lineRule="auto"/>
              <w:rPr>
                <w:noProof/>
                <w:color w:val="004300"/>
              </w:rPr>
            </w:pPr>
            <w:r>
              <w:rPr>
                <w:noProof/>
              </w:rPr>
              <w:t xml:space="preserve">Plan upravljanja uključuje opis planiranih aktivnosti Centra s vremenskim rasporedom njihove pripreme. Aktivnosti uključuju barem pripremu dokumenata sa smjernicama, osposobljavanje, širenje informacija i potporu drugim tijelima.   </w:t>
            </w:r>
          </w:p>
        </w:tc>
      </w:tr>
      <w:tr w:rsidR="00615E2D" w14:paraId="41145D5A" w14:textId="77777777">
        <w:trPr>
          <w:trHeight w:val="309"/>
          <w:jc w:val="center"/>
        </w:trPr>
        <w:tc>
          <w:tcPr>
            <w:tcW w:w="654" w:type="dxa"/>
            <w:shd w:val="clear" w:color="auto" w:fill="C6EFCE"/>
          </w:tcPr>
          <w:p w14:paraId="399E54EB" w14:textId="615F9419" w:rsidR="00615E2D" w:rsidRDefault="00C83E46">
            <w:pPr>
              <w:pStyle w:val="P68B1DB1-Normal11"/>
              <w:spacing w:before="0" w:after="0" w:line="240" w:lineRule="auto"/>
              <w:jc w:val="center"/>
              <w:rPr>
                <w:noProof/>
              </w:rPr>
            </w:pPr>
            <w:r>
              <w:rPr>
                <w:noProof/>
              </w:rPr>
              <w:t>281</w:t>
            </w:r>
          </w:p>
        </w:tc>
        <w:tc>
          <w:tcPr>
            <w:tcW w:w="1625" w:type="dxa"/>
            <w:shd w:val="clear" w:color="auto" w:fill="C6EFCE"/>
          </w:tcPr>
          <w:p w14:paraId="0A2C87E0" w14:textId="13543B73" w:rsidR="00615E2D" w:rsidRDefault="00C83E46">
            <w:pPr>
              <w:pStyle w:val="P68B1DB1-Normal11"/>
              <w:spacing w:before="0" w:after="0" w:line="240" w:lineRule="auto"/>
              <w:rPr>
                <w:noProof/>
                <w:color w:val="004300"/>
              </w:rPr>
            </w:pPr>
            <w:r>
              <w:rPr>
                <w:noProof/>
              </w:rPr>
              <w:t xml:space="preserve">Reforma br. 2: Metodološka potpora i modernizacija javnih ulaganja </w:t>
            </w:r>
          </w:p>
        </w:tc>
        <w:tc>
          <w:tcPr>
            <w:tcW w:w="1134" w:type="dxa"/>
            <w:shd w:val="clear" w:color="auto" w:fill="C6EFCE"/>
          </w:tcPr>
          <w:p w14:paraId="6965614F" w14:textId="4A15DEC8" w:rsidR="00615E2D" w:rsidRDefault="00C83E46">
            <w:pPr>
              <w:pStyle w:val="P68B1DB1-Normal11"/>
              <w:spacing w:before="0" w:after="0" w:line="240" w:lineRule="auto"/>
              <w:rPr>
                <w:noProof/>
                <w:color w:val="004300"/>
              </w:rPr>
            </w:pPr>
            <w:r>
              <w:rPr>
                <w:noProof/>
              </w:rPr>
              <w:t>Prekretnica</w:t>
            </w:r>
          </w:p>
        </w:tc>
        <w:tc>
          <w:tcPr>
            <w:tcW w:w="1546" w:type="dxa"/>
            <w:shd w:val="clear" w:color="auto" w:fill="C6EFCE"/>
          </w:tcPr>
          <w:p w14:paraId="7152F1BB" w14:textId="48A05E27" w:rsidR="00615E2D" w:rsidRDefault="00C83E46">
            <w:pPr>
              <w:pStyle w:val="P68B1DB1-Normal11"/>
              <w:spacing w:before="0" w:after="0" w:line="240" w:lineRule="auto"/>
              <w:rPr>
                <w:noProof/>
                <w:color w:val="004300"/>
              </w:rPr>
            </w:pPr>
            <w:r>
              <w:rPr>
                <w:noProof/>
              </w:rPr>
              <w:t>Vlada Češke Republike donijela novu strategiju javne nabave i akcijski plan za njezinu provedbu</w:t>
            </w:r>
          </w:p>
        </w:tc>
        <w:tc>
          <w:tcPr>
            <w:tcW w:w="1799" w:type="dxa"/>
            <w:shd w:val="clear" w:color="auto" w:fill="C6EFCE"/>
          </w:tcPr>
          <w:p w14:paraId="16109191" w14:textId="4B48CAF8" w:rsidR="00615E2D" w:rsidRDefault="00C83E46">
            <w:pPr>
              <w:pStyle w:val="P68B1DB1-Normal11"/>
              <w:spacing w:before="0" w:after="0" w:line="240" w:lineRule="auto"/>
              <w:rPr>
                <w:noProof/>
                <w:color w:val="004300"/>
              </w:rPr>
            </w:pPr>
            <w:r>
              <w:rPr>
                <w:noProof/>
              </w:rPr>
              <w:t>Donesena strategija i akcijski plan</w:t>
            </w:r>
          </w:p>
        </w:tc>
        <w:tc>
          <w:tcPr>
            <w:tcW w:w="988" w:type="dxa"/>
            <w:shd w:val="clear" w:color="auto" w:fill="C6EFCE"/>
            <w:vAlign w:val="center"/>
          </w:tcPr>
          <w:p w14:paraId="14AD1A41" w14:textId="0396D57E"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4FD4FA64" w14:textId="041D58AA"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3896B2CF" w14:textId="56E05011" w:rsidR="00615E2D" w:rsidRDefault="00615E2D">
            <w:pPr>
              <w:spacing w:before="0" w:after="0" w:line="240" w:lineRule="auto"/>
              <w:jc w:val="center"/>
              <w:rPr>
                <w:rFonts w:eastAsia="Times New Roman"/>
                <w:noProof/>
                <w:color w:val="006100"/>
                <w:sz w:val="18"/>
              </w:rPr>
            </w:pPr>
          </w:p>
        </w:tc>
        <w:tc>
          <w:tcPr>
            <w:tcW w:w="1077" w:type="dxa"/>
            <w:shd w:val="clear" w:color="auto" w:fill="C6EFCE"/>
            <w:vAlign w:val="center"/>
          </w:tcPr>
          <w:p w14:paraId="085678EF" w14:textId="11EBCB9A" w:rsidR="00615E2D" w:rsidRDefault="00C83E46">
            <w:pPr>
              <w:pStyle w:val="P68B1DB1-Normal11"/>
              <w:spacing w:before="0" w:after="0" w:line="240" w:lineRule="auto"/>
              <w:jc w:val="center"/>
              <w:rPr>
                <w:noProof/>
                <w:color w:val="004300"/>
              </w:rPr>
            </w:pPr>
            <w:r>
              <w:rPr>
                <w:noProof/>
              </w:rPr>
              <w:t>TROMJESEČJE</w:t>
            </w:r>
          </w:p>
        </w:tc>
        <w:tc>
          <w:tcPr>
            <w:tcW w:w="658" w:type="dxa"/>
            <w:shd w:val="clear" w:color="auto" w:fill="C6EFCE"/>
            <w:vAlign w:val="center"/>
          </w:tcPr>
          <w:p w14:paraId="786A121B" w14:textId="6300CAE5" w:rsidR="00615E2D" w:rsidRDefault="00C83E46">
            <w:pPr>
              <w:pStyle w:val="P68B1DB1-Normal11"/>
              <w:spacing w:before="0" w:after="0" w:line="240" w:lineRule="auto"/>
              <w:jc w:val="center"/>
              <w:rPr>
                <w:noProof/>
                <w:color w:val="004300"/>
              </w:rPr>
            </w:pPr>
            <w:r>
              <w:rPr>
                <w:noProof/>
              </w:rPr>
              <w:t>2024</w:t>
            </w:r>
          </w:p>
        </w:tc>
        <w:tc>
          <w:tcPr>
            <w:tcW w:w="4128" w:type="dxa"/>
            <w:shd w:val="clear" w:color="auto" w:fill="C6EFCE"/>
            <w:vAlign w:val="center"/>
          </w:tcPr>
          <w:p w14:paraId="061BF200" w14:textId="77777777" w:rsidR="00615E2D" w:rsidRDefault="00C83E46">
            <w:pPr>
              <w:pStyle w:val="P68B1DB1-Normal11"/>
              <w:spacing w:line="259" w:lineRule="auto"/>
              <w:rPr>
                <w:noProof/>
              </w:rPr>
            </w:pPr>
            <w:r>
              <w:rPr>
                <w:noProof/>
              </w:rPr>
              <w:t xml:space="preserve">Donose se nova strategija javne nabave i akcijski plan za njezinu provedbu.  Strategija i akcijski plan usmjereni su barem na sljedeće prioritete: profesionalizacija javnih naručitelja, održiva nabava, centralizacija i zajednička nabava. </w:t>
            </w:r>
          </w:p>
          <w:p w14:paraId="1845993C" w14:textId="791F954E" w:rsidR="00615E2D" w:rsidRDefault="00C83E46">
            <w:pPr>
              <w:pStyle w:val="P68B1DB1-Normal11"/>
              <w:spacing w:before="0" w:after="0" w:line="240" w:lineRule="auto"/>
              <w:rPr>
                <w:noProof/>
                <w:color w:val="004300"/>
              </w:rPr>
            </w:pPr>
            <w:r>
              <w:rPr>
                <w:noProof/>
              </w:rPr>
              <w:t>Akcijski plan uključuje vremenski okvir i ciljeve za provedbu prioritetnih područja razrađenih u strategiji.</w:t>
            </w:r>
          </w:p>
        </w:tc>
      </w:tr>
      <w:tr w:rsidR="00615E2D" w14:paraId="76AD1470" w14:textId="77777777">
        <w:trPr>
          <w:trHeight w:val="309"/>
          <w:jc w:val="center"/>
        </w:trPr>
        <w:tc>
          <w:tcPr>
            <w:tcW w:w="654" w:type="dxa"/>
            <w:shd w:val="clear" w:color="auto" w:fill="C6EFCE"/>
          </w:tcPr>
          <w:p w14:paraId="77BA376F" w14:textId="571C0791" w:rsidR="00615E2D" w:rsidRDefault="00C83E46">
            <w:pPr>
              <w:pStyle w:val="P68B1DB1-Normal11"/>
              <w:spacing w:before="0" w:after="0" w:line="240" w:lineRule="auto"/>
              <w:jc w:val="center"/>
              <w:rPr>
                <w:noProof/>
              </w:rPr>
            </w:pPr>
            <w:r>
              <w:rPr>
                <w:noProof/>
              </w:rPr>
              <w:t>282</w:t>
            </w:r>
          </w:p>
        </w:tc>
        <w:tc>
          <w:tcPr>
            <w:tcW w:w="1625" w:type="dxa"/>
            <w:shd w:val="clear" w:color="auto" w:fill="C6EFCE"/>
          </w:tcPr>
          <w:p w14:paraId="3DED9968" w14:textId="6CB831A9" w:rsidR="00615E2D" w:rsidRDefault="00C83E46">
            <w:pPr>
              <w:spacing w:before="0" w:after="0" w:line="240" w:lineRule="auto"/>
              <w:rPr>
                <w:rFonts w:eastAsia="Times New Roman"/>
                <w:noProof/>
                <w:color w:val="004300"/>
                <w:sz w:val="18"/>
              </w:rPr>
            </w:pPr>
            <w:r>
              <w:rPr>
                <w:rFonts w:eastAsia="Times New Roman"/>
                <w:noProof/>
                <w:color w:val="006100"/>
                <w:sz w:val="18"/>
              </w:rPr>
              <w:t>Reforma 3.:</w:t>
            </w:r>
            <w:r>
              <w:rPr>
                <w:noProof/>
              </w:rPr>
              <w:br/>
            </w:r>
            <w:r>
              <w:rPr>
                <w:rFonts w:eastAsia="Times New Roman"/>
                <w:noProof/>
                <w:color w:val="006100"/>
                <w:sz w:val="18"/>
              </w:rPr>
              <w:t>Financijska potpora za pripremu projekata u skladu s ciljevima EU-a</w:t>
            </w:r>
          </w:p>
        </w:tc>
        <w:tc>
          <w:tcPr>
            <w:tcW w:w="1134" w:type="dxa"/>
            <w:shd w:val="clear" w:color="auto" w:fill="C6EFCE"/>
          </w:tcPr>
          <w:p w14:paraId="5F22FCD3" w14:textId="02E558C2" w:rsidR="00615E2D" w:rsidRDefault="00C83E46">
            <w:pPr>
              <w:pStyle w:val="P68B1DB1-Normal11"/>
              <w:spacing w:before="0" w:after="0" w:line="240" w:lineRule="auto"/>
              <w:rPr>
                <w:noProof/>
                <w:color w:val="004300"/>
              </w:rPr>
            </w:pPr>
            <w:r>
              <w:rPr>
                <w:noProof/>
              </w:rPr>
              <w:t>Ciljna</w:t>
            </w:r>
          </w:p>
        </w:tc>
        <w:tc>
          <w:tcPr>
            <w:tcW w:w="1546" w:type="dxa"/>
            <w:shd w:val="clear" w:color="auto" w:fill="C6EFCE"/>
          </w:tcPr>
          <w:p w14:paraId="5C4A26E2" w14:textId="338AABF8" w:rsidR="00615E2D" w:rsidRDefault="00C83E46">
            <w:pPr>
              <w:pStyle w:val="P68B1DB1-Normal11"/>
              <w:spacing w:before="0" w:after="0" w:line="240" w:lineRule="auto"/>
              <w:rPr>
                <w:noProof/>
                <w:color w:val="004300"/>
              </w:rPr>
            </w:pPr>
            <w:r>
              <w:rPr>
                <w:noProof/>
              </w:rPr>
              <w:t>Broj projekata pripremljenih za provedbu</w:t>
            </w:r>
          </w:p>
        </w:tc>
        <w:tc>
          <w:tcPr>
            <w:tcW w:w="1799" w:type="dxa"/>
            <w:shd w:val="clear" w:color="auto" w:fill="C6EFCE"/>
          </w:tcPr>
          <w:p w14:paraId="23C28C16" w14:textId="71D4718D"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7984F59D" w14:textId="5709A6B2" w:rsidR="00615E2D" w:rsidRDefault="00C83E46">
            <w:pPr>
              <w:pStyle w:val="P68B1DB1-Normal11"/>
              <w:spacing w:before="0" w:after="0" w:line="240" w:lineRule="auto"/>
              <w:jc w:val="center"/>
              <w:rPr>
                <w:noProof/>
                <w:color w:val="004300"/>
              </w:rPr>
            </w:pPr>
            <w:r>
              <w:rPr>
                <w:noProof/>
              </w:rPr>
              <w:t xml:space="preserve">Broj </w:t>
            </w:r>
          </w:p>
        </w:tc>
        <w:tc>
          <w:tcPr>
            <w:tcW w:w="988" w:type="dxa"/>
            <w:shd w:val="clear" w:color="auto" w:fill="C6EFCE"/>
            <w:vAlign w:val="center"/>
          </w:tcPr>
          <w:p w14:paraId="7CCF8F21" w14:textId="284CD900" w:rsidR="00615E2D" w:rsidRDefault="00C83E46">
            <w:pPr>
              <w:pStyle w:val="P68B1DB1-Normal11"/>
              <w:spacing w:before="0" w:after="0" w:line="240" w:lineRule="auto"/>
              <w:jc w:val="center"/>
              <w:rPr>
                <w:noProof/>
                <w:color w:val="004300"/>
              </w:rPr>
            </w:pPr>
            <w:r>
              <w:rPr>
                <w:noProof/>
              </w:rPr>
              <w:t>0</w:t>
            </w:r>
          </w:p>
        </w:tc>
        <w:tc>
          <w:tcPr>
            <w:tcW w:w="988" w:type="dxa"/>
            <w:shd w:val="clear" w:color="auto" w:fill="C6EFCE"/>
            <w:vAlign w:val="center"/>
          </w:tcPr>
          <w:p w14:paraId="41B2D202" w14:textId="272DA2C7" w:rsidR="00615E2D" w:rsidRDefault="00C83E46">
            <w:pPr>
              <w:pStyle w:val="P68B1DB1-Normal11"/>
              <w:spacing w:before="0" w:after="0" w:line="240" w:lineRule="auto"/>
              <w:jc w:val="center"/>
              <w:rPr>
                <w:noProof/>
                <w:color w:val="004300"/>
              </w:rPr>
            </w:pPr>
            <w:r>
              <w:rPr>
                <w:noProof/>
              </w:rPr>
              <w:t>30</w:t>
            </w:r>
          </w:p>
        </w:tc>
        <w:tc>
          <w:tcPr>
            <w:tcW w:w="1077" w:type="dxa"/>
            <w:shd w:val="clear" w:color="auto" w:fill="C6EFCE"/>
            <w:vAlign w:val="center"/>
          </w:tcPr>
          <w:p w14:paraId="042F7BA9" w14:textId="1CCA749A" w:rsidR="00615E2D" w:rsidRDefault="00C83E46">
            <w:pPr>
              <w:pStyle w:val="P68B1DB1-Normal11"/>
              <w:spacing w:before="0" w:after="0" w:line="240" w:lineRule="auto"/>
              <w:jc w:val="center"/>
              <w:rPr>
                <w:noProof/>
                <w:color w:val="004300"/>
              </w:rPr>
            </w:pPr>
            <w:r>
              <w:rPr>
                <w:noProof/>
              </w:rPr>
              <w:t>TROMJESEČJE</w:t>
            </w:r>
          </w:p>
        </w:tc>
        <w:tc>
          <w:tcPr>
            <w:tcW w:w="658" w:type="dxa"/>
            <w:shd w:val="clear" w:color="auto" w:fill="C6EFCE"/>
            <w:vAlign w:val="center"/>
          </w:tcPr>
          <w:p w14:paraId="2CA7A935" w14:textId="1DE7F64A" w:rsidR="00615E2D" w:rsidRDefault="00C83E46">
            <w:pPr>
              <w:pStyle w:val="P68B1DB1-Normal11"/>
              <w:spacing w:before="0" w:after="0" w:line="240" w:lineRule="auto"/>
              <w:jc w:val="center"/>
              <w:rPr>
                <w:noProof/>
                <w:color w:val="004300"/>
              </w:rPr>
            </w:pPr>
            <w:r>
              <w:rPr>
                <w:noProof/>
              </w:rPr>
              <w:t>2024</w:t>
            </w:r>
          </w:p>
        </w:tc>
        <w:tc>
          <w:tcPr>
            <w:tcW w:w="4128" w:type="dxa"/>
            <w:shd w:val="clear" w:color="auto" w:fill="C6EFCE"/>
            <w:vAlign w:val="center"/>
          </w:tcPr>
          <w:p w14:paraId="66E02D27" w14:textId="77777777" w:rsidR="00615E2D" w:rsidRDefault="00C83E46">
            <w:pPr>
              <w:pStyle w:val="P68B1DB1-Normal11"/>
              <w:spacing w:line="259" w:lineRule="auto"/>
              <w:rPr>
                <w:noProof/>
              </w:rPr>
            </w:pPr>
            <w:r>
              <w:rPr>
                <w:noProof/>
              </w:rPr>
              <w:t xml:space="preserve">Za provedbu se priprema 30 projekata. U pozivima na podnošenje prijedloga podnose se najmanje 24 projekta. </w:t>
            </w:r>
          </w:p>
          <w:p w14:paraId="3713338A" w14:textId="41311AD1" w:rsidR="00615E2D" w:rsidRDefault="00C83E46">
            <w:pPr>
              <w:pStyle w:val="P68B1DB1-Normal11"/>
              <w:spacing w:before="0" w:after="0" w:line="240" w:lineRule="auto"/>
              <w:rPr>
                <w:noProof/>
                <w:color w:val="004300"/>
              </w:rPr>
            </w:pPr>
            <w:r>
              <w:rPr>
                <w:noProof/>
              </w:rPr>
              <w:t>Projekti koji se pripremaju moraju biti u skladu s načelom nenanošenja bitne štete kako je utvrđeno u Tehničkim smjernicama o primjeni načela nenanošenja bitne štete (2021/C58/01).</w:t>
            </w:r>
          </w:p>
        </w:tc>
      </w:tr>
      <w:tr w:rsidR="00615E2D" w14:paraId="17586A04" w14:textId="77777777">
        <w:trPr>
          <w:trHeight w:val="309"/>
          <w:jc w:val="center"/>
        </w:trPr>
        <w:tc>
          <w:tcPr>
            <w:tcW w:w="654" w:type="dxa"/>
            <w:shd w:val="clear" w:color="auto" w:fill="C6EFCE"/>
          </w:tcPr>
          <w:p w14:paraId="645C8F2C" w14:textId="7F688932" w:rsidR="00615E2D" w:rsidRDefault="00C83E46">
            <w:pPr>
              <w:pStyle w:val="P68B1DB1-Normal11"/>
              <w:spacing w:before="0" w:after="0" w:line="240" w:lineRule="auto"/>
              <w:jc w:val="center"/>
              <w:rPr>
                <w:noProof/>
              </w:rPr>
            </w:pPr>
            <w:r>
              <w:rPr>
                <w:noProof/>
              </w:rPr>
              <w:t>283</w:t>
            </w:r>
          </w:p>
        </w:tc>
        <w:tc>
          <w:tcPr>
            <w:tcW w:w="1625" w:type="dxa"/>
            <w:shd w:val="clear" w:color="auto" w:fill="C6EFCE"/>
          </w:tcPr>
          <w:p w14:paraId="4DED78C1" w14:textId="540A02CE" w:rsidR="00615E2D" w:rsidRDefault="00C83E46">
            <w:pPr>
              <w:spacing w:before="0" w:after="0" w:line="240" w:lineRule="auto"/>
              <w:rPr>
                <w:rFonts w:eastAsia="Times New Roman"/>
                <w:noProof/>
                <w:color w:val="004300"/>
                <w:sz w:val="18"/>
              </w:rPr>
            </w:pPr>
            <w:r>
              <w:rPr>
                <w:rFonts w:eastAsia="Times New Roman"/>
                <w:noProof/>
                <w:color w:val="006100"/>
                <w:sz w:val="18"/>
              </w:rPr>
              <w:t xml:space="preserve">Reforma 3.: </w:t>
            </w:r>
            <w:r>
              <w:rPr>
                <w:noProof/>
              </w:rPr>
              <w:br/>
            </w:r>
            <w:r>
              <w:rPr>
                <w:rFonts w:eastAsia="Times New Roman"/>
                <w:noProof/>
                <w:color w:val="006100"/>
                <w:sz w:val="18"/>
              </w:rPr>
              <w:t>Financijska potpora za pripremu projekata u skladu s ciljevima EU-a</w:t>
            </w:r>
          </w:p>
        </w:tc>
        <w:tc>
          <w:tcPr>
            <w:tcW w:w="1134" w:type="dxa"/>
            <w:shd w:val="clear" w:color="auto" w:fill="C6EFCE"/>
          </w:tcPr>
          <w:p w14:paraId="2A3E61ED" w14:textId="4F481D6C" w:rsidR="00615E2D" w:rsidRDefault="00C83E46">
            <w:pPr>
              <w:pStyle w:val="P68B1DB1-Normal11"/>
              <w:spacing w:before="0" w:after="0" w:line="240" w:lineRule="auto"/>
              <w:rPr>
                <w:noProof/>
                <w:color w:val="004300"/>
              </w:rPr>
            </w:pPr>
            <w:r>
              <w:rPr>
                <w:noProof/>
              </w:rPr>
              <w:t>Ciljna</w:t>
            </w:r>
          </w:p>
        </w:tc>
        <w:tc>
          <w:tcPr>
            <w:tcW w:w="1546" w:type="dxa"/>
            <w:shd w:val="clear" w:color="auto" w:fill="C6EFCE"/>
          </w:tcPr>
          <w:p w14:paraId="363F8476" w14:textId="1C9D9C31" w:rsidR="00615E2D" w:rsidRDefault="00C83E46">
            <w:pPr>
              <w:pStyle w:val="P68B1DB1-Normal11"/>
              <w:spacing w:before="0" w:after="0" w:line="240" w:lineRule="auto"/>
              <w:rPr>
                <w:noProof/>
                <w:color w:val="004300"/>
              </w:rPr>
            </w:pPr>
            <w:r>
              <w:rPr>
                <w:noProof/>
              </w:rPr>
              <w:t>Broj projekata pripremljenih za provedbu</w:t>
            </w:r>
          </w:p>
        </w:tc>
        <w:tc>
          <w:tcPr>
            <w:tcW w:w="1799" w:type="dxa"/>
            <w:shd w:val="clear" w:color="auto" w:fill="C6EFCE"/>
          </w:tcPr>
          <w:p w14:paraId="3DC961A8" w14:textId="46E9984F"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71B44C1C" w14:textId="24B31C09" w:rsidR="00615E2D" w:rsidRDefault="00C83E46">
            <w:pPr>
              <w:pStyle w:val="P68B1DB1-Normal11"/>
              <w:spacing w:before="0" w:after="0" w:line="240" w:lineRule="auto"/>
              <w:jc w:val="center"/>
              <w:rPr>
                <w:noProof/>
                <w:color w:val="004300"/>
              </w:rPr>
            </w:pPr>
            <w:r>
              <w:rPr>
                <w:noProof/>
              </w:rPr>
              <w:t xml:space="preserve">Broj </w:t>
            </w:r>
          </w:p>
        </w:tc>
        <w:tc>
          <w:tcPr>
            <w:tcW w:w="988" w:type="dxa"/>
            <w:shd w:val="clear" w:color="auto" w:fill="C6EFCE"/>
            <w:vAlign w:val="center"/>
          </w:tcPr>
          <w:p w14:paraId="2CD8C576" w14:textId="06473959" w:rsidR="00615E2D" w:rsidRDefault="00C83E46">
            <w:pPr>
              <w:pStyle w:val="P68B1DB1-Normal11"/>
              <w:spacing w:before="0" w:after="0" w:line="240" w:lineRule="auto"/>
              <w:jc w:val="center"/>
              <w:rPr>
                <w:noProof/>
                <w:color w:val="004300"/>
              </w:rPr>
            </w:pPr>
            <w:r>
              <w:rPr>
                <w:noProof/>
              </w:rPr>
              <w:t>30</w:t>
            </w:r>
          </w:p>
        </w:tc>
        <w:tc>
          <w:tcPr>
            <w:tcW w:w="988" w:type="dxa"/>
            <w:shd w:val="clear" w:color="auto" w:fill="C6EFCE"/>
            <w:vAlign w:val="center"/>
          </w:tcPr>
          <w:p w14:paraId="131BF9F1" w14:textId="756FC805" w:rsidR="00615E2D" w:rsidRDefault="00C83E46">
            <w:pPr>
              <w:pStyle w:val="P68B1DB1-Normal11"/>
              <w:spacing w:before="0" w:after="0" w:line="240" w:lineRule="auto"/>
              <w:jc w:val="center"/>
              <w:rPr>
                <w:noProof/>
                <w:color w:val="004300"/>
              </w:rPr>
            </w:pPr>
            <w:r>
              <w:rPr>
                <w:noProof/>
              </w:rPr>
              <w:t>90</w:t>
            </w:r>
          </w:p>
        </w:tc>
        <w:tc>
          <w:tcPr>
            <w:tcW w:w="1077" w:type="dxa"/>
            <w:shd w:val="clear" w:color="auto" w:fill="C6EFCE"/>
            <w:vAlign w:val="center"/>
          </w:tcPr>
          <w:p w14:paraId="33503D43" w14:textId="5C596CF6" w:rsidR="00615E2D" w:rsidRDefault="00C83E46">
            <w:pPr>
              <w:pStyle w:val="P68B1DB1-Normal11"/>
              <w:spacing w:before="0" w:after="0" w:line="240" w:lineRule="auto"/>
              <w:jc w:val="center"/>
              <w:rPr>
                <w:noProof/>
                <w:color w:val="004300"/>
              </w:rPr>
            </w:pPr>
            <w:r>
              <w:rPr>
                <w:noProof/>
              </w:rPr>
              <w:t>TROMJESEČJE</w:t>
            </w:r>
          </w:p>
        </w:tc>
        <w:tc>
          <w:tcPr>
            <w:tcW w:w="658" w:type="dxa"/>
            <w:shd w:val="clear" w:color="auto" w:fill="C6EFCE"/>
            <w:vAlign w:val="center"/>
          </w:tcPr>
          <w:p w14:paraId="284AFB59" w14:textId="6DB61106" w:rsidR="00615E2D" w:rsidRDefault="00C83E46">
            <w:pPr>
              <w:pStyle w:val="P68B1DB1-Normal11"/>
              <w:spacing w:before="0" w:after="0" w:line="240" w:lineRule="auto"/>
              <w:jc w:val="center"/>
              <w:rPr>
                <w:noProof/>
                <w:color w:val="004300"/>
              </w:rPr>
            </w:pPr>
            <w:r>
              <w:rPr>
                <w:noProof/>
              </w:rPr>
              <w:t>2026</w:t>
            </w:r>
          </w:p>
        </w:tc>
        <w:tc>
          <w:tcPr>
            <w:tcW w:w="4128" w:type="dxa"/>
            <w:shd w:val="clear" w:color="auto" w:fill="C6EFCE"/>
            <w:vAlign w:val="center"/>
          </w:tcPr>
          <w:p w14:paraId="7CB81673" w14:textId="77777777" w:rsidR="00615E2D" w:rsidRDefault="00C83E46">
            <w:pPr>
              <w:pStyle w:val="P68B1DB1-Normal11"/>
              <w:spacing w:line="259" w:lineRule="auto"/>
              <w:rPr>
                <w:noProof/>
              </w:rPr>
            </w:pPr>
            <w:r>
              <w:rPr>
                <w:noProof/>
              </w:rPr>
              <w:t xml:space="preserve">Za provedbu se priprema 90 projekata. U pozivima na podnošenje prijedloga podnose se najmanje 72 projekta. </w:t>
            </w:r>
          </w:p>
          <w:p w14:paraId="5F994E29" w14:textId="3D4242F9" w:rsidR="00615E2D" w:rsidRDefault="00C83E46">
            <w:pPr>
              <w:pStyle w:val="P68B1DB1-Normal11"/>
              <w:spacing w:before="0" w:after="0" w:line="240" w:lineRule="auto"/>
              <w:rPr>
                <w:noProof/>
                <w:color w:val="004300"/>
              </w:rPr>
            </w:pPr>
            <w:r>
              <w:rPr>
                <w:noProof/>
              </w:rPr>
              <w:t>Projekti koji se pripremaju moraju biti u skladu s načelom nenanošenja bitne štete kako je utvrđeno u Tehničkim smjernicama o primjeni načela nenanošenja bitne štete (2021/C58/01).</w:t>
            </w:r>
          </w:p>
        </w:tc>
      </w:tr>
      <w:tr w:rsidR="00615E2D" w14:paraId="0A798DFB" w14:textId="77777777">
        <w:trPr>
          <w:trHeight w:val="309"/>
          <w:jc w:val="center"/>
        </w:trPr>
        <w:tc>
          <w:tcPr>
            <w:tcW w:w="654" w:type="dxa"/>
            <w:shd w:val="clear" w:color="auto" w:fill="C6EFCE"/>
          </w:tcPr>
          <w:p w14:paraId="5B4AD3E6" w14:textId="45B94C9D" w:rsidR="00615E2D" w:rsidRDefault="00C83E46">
            <w:pPr>
              <w:pStyle w:val="P68B1DB1-Normal11"/>
              <w:spacing w:before="0" w:after="0" w:line="240" w:lineRule="auto"/>
              <w:jc w:val="center"/>
              <w:rPr>
                <w:noProof/>
              </w:rPr>
            </w:pPr>
            <w:r>
              <w:rPr>
                <w:noProof/>
              </w:rPr>
              <w:t>284</w:t>
            </w:r>
          </w:p>
        </w:tc>
        <w:tc>
          <w:tcPr>
            <w:tcW w:w="1625" w:type="dxa"/>
            <w:shd w:val="clear" w:color="auto" w:fill="C6EFCE"/>
          </w:tcPr>
          <w:p w14:paraId="2DEBE4B3" w14:textId="77777777" w:rsidR="00615E2D" w:rsidRDefault="00C83E46">
            <w:pPr>
              <w:pStyle w:val="P68B1DB1-Normal11"/>
              <w:spacing w:before="0" w:after="0" w:line="259" w:lineRule="auto"/>
              <w:rPr>
                <w:noProof/>
              </w:rPr>
            </w:pPr>
            <w:r>
              <w:rPr>
                <w:noProof/>
              </w:rPr>
              <w:t xml:space="preserve">Reforma 4.: </w:t>
            </w:r>
          </w:p>
          <w:p w14:paraId="60B00774" w14:textId="4DB177B9" w:rsidR="00615E2D" w:rsidRDefault="00C83E46">
            <w:pPr>
              <w:pStyle w:val="P68B1DB1-Normal11"/>
              <w:spacing w:before="0" w:after="0" w:line="240" w:lineRule="auto"/>
              <w:rPr>
                <w:noProof/>
                <w:color w:val="004300"/>
              </w:rPr>
            </w:pPr>
            <w:r>
              <w:rPr>
                <w:noProof/>
              </w:rPr>
              <w:t>Povećanje učinkovitosti i poboljšanje provedbe plana za oporavak i otpornost</w:t>
            </w:r>
          </w:p>
        </w:tc>
        <w:tc>
          <w:tcPr>
            <w:tcW w:w="1134" w:type="dxa"/>
            <w:shd w:val="clear" w:color="auto" w:fill="C6EFCE"/>
          </w:tcPr>
          <w:p w14:paraId="5C1AD25E" w14:textId="2C4AE619" w:rsidR="00615E2D" w:rsidRDefault="00C83E46">
            <w:pPr>
              <w:pStyle w:val="P68B1DB1-Normal11"/>
              <w:spacing w:before="0" w:after="0" w:line="240" w:lineRule="auto"/>
              <w:rPr>
                <w:noProof/>
                <w:color w:val="004300"/>
              </w:rPr>
            </w:pPr>
            <w:r>
              <w:rPr>
                <w:noProof/>
              </w:rPr>
              <w:t>Prekretnica</w:t>
            </w:r>
          </w:p>
        </w:tc>
        <w:tc>
          <w:tcPr>
            <w:tcW w:w="1546" w:type="dxa"/>
            <w:shd w:val="clear" w:color="auto" w:fill="C6EFCE"/>
          </w:tcPr>
          <w:p w14:paraId="0C054934" w14:textId="506A2A84" w:rsidR="00615E2D" w:rsidRDefault="00C83E46">
            <w:pPr>
              <w:pStyle w:val="P68B1DB1-Normal11"/>
              <w:spacing w:before="0" w:after="0" w:line="240" w:lineRule="auto"/>
              <w:rPr>
                <w:noProof/>
                <w:color w:val="004300"/>
              </w:rPr>
            </w:pPr>
            <w:r>
              <w:rPr>
                <w:noProof/>
              </w:rPr>
              <w:t>Odobrenje rezolucije vlade o povećanju administrativnih kapaciteta za provedbu nacionalnog plana za oporavak i otpornost (odluka o sistematizaciji) i odobrenje povezanog proračuna</w:t>
            </w:r>
          </w:p>
        </w:tc>
        <w:tc>
          <w:tcPr>
            <w:tcW w:w="1799" w:type="dxa"/>
            <w:shd w:val="clear" w:color="auto" w:fill="C6EFCE"/>
          </w:tcPr>
          <w:p w14:paraId="41D5F654" w14:textId="17BCC31A" w:rsidR="00615E2D" w:rsidRDefault="00C83E46">
            <w:pPr>
              <w:pStyle w:val="P68B1DB1-Normal11"/>
              <w:spacing w:before="0" w:after="0" w:line="240" w:lineRule="auto"/>
              <w:rPr>
                <w:noProof/>
                <w:color w:val="004300"/>
              </w:rPr>
            </w:pPr>
            <w:r>
              <w:rPr>
                <w:noProof/>
              </w:rPr>
              <w:t xml:space="preserve">Odobrena odluka vlade o povećanju administrativnih kapaciteta za provedbu plana i povezanog proračuna </w:t>
            </w:r>
          </w:p>
        </w:tc>
        <w:tc>
          <w:tcPr>
            <w:tcW w:w="988" w:type="dxa"/>
            <w:shd w:val="clear" w:color="auto" w:fill="C6EFCE"/>
            <w:vAlign w:val="center"/>
          </w:tcPr>
          <w:p w14:paraId="4857D553" w14:textId="77777777" w:rsidR="00615E2D" w:rsidRDefault="00615E2D">
            <w:pPr>
              <w:spacing w:before="0" w:after="0" w:line="240" w:lineRule="auto"/>
              <w:jc w:val="center"/>
              <w:rPr>
                <w:rFonts w:eastAsia="Times New Roman"/>
                <w:noProof/>
                <w:color w:val="004300"/>
                <w:sz w:val="18"/>
              </w:rPr>
            </w:pPr>
          </w:p>
        </w:tc>
        <w:tc>
          <w:tcPr>
            <w:tcW w:w="988" w:type="dxa"/>
            <w:shd w:val="clear" w:color="auto" w:fill="C6EFCE"/>
            <w:vAlign w:val="center"/>
          </w:tcPr>
          <w:p w14:paraId="6C9F9EB3" w14:textId="77777777" w:rsidR="00615E2D" w:rsidRDefault="00615E2D">
            <w:pPr>
              <w:spacing w:before="0" w:after="0" w:line="240" w:lineRule="auto"/>
              <w:jc w:val="center"/>
              <w:rPr>
                <w:rFonts w:eastAsia="Times New Roman"/>
                <w:noProof/>
                <w:color w:val="004300"/>
                <w:sz w:val="18"/>
              </w:rPr>
            </w:pPr>
          </w:p>
        </w:tc>
        <w:tc>
          <w:tcPr>
            <w:tcW w:w="988" w:type="dxa"/>
            <w:shd w:val="clear" w:color="auto" w:fill="C6EFCE"/>
            <w:vAlign w:val="center"/>
          </w:tcPr>
          <w:p w14:paraId="42983928" w14:textId="77777777" w:rsidR="00615E2D" w:rsidRDefault="00615E2D">
            <w:pPr>
              <w:spacing w:before="0" w:after="0" w:line="240" w:lineRule="auto"/>
              <w:jc w:val="center"/>
              <w:rPr>
                <w:rFonts w:eastAsia="Times New Roman"/>
                <w:noProof/>
                <w:color w:val="004300"/>
                <w:sz w:val="18"/>
              </w:rPr>
            </w:pPr>
          </w:p>
        </w:tc>
        <w:tc>
          <w:tcPr>
            <w:tcW w:w="1077" w:type="dxa"/>
            <w:shd w:val="clear" w:color="auto" w:fill="C6EFCE"/>
            <w:vAlign w:val="center"/>
          </w:tcPr>
          <w:p w14:paraId="64D57E62" w14:textId="2B3132ED" w:rsidR="00615E2D" w:rsidRDefault="00C83E46">
            <w:pPr>
              <w:pStyle w:val="P68B1DB1-Normal11"/>
              <w:spacing w:before="0" w:after="0" w:line="240" w:lineRule="auto"/>
              <w:jc w:val="center"/>
              <w:rPr>
                <w:noProof/>
                <w:color w:val="004300"/>
              </w:rPr>
            </w:pPr>
            <w:r>
              <w:rPr>
                <w:noProof/>
              </w:rPr>
              <w:t>TROMJESEČJE</w:t>
            </w:r>
          </w:p>
        </w:tc>
        <w:tc>
          <w:tcPr>
            <w:tcW w:w="658" w:type="dxa"/>
            <w:shd w:val="clear" w:color="auto" w:fill="C6EFCE"/>
            <w:vAlign w:val="center"/>
          </w:tcPr>
          <w:p w14:paraId="6D5E610C" w14:textId="197B67F2" w:rsidR="00615E2D" w:rsidRDefault="00C83E46">
            <w:pPr>
              <w:pStyle w:val="P68B1DB1-Normal11"/>
              <w:spacing w:before="0" w:after="0" w:line="240" w:lineRule="auto"/>
              <w:jc w:val="center"/>
              <w:rPr>
                <w:noProof/>
                <w:color w:val="004300"/>
              </w:rPr>
            </w:pPr>
            <w:r>
              <w:rPr>
                <w:noProof/>
              </w:rPr>
              <w:t>2023</w:t>
            </w:r>
          </w:p>
        </w:tc>
        <w:tc>
          <w:tcPr>
            <w:tcW w:w="4128" w:type="dxa"/>
            <w:shd w:val="clear" w:color="auto" w:fill="C6EFCE"/>
            <w:vAlign w:val="center"/>
          </w:tcPr>
          <w:p w14:paraId="2E4F6B15" w14:textId="77777777" w:rsidR="00615E2D" w:rsidRDefault="00C83E46">
            <w:pPr>
              <w:pStyle w:val="P68B1DB1-Normal11"/>
              <w:spacing w:line="259" w:lineRule="auto"/>
              <w:rPr>
                <w:noProof/>
              </w:rPr>
            </w:pPr>
            <w:r>
              <w:rPr>
                <w:noProof/>
              </w:rPr>
              <w:t xml:space="preserve">Odobravaju se rezolucije Vlade kojima se ministar unutarnjih poslova usmjerava na povećanje administrativnih kapaciteta za potporu provedbi plana za oporavak i otpornost. Tijelo: </w:t>
            </w:r>
          </w:p>
          <w:p w14:paraId="37CBD900" w14:textId="77777777" w:rsidR="00615E2D" w:rsidRDefault="00C83E46">
            <w:pPr>
              <w:pStyle w:val="P68B1DB1-ListParagraph31"/>
              <w:numPr>
                <w:ilvl w:val="0"/>
                <w:numId w:val="118"/>
              </w:numPr>
              <w:spacing w:line="252" w:lineRule="auto"/>
              <w:rPr>
                <w:noProof/>
              </w:rPr>
            </w:pPr>
            <w:r>
              <w:rPr>
                <w:noProof/>
              </w:rPr>
              <w:t>uključiti sistematizaciju položaja u relevantnim ministarstvima (vlasnicima sastavnih dijelova) i provedbenim tijelima;</w:t>
            </w:r>
          </w:p>
          <w:p w14:paraId="22509CB5" w14:textId="77777777" w:rsidR="00615E2D" w:rsidRDefault="00C83E46">
            <w:pPr>
              <w:pStyle w:val="P68B1DB1-ListParagraph31"/>
              <w:numPr>
                <w:ilvl w:val="0"/>
                <w:numId w:val="118"/>
              </w:numPr>
              <w:spacing w:line="252" w:lineRule="auto"/>
              <w:rPr>
                <w:noProof/>
              </w:rPr>
            </w:pPr>
            <w:r>
              <w:rPr>
                <w:noProof/>
              </w:rPr>
              <w:t>dodjela sredstava za pretfinanciranje iz državnog proračuna</w:t>
            </w:r>
          </w:p>
          <w:p w14:paraId="3F1B7524" w14:textId="43A6273D" w:rsidR="00615E2D" w:rsidRDefault="00C83E46">
            <w:pPr>
              <w:pStyle w:val="P68B1DB1-ListParagraph31"/>
              <w:numPr>
                <w:ilvl w:val="0"/>
                <w:numId w:val="118"/>
              </w:numPr>
              <w:spacing w:line="252" w:lineRule="auto"/>
              <w:rPr>
                <w:noProof/>
              </w:rPr>
            </w:pPr>
            <w:r>
              <w:rPr>
                <w:noProof/>
              </w:rPr>
              <w:t>povećati kapacitet za provedbu NPO-a primjenom sporazuma za obavljanje posla.</w:t>
            </w:r>
          </w:p>
          <w:p w14:paraId="58BDF554" w14:textId="1B69CCBC" w:rsidR="00615E2D" w:rsidRDefault="00C83E46">
            <w:pPr>
              <w:pStyle w:val="P68B1DB1-Normal11"/>
              <w:spacing w:before="0" w:after="0" w:line="240" w:lineRule="auto"/>
              <w:rPr>
                <w:noProof/>
                <w:color w:val="004300"/>
              </w:rPr>
            </w:pPr>
            <w:r>
              <w:rPr>
                <w:noProof/>
              </w:rPr>
              <w:t xml:space="preserve">Financiranje iz državnog proračuna za pretfinanciranje pozicija dodijeljenih odlukom o sistematizaciji odobrava vlada. </w:t>
            </w:r>
          </w:p>
        </w:tc>
      </w:tr>
      <w:tr w:rsidR="00615E2D" w14:paraId="5B1D71FF" w14:textId="77777777">
        <w:trPr>
          <w:trHeight w:val="309"/>
          <w:jc w:val="center"/>
        </w:trPr>
        <w:tc>
          <w:tcPr>
            <w:tcW w:w="654" w:type="dxa"/>
            <w:shd w:val="clear" w:color="auto" w:fill="C6EFCE"/>
          </w:tcPr>
          <w:p w14:paraId="0F5B31FD" w14:textId="122F1DAF" w:rsidR="00615E2D" w:rsidRDefault="00C83E46">
            <w:pPr>
              <w:pStyle w:val="P68B1DB1-Normal11"/>
              <w:spacing w:before="0" w:after="0" w:line="240" w:lineRule="auto"/>
              <w:jc w:val="center"/>
              <w:rPr>
                <w:noProof/>
              </w:rPr>
            </w:pPr>
            <w:r>
              <w:rPr>
                <w:noProof/>
              </w:rPr>
              <w:t>285</w:t>
            </w:r>
          </w:p>
        </w:tc>
        <w:tc>
          <w:tcPr>
            <w:tcW w:w="1625" w:type="dxa"/>
            <w:shd w:val="clear" w:color="auto" w:fill="C6EFCE"/>
          </w:tcPr>
          <w:p w14:paraId="5EEA76B0" w14:textId="77777777" w:rsidR="00615E2D" w:rsidRDefault="00C83E46">
            <w:pPr>
              <w:pStyle w:val="P68B1DB1-Normal11"/>
              <w:spacing w:before="0" w:after="0" w:line="259" w:lineRule="auto"/>
              <w:rPr>
                <w:noProof/>
              </w:rPr>
            </w:pPr>
            <w:r>
              <w:rPr>
                <w:noProof/>
              </w:rPr>
              <w:t xml:space="preserve">Reforma 4.: </w:t>
            </w:r>
          </w:p>
          <w:p w14:paraId="3899703B" w14:textId="63D825DC" w:rsidR="00615E2D" w:rsidRDefault="00C83E46">
            <w:pPr>
              <w:pStyle w:val="P68B1DB1-Normal28"/>
              <w:spacing w:before="0" w:after="0" w:line="240" w:lineRule="auto"/>
              <w:rPr>
                <w:rFonts w:eastAsia="Times New Roman"/>
                <w:noProof/>
                <w:color w:val="004300"/>
              </w:rPr>
            </w:pPr>
            <w:r>
              <w:rPr>
                <w:rFonts w:eastAsia="Times New Roman"/>
                <w:noProof/>
              </w:rPr>
              <w:t xml:space="preserve">Povećanje učinkovitosti i poboljšanje provedbe </w:t>
            </w:r>
            <w:r>
              <w:rPr>
                <w:rFonts w:ascii="Calibri" w:hAnsi="Calibri" w:cs="Calibri"/>
                <w:noProof/>
              </w:rPr>
              <w:t>plana za oporavak i otpornost</w:t>
            </w:r>
          </w:p>
        </w:tc>
        <w:tc>
          <w:tcPr>
            <w:tcW w:w="1134" w:type="dxa"/>
            <w:shd w:val="clear" w:color="auto" w:fill="C6EFCE"/>
          </w:tcPr>
          <w:p w14:paraId="71735F8C" w14:textId="763166A6" w:rsidR="00615E2D" w:rsidRDefault="00C83E46">
            <w:pPr>
              <w:pStyle w:val="P68B1DB1-Normal11"/>
              <w:spacing w:before="0" w:after="0" w:line="240" w:lineRule="auto"/>
              <w:rPr>
                <w:noProof/>
                <w:color w:val="004300"/>
              </w:rPr>
            </w:pPr>
            <w:r>
              <w:rPr>
                <w:noProof/>
              </w:rPr>
              <w:t>Ciljna</w:t>
            </w:r>
          </w:p>
        </w:tc>
        <w:tc>
          <w:tcPr>
            <w:tcW w:w="1546" w:type="dxa"/>
            <w:shd w:val="clear" w:color="auto" w:fill="C6EFCE"/>
            <w:vAlign w:val="center"/>
          </w:tcPr>
          <w:p w14:paraId="72256F13" w14:textId="603BE690" w:rsidR="00615E2D" w:rsidRDefault="00C83E46">
            <w:pPr>
              <w:pStyle w:val="P68B1DB1-Normal11"/>
              <w:spacing w:before="0" w:after="0" w:line="240" w:lineRule="auto"/>
              <w:rPr>
                <w:noProof/>
                <w:color w:val="004300"/>
              </w:rPr>
            </w:pPr>
            <w:r>
              <w:rPr>
                <w:noProof/>
              </w:rPr>
              <w:t>Povećanje broja osoba koje rade na planu za oporavak i otpornost do 2023.</w:t>
            </w:r>
          </w:p>
        </w:tc>
        <w:tc>
          <w:tcPr>
            <w:tcW w:w="1799" w:type="dxa"/>
            <w:shd w:val="clear" w:color="auto" w:fill="C6EFCE"/>
          </w:tcPr>
          <w:p w14:paraId="2123176D" w14:textId="77777777" w:rsidR="00615E2D" w:rsidRDefault="00615E2D">
            <w:pPr>
              <w:spacing w:before="0" w:after="0" w:line="240" w:lineRule="auto"/>
              <w:rPr>
                <w:rFonts w:eastAsia="Times New Roman"/>
                <w:noProof/>
                <w:color w:val="004300"/>
                <w:sz w:val="18"/>
              </w:rPr>
            </w:pPr>
          </w:p>
        </w:tc>
        <w:tc>
          <w:tcPr>
            <w:tcW w:w="988" w:type="dxa"/>
            <w:shd w:val="clear" w:color="auto" w:fill="C6EFCE"/>
            <w:vAlign w:val="center"/>
          </w:tcPr>
          <w:p w14:paraId="5A467D3F" w14:textId="7A1B63D2" w:rsidR="00615E2D" w:rsidRDefault="00C83E46">
            <w:pPr>
              <w:pStyle w:val="P68B1DB1-Normal11"/>
              <w:spacing w:before="0" w:after="0" w:line="259" w:lineRule="auto"/>
              <w:jc w:val="center"/>
              <w:rPr>
                <w:noProof/>
              </w:rPr>
            </w:pPr>
            <w:r>
              <w:rPr>
                <w:noProof/>
              </w:rPr>
              <w:t xml:space="preserve"> Osobe u ekvivalentu punog radnog vremena</w:t>
            </w:r>
          </w:p>
        </w:tc>
        <w:tc>
          <w:tcPr>
            <w:tcW w:w="988" w:type="dxa"/>
            <w:shd w:val="clear" w:color="auto" w:fill="C6EFCE"/>
            <w:vAlign w:val="center"/>
          </w:tcPr>
          <w:p w14:paraId="5D3FD31F" w14:textId="3942FEB2" w:rsidR="00615E2D" w:rsidRDefault="00C83E46">
            <w:pPr>
              <w:pStyle w:val="P68B1DB1-Normal11"/>
              <w:spacing w:before="0" w:after="0" w:line="240" w:lineRule="auto"/>
              <w:jc w:val="center"/>
              <w:rPr>
                <w:noProof/>
              </w:rPr>
            </w:pPr>
            <w:r>
              <w:rPr>
                <w:noProof/>
              </w:rPr>
              <w:t>217</w:t>
            </w:r>
          </w:p>
        </w:tc>
        <w:tc>
          <w:tcPr>
            <w:tcW w:w="988" w:type="dxa"/>
            <w:shd w:val="clear" w:color="auto" w:fill="C6EFCE"/>
            <w:vAlign w:val="center"/>
          </w:tcPr>
          <w:p w14:paraId="7493220D" w14:textId="542B77FE" w:rsidR="00615E2D" w:rsidRDefault="00C83E46">
            <w:pPr>
              <w:pStyle w:val="P68B1DB1-Normal11"/>
              <w:spacing w:before="0" w:after="0" w:line="240" w:lineRule="auto"/>
              <w:jc w:val="center"/>
              <w:rPr>
                <w:noProof/>
              </w:rPr>
            </w:pPr>
            <w:r>
              <w:rPr>
                <w:noProof/>
              </w:rPr>
              <w:t>338</w:t>
            </w:r>
          </w:p>
        </w:tc>
        <w:tc>
          <w:tcPr>
            <w:tcW w:w="1077" w:type="dxa"/>
            <w:shd w:val="clear" w:color="auto" w:fill="C6EFCE"/>
            <w:vAlign w:val="center"/>
          </w:tcPr>
          <w:p w14:paraId="4B8E4C1A" w14:textId="22A73E84" w:rsidR="00615E2D" w:rsidRDefault="00C83E46">
            <w:pPr>
              <w:pStyle w:val="P68B1DB1-Normal11"/>
              <w:spacing w:before="0" w:after="0" w:line="240" w:lineRule="auto"/>
              <w:jc w:val="center"/>
              <w:rPr>
                <w:noProof/>
              </w:rPr>
            </w:pPr>
            <w:r>
              <w:rPr>
                <w:noProof/>
              </w:rPr>
              <w:t>ČETVRTO TROMJESEČJE</w:t>
            </w:r>
          </w:p>
        </w:tc>
        <w:tc>
          <w:tcPr>
            <w:tcW w:w="658" w:type="dxa"/>
            <w:shd w:val="clear" w:color="auto" w:fill="C6EFCE"/>
            <w:vAlign w:val="center"/>
          </w:tcPr>
          <w:p w14:paraId="2D0A5332" w14:textId="05160F5F" w:rsidR="00615E2D" w:rsidRDefault="00C83E46">
            <w:pPr>
              <w:pStyle w:val="P68B1DB1-Normal11"/>
              <w:spacing w:before="0" w:after="0" w:line="240" w:lineRule="auto"/>
              <w:jc w:val="center"/>
              <w:rPr>
                <w:noProof/>
              </w:rPr>
            </w:pPr>
            <w:r>
              <w:rPr>
                <w:noProof/>
              </w:rPr>
              <w:t>2023</w:t>
            </w:r>
          </w:p>
        </w:tc>
        <w:tc>
          <w:tcPr>
            <w:tcW w:w="4128" w:type="dxa"/>
            <w:shd w:val="clear" w:color="auto" w:fill="C6EFCE"/>
            <w:vAlign w:val="center"/>
          </w:tcPr>
          <w:p w14:paraId="00265F2A" w14:textId="46C4716D" w:rsidR="00615E2D" w:rsidRDefault="00C83E46">
            <w:pPr>
              <w:pStyle w:val="P68B1DB1-Normal11"/>
              <w:spacing w:before="0" w:after="0" w:line="259" w:lineRule="auto"/>
              <w:rPr>
                <w:noProof/>
              </w:rPr>
            </w:pPr>
            <w:r>
              <w:rPr>
                <w:noProof/>
              </w:rPr>
              <w:t>Najmanje 338 osoba u ekvivalentu punog radnog vremena radi na planu za oporavak i otpornost.</w:t>
            </w:r>
          </w:p>
        </w:tc>
      </w:tr>
      <w:tr w:rsidR="00615E2D" w14:paraId="6DC599B1" w14:textId="77777777">
        <w:trPr>
          <w:trHeight w:val="309"/>
          <w:jc w:val="center"/>
        </w:trPr>
        <w:tc>
          <w:tcPr>
            <w:tcW w:w="654" w:type="dxa"/>
            <w:shd w:val="clear" w:color="auto" w:fill="C6EFCE"/>
          </w:tcPr>
          <w:p w14:paraId="34325DB4" w14:textId="653C0221" w:rsidR="00615E2D" w:rsidRDefault="00C83E46">
            <w:pPr>
              <w:pStyle w:val="P68B1DB1-Normal15"/>
              <w:spacing w:before="0" w:after="0" w:line="240" w:lineRule="auto"/>
              <w:jc w:val="center"/>
              <w:rPr>
                <w:noProof/>
              </w:rPr>
            </w:pPr>
            <w:r>
              <w:rPr>
                <w:noProof/>
              </w:rPr>
              <w:t>286</w:t>
            </w:r>
          </w:p>
        </w:tc>
        <w:tc>
          <w:tcPr>
            <w:tcW w:w="1625" w:type="dxa"/>
            <w:shd w:val="clear" w:color="auto" w:fill="C6EFCE"/>
          </w:tcPr>
          <w:p w14:paraId="277B3623" w14:textId="77777777" w:rsidR="00615E2D" w:rsidRDefault="00C83E46">
            <w:pPr>
              <w:pStyle w:val="P68B1DB1-Normal11"/>
              <w:spacing w:before="0" w:after="0"/>
              <w:rPr>
                <w:noProof/>
              </w:rPr>
            </w:pPr>
            <w:r>
              <w:rPr>
                <w:noProof/>
              </w:rPr>
              <w:t xml:space="preserve">Reforma 4.: </w:t>
            </w:r>
          </w:p>
          <w:p w14:paraId="0B418B60" w14:textId="5BC7A0BE" w:rsidR="00615E2D" w:rsidRDefault="00C83E46">
            <w:pPr>
              <w:pStyle w:val="P68B1DB1-Normal11"/>
              <w:spacing w:before="0" w:after="0" w:line="240" w:lineRule="auto"/>
              <w:rPr>
                <w:noProof/>
              </w:rPr>
            </w:pPr>
            <w:r>
              <w:rPr>
                <w:noProof/>
              </w:rPr>
              <w:t>Povećanje učinkovitosti i poboljšanje provedbe plana za oporavak i otpornost</w:t>
            </w:r>
          </w:p>
        </w:tc>
        <w:tc>
          <w:tcPr>
            <w:tcW w:w="1134" w:type="dxa"/>
            <w:shd w:val="clear" w:color="auto" w:fill="C6EFCE"/>
          </w:tcPr>
          <w:p w14:paraId="6C8C9234" w14:textId="6D92E120" w:rsidR="00615E2D" w:rsidRDefault="00C83E46">
            <w:pPr>
              <w:pStyle w:val="P68B1DB1-Normal11"/>
              <w:spacing w:before="0" w:after="0" w:line="240" w:lineRule="auto"/>
              <w:rPr>
                <w:noProof/>
              </w:rPr>
            </w:pPr>
            <w:r>
              <w:rPr>
                <w:noProof/>
              </w:rPr>
              <w:t>Prekretnica</w:t>
            </w:r>
          </w:p>
        </w:tc>
        <w:tc>
          <w:tcPr>
            <w:tcW w:w="1546" w:type="dxa"/>
            <w:shd w:val="clear" w:color="auto" w:fill="C6EFCE"/>
          </w:tcPr>
          <w:p w14:paraId="67D1B4CC" w14:textId="36D37100" w:rsidR="00615E2D" w:rsidRDefault="00C83E46">
            <w:pPr>
              <w:pStyle w:val="P68B1DB1-Normal11"/>
              <w:spacing w:before="0" w:after="0" w:line="240" w:lineRule="auto"/>
              <w:rPr>
                <w:noProof/>
              </w:rPr>
            </w:pPr>
            <w:r>
              <w:rPr>
                <w:noProof/>
              </w:rPr>
              <w:t>Odobreni medijski i komunikacijski plan za revidirani plan za oporavak i otpornost</w:t>
            </w:r>
          </w:p>
        </w:tc>
        <w:tc>
          <w:tcPr>
            <w:tcW w:w="1799" w:type="dxa"/>
            <w:shd w:val="clear" w:color="auto" w:fill="C6EFCE"/>
          </w:tcPr>
          <w:p w14:paraId="7311E321" w14:textId="68A2E7E3" w:rsidR="00615E2D" w:rsidRDefault="00C83E46">
            <w:pPr>
              <w:pStyle w:val="P68B1DB1-Normal11"/>
              <w:spacing w:before="0" w:after="0" w:line="240" w:lineRule="auto"/>
              <w:rPr>
                <w:noProof/>
              </w:rPr>
            </w:pPr>
            <w:r>
              <w:rPr>
                <w:noProof/>
              </w:rPr>
              <w:t>Odobreni medijski i komunikacijski plan za revidirani plan za oporavak i otpornost</w:t>
            </w:r>
          </w:p>
        </w:tc>
        <w:tc>
          <w:tcPr>
            <w:tcW w:w="988" w:type="dxa"/>
            <w:shd w:val="clear" w:color="auto" w:fill="C6EFCE"/>
            <w:vAlign w:val="center"/>
          </w:tcPr>
          <w:p w14:paraId="10434DD8" w14:textId="2613A622"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010E1DD5" w14:textId="10D6574D"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159B1700" w14:textId="3E80186A" w:rsidR="00615E2D" w:rsidRDefault="00615E2D">
            <w:pPr>
              <w:spacing w:before="0" w:after="0" w:line="240" w:lineRule="auto"/>
              <w:jc w:val="center"/>
              <w:rPr>
                <w:rFonts w:eastAsia="Times New Roman"/>
                <w:noProof/>
                <w:color w:val="006100"/>
                <w:sz w:val="18"/>
              </w:rPr>
            </w:pPr>
          </w:p>
        </w:tc>
        <w:tc>
          <w:tcPr>
            <w:tcW w:w="1077" w:type="dxa"/>
            <w:shd w:val="clear" w:color="auto" w:fill="C6EFCE"/>
            <w:vAlign w:val="center"/>
          </w:tcPr>
          <w:p w14:paraId="79CE0B54" w14:textId="635F0C64" w:rsidR="00615E2D" w:rsidRDefault="00C83E46">
            <w:pPr>
              <w:pStyle w:val="P68B1DB1-Normal11"/>
              <w:spacing w:before="0" w:after="0" w:line="240" w:lineRule="auto"/>
              <w:jc w:val="center"/>
              <w:rPr>
                <w:noProof/>
              </w:rPr>
            </w:pPr>
            <w:r>
              <w:rPr>
                <w:noProof/>
              </w:rPr>
              <w:t>TROMJESEČJE</w:t>
            </w:r>
          </w:p>
        </w:tc>
        <w:tc>
          <w:tcPr>
            <w:tcW w:w="658" w:type="dxa"/>
            <w:shd w:val="clear" w:color="auto" w:fill="C6EFCE"/>
            <w:vAlign w:val="center"/>
          </w:tcPr>
          <w:p w14:paraId="709580EC" w14:textId="506B36BD" w:rsidR="00615E2D" w:rsidRDefault="00C83E46">
            <w:pPr>
              <w:pStyle w:val="P68B1DB1-Normal11"/>
              <w:spacing w:before="0" w:after="0" w:line="240" w:lineRule="auto"/>
              <w:jc w:val="center"/>
              <w:rPr>
                <w:noProof/>
              </w:rPr>
            </w:pPr>
            <w:r>
              <w:rPr>
                <w:noProof/>
              </w:rPr>
              <w:t>2024</w:t>
            </w:r>
          </w:p>
        </w:tc>
        <w:tc>
          <w:tcPr>
            <w:tcW w:w="4128" w:type="dxa"/>
            <w:shd w:val="clear" w:color="auto" w:fill="C6EFCE"/>
            <w:vAlign w:val="center"/>
          </w:tcPr>
          <w:p w14:paraId="327FD971" w14:textId="499EBE72" w:rsidR="00615E2D" w:rsidRDefault="00C83E46">
            <w:pPr>
              <w:pStyle w:val="P68B1DB1-Normal11"/>
              <w:spacing w:before="0" w:after="0"/>
              <w:rPr>
                <w:noProof/>
              </w:rPr>
            </w:pPr>
            <w:r>
              <w:rPr>
                <w:noProof/>
              </w:rPr>
              <w:t xml:space="preserve">Donosi se ažuriranje medijskog i komunikacijskog plana za revidirani plan za oporavak i otpornost. </w:t>
            </w:r>
          </w:p>
        </w:tc>
      </w:tr>
      <w:tr w:rsidR="00615E2D" w14:paraId="53F51B48" w14:textId="77777777">
        <w:trPr>
          <w:trHeight w:val="309"/>
          <w:jc w:val="center"/>
        </w:trPr>
        <w:tc>
          <w:tcPr>
            <w:tcW w:w="654" w:type="dxa"/>
            <w:shd w:val="clear" w:color="auto" w:fill="C6EFCE"/>
          </w:tcPr>
          <w:p w14:paraId="1F16F287" w14:textId="1E228571" w:rsidR="00615E2D" w:rsidRDefault="00C83E46">
            <w:pPr>
              <w:pStyle w:val="P68B1DB1-Normal15"/>
              <w:spacing w:before="0" w:after="0" w:line="240" w:lineRule="auto"/>
              <w:jc w:val="center"/>
              <w:rPr>
                <w:noProof/>
              </w:rPr>
            </w:pPr>
            <w:r>
              <w:rPr>
                <w:noProof/>
              </w:rPr>
              <w:t xml:space="preserve"> 287</w:t>
            </w:r>
          </w:p>
        </w:tc>
        <w:tc>
          <w:tcPr>
            <w:tcW w:w="1625" w:type="dxa"/>
            <w:shd w:val="clear" w:color="auto" w:fill="C6EFCE"/>
          </w:tcPr>
          <w:p w14:paraId="4D4F07B7" w14:textId="793E1147" w:rsidR="00615E2D" w:rsidRDefault="00C83E46">
            <w:pPr>
              <w:pStyle w:val="P68B1DB1-Normal11"/>
              <w:spacing w:before="0" w:after="0" w:line="240" w:lineRule="auto"/>
              <w:rPr>
                <w:noProof/>
              </w:rPr>
            </w:pPr>
            <w:r>
              <w:rPr>
                <w:noProof/>
              </w:rPr>
              <w:t xml:space="preserve">Reforma 4.: </w:t>
            </w:r>
          </w:p>
          <w:p w14:paraId="4756A7DE" w14:textId="77777777" w:rsidR="00615E2D" w:rsidRDefault="00C83E46">
            <w:pPr>
              <w:pStyle w:val="P68B1DB1-Normal11"/>
              <w:spacing w:before="0" w:after="0" w:line="240" w:lineRule="auto"/>
              <w:rPr>
                <w:noProof/>
              </w:rPr>
            </w:pPr>
            <w:r>
              <w:rPr>
                <w:noProof/>
              </w:rPr>
              <w:t>Povećanje učinkovitosti i poboljšanje provedbe nacionalnog plana za oporavak i otpornost</w:t>
            </w:r>
          </w:p>
          <w:p w14:paraId="4E62E375" w14:textId="6272C43E" w:rsidR="00615E2D" w:rsidRDefault="00C83E46">
            <w:pPr>
              <w:pStyle w:val="P68B1DB1-Normal11"/>
              <w:spacing w:before="0" w:after="0" w:line="240" w:lineRule="auto"/>
              <w:rPr>
                <w:noProof/>
              </w:rPr>
            </w:pPr>
            <w:r>
              <w:rPr>
                <w:noProof/>
              </w:rPr>
              <w:t xml:space="preserve"> </w:t>
            </w:r>
          </w:p>
        </w:tc>
        <w:tc>
          <w:tcPr>
            <w:tcW w:w="1134" w:type="dxa"/>
            <w:shd w:val="clear" w:color="auto" w:fill="C6EFCE"/>
          </w:tcPr>
          <w:p w14:paraId="42BCE51B" w14:textId="67DF5B22" w:rsidR="00615E2D" w:rsidRDefault="00C83E46">
            <w:pPr>
              <w:pStyle w:val="P68B1DB1-Normal11"/>
              <w:spacing w:before="0" w:after="0" w:line="240" w:lineRule="auto"/>
              <w:rPr>
                <w:noProof/>
              </w:rPr>
            </w:pPr>
            <w:r>
              <w:rPr>
                <w:noProof/>
              </w:rPr>
              <w:t>Prekretnica</w:t>
            </w:r>
          </w:p>
        </w:tc>
        <w:tc>
          <w:tcPr>
            <w:tcW w:w="1546" w:type="dxa"/>
            <w:shd w:val="clear" w:color="auto" w:fill="C6EFCE"/>
          </w:tcPr>
          <w:p w14:paraId="63AE2256" w14:textId="7EB814AB" w:rsidR="00615E2D" w:rsidRDefault="00C83E46">
            <w:pPr>
              <w:pStyle w:val="P68B1DB1-Normal11"/>
              <w:spacing w:before="0" w:after="0" w:line="240" w:lineRule="auto"/>
              <w:rPr>
                <w:noProof/>
              </w:rPr>
            </w:pPr>
            <w:r>
              <w:rPr>
                <w:noProof/>
              </w:rPr>
              <w:t>Nadogradnja repozitorijskog sustava (AIS)</w:t>
            </w:r>
          </w:p>
        </w:tc>
        <w:tc>
          <w:tcPr>
            <w:tcW w:w="1799" w:type="dxa"/>
            <w:shd w:val="clear" w:color="auto" w:fill="C6EFCE"/>
          </w:tcPr>
          <w:p w14:paraId="4C3F629D" w14:textId="5A4D168F" w:rsidR="00615E2D" w:rsidRDefault="00615E2D">
            <w:pPr>
              <w:spacing w:before="0" w:after="0" w:line="240" w:lineRule="auto"/>
              <w:rPr>
                <w:rFonts w:eastAsia="Times New Roman"/>
                <w:noProof/>
                <w:color w:val="006100"/>
                <w:sz w:val="18"/>
              </w:rPr>
            </w:pPr>
          </w:p>
          <w:p w14:paraId="2A681BCE" w14:textId="18F2CF55" w:rsidR="00615E2D" w:rsidRDefault="00C83E46">
            <w:pPr>
              <w:pStyle w:val="P68B1DB1-Normal11"/>
              <w:spacing w:before="0" w:after="0" w:line="240" w:lineRule="auto"/>
              <w:rPr>
                <w:noProof/>
              </w:rPr>
            </w:pPr>
            <w:r>
              <w:rPr>
                <w:noProof/>
              </w:rPr>
              <w:t>Unaprijeđeni repozitorijski sustav (AIS) postaje dostupan tijelima koja provode plan za oporavak i otpornost.</w:t>
            </w:r>
          </w:p>
        </w:tc>
        <w:tc>
          <w:tcPr>
            <w:tcW w:w="988" w:type="dxa"/>
            <w:shd w:val="clear" w:color="auto" w:fill="C6EFCE"/>
            <w:vAlign w:val="center"/>
          </w:tcPr>
          <w:p w14:paraId="76FF6A26" w14:textId="384E2ABD"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3F983C79" w14:textId="75BA51E6"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4E54D3C9" w14:textId="251D5D83" w:rsidR="00615E2D" w:rsidRDefault="00615E2D">
            <w:pPr>
              <w:spacing w:before="0" w:after="0" w:line="240" w:lineRule="auto"/>
              <w:jc w:val="center"/>
              <w:rPr>
                <w:rFonts w:eastAsia="Times New Roman"/>
                <w:noProof/>
                <w:color w:val="006100"/>
                <w:sz w:val="18"/>
              </w:rPr>
            </w:pPr>
          </w:p>
        </w:tc>
        <w:tc>
          <w:tcPr>
            <w:tcW w:w="1077" w:type="dxa"/>
            <w:shd w:val="clear" w:color="auto" w:fill="C6EFCE"/>
            <w:vAlign w:val="center"/>
          </w:tcPr>
          <w:p w14:paraId="274D9A17" w14:textId="0BFCAD60" w:rsidR="00615E2D" w:rsidRDefault="00C83E46">
            <w:pPr>
              <w:pStyle w:val="P68B1DB1-Normal11"/>
              <w:spacing w:before="0" w:after="0" w:line="240" w:lineRule="auto"/>
              <w:jc w:val="center"/>
              <w:rPr>
                <w:noProof/>
              </w:rPr>
            </w:pPr>
            <w:r>
              <w:rPr>
                <w:noProof/>
              </w:rPr>
              <w:t>TROMJESEČJE</w:t>
            </w:r>
          </w:p>
        </w:tc>
        <w:tc>
          <w:tcPr>
            <w:tcW w:w="658" w:type="dxa"/>
            <w:shd w:val="clear" w:color="auto" w:fill="C6EFCE"/>
            <w:vAlign w:val="center"/>
          </w:tcPr>
          <w:p w14:paraId="671D368D" w14:textId="7793EFA6" w:rsidR="00615E2D" w:rsidRDefault="00C83E46">
            <w:pPr>
              <w:pStyle w:val="P68B1DB1-Normal11"/>
              <w:spacing w:before="0" w:after="0" w:line="240" w:lineRule="auto"/>
              <w:jc w:val="center"/>
              <w:rPr>
                <w:noProof/>
              </w:rPr>
            </w:pPr>
            <w:r>
              <w:rPr>
                <w:noProof/>
              </w:rPr>
              <w:t>2024</w:t>
            </w:r>
          </w:p>
        </w:tc>
        <w:tc>
          <w:tcPr>
            <w:tcW w:w="4128" w:type="dxa"/>
            <w:shd w:val="clear" w:color="auto" w:fill="C6EFCE"/>
            <w:vAlign w:val="center"/>
          </w:tcPr>
          <w:p w14:paraId="015DA0DB" w14:textId="77777777" w:rsidR="00615E2D" w:rsidRDefault="00C83E46">
            <w:pPr>
              <w:pStyle w:val="P68B1DB1-Normal11"/>
              <w:spacing w:before="0" w:after="0" w:line="240" w:lineRule="auto"/>
              <w:rPr>
                <w:noProof/>
              </w:rPr>
            </w:pPr>
            <w:r>
              <w:rPr>
                <w:noProof/>
              </w:rPr>
              <w:t>Nadograđeni repozitorijski sustav mora biti uspostavljen i operativan. Sustav uključuje barem sljedeće nove elemente:</w:t>
            </w:r>
          </w:p>
          <w:p w14:paraId="7FF0943F" w14:textId="77777777" w:rsidR="00615E2D" w:rsidRDefault="00C83E46">
            <w:pPr>
              <w:pStyle w:val="P68B1DB1-Normal11"/>
              <w:spacing w:before="0" w:after="0" w:line="240" w:lineRule="auto"/>
              <w:rPr>
                <w:noProof/>
              </w:rPr>
            </w:pPr>
            <w:r>
              <w:rPr>
                <w:noProof/>
              </w:rPr>
              <w:t xml:space="preserve"> </w:t>
            </w:r>
          </w:p>
          <w:p w14:paraId="4B7438E9" w14:textId="77777777" w:rsidR="00615E2D" w:rsidRDefault="00C83E46">
            <w:pPr>
              <w:pStyle w:val="P68B1DB1-ListParagraph31"/>
              <w:numPr>
                <w:ilvl w:val="0"/>
                <w:numId w:val="334"/>
              </w:numPr>
              <w:spacing w:before="0" w:after="0" w:line="240" w:lineRule="auto"/>
              <w:rPr>
                <w:noProof/>
              </w:rPr>
            </w:pPr>
            <w:r>
              <w:rPr>
                <w:noProof/>
              </w:rPr>
              <w:t>Nove ključne etape i ciljne vrijednosti te izmjena postojećih podataka o ključnoj etapi/ciljnoj vrijednosti;</w:t>
            </w:r>
          </w:p>
          <w:p w14:paraId="44B829F8" w14:textId="77777777" w:rsidR="00615E2D" w:rsidRDefault="00C83E46">
            <w:pPr>
              <w:pStyle w:val="P68B1DB1-ListParagraph31"/>
              <w:numPr>
                <w:ilvl w:val="0"/>
                <w:numId w:val="334"/>
              </w:numPr>
              <w:spacing w:before="0" w:after="0" w:line="240" w:lineRule="auto"/>
              <w:rPr>
                <w:noProof/>
              </w:rPr>
            </w:pPr>
            <w:r>
              <w:rPr>
                <w:noProof/>
              </w:rPr>
              <w:t>Nove funkcije povezane sa sastavljanjem statističkih izvješća;</w:t>
            </w:r>
          </w:p>
          <w:p w14:paraId="682EFB70" w14:textId="1BF49686" w:rsidR="00615E2D" w:rsidRDefault="00C83E46">
            <w:pPr>
              <w:pStyle w:val="P68B1DB1-ListParagraph31"/>
              <w:numPr>
                <w:ilvl w:val="0"/>
                <w:numId w:val="334"/>
              </w:numPr>
              <w:spacing w:before="0" w:after="0" w:line="240" w:lineRule="auto"/>
              <w:rPr>
                <w:noProof/>
              </w:rPr>
            </w:pPr>
            <w:r>
              <w:rPr>
                <w:noProof/>
              </w:rPr>
              <w:t>razvoj sustava u skladu s dodatnim zahtjevima za izvješćivanje.</w:t>
            </w:r>
          </w:p>
          <w:p w14:paraId="66C2A306" w14:textId="6D70EA8D" w:rsidR="00615E2D" w:rsidRDefault="00C83E46">
            <w:pPr>
              <w:pStyle w:val="P68B1DB1-Normal11"/>
              <w:spacing w:before="0" w:after="0" w:line="240" w:lineRule="auto"/>
              <w:rPr>
                <w:noProof/>
              </w:rPr>
            </w:pPr>
            <w:r>
              <w:rPr>
                <w:noProof/>
              </w:rPr>
              <w:t xml:space="preserve"> </w:t>
            </w:r>
          </w:p>
        </w:tc>
      </w:tr>
      <w:tr w:rsidR="00615E2D" w14:paraId="2783B5B7" w14:textId="77777777">
        <w:trPr>
          <w:trHeight w:val="309"/>
          <w:jc w:val="center"/>
        </w:trPr>
        <w:tc>
          <w:tcPr>
            <w:tcW w:w="654" w:type="dxa"/>
            <w:shd w:val="clear" w:color="auto" w:fill="C6EFCE"/>
          </w:tcPr>
          <w:p w14:paraId="2C1B5E86" w14:textId="458E05C1" w:rsidR="00615E2D" w:rsidRDefault="00C83E46">
            <w:pPr>
              <w:pStyle w:val="P68B1DB1-Normal15"/>
              <w:spacing w:before="0" w:after="0" w:line="240" w:lineRule="auto"/>
              <w:jc w:val="center"/>
              <w:rPr>
                <w:noProof/>
              </w:rPr>
            </w:pPr>
            <w:r>
              <w:rPr>
                <w:noProof/>
              </w:rPr>
              <w:t>288</w:t>
            </w:r>
          </w:p>
        </w:tc>
        <w:tc>
          <w:tcPr>
            <w:tcW w:w="1625" w:type="dxa"/>
            <w:shd w:val="clear" w:color="auto" w:fill="C6EFCE"/>
          </w:tcPr>
          <w:p w14:paraId="64B0E259" w14:textId="77777777" w:rsidR="00615E2D" w:rsidRDefault="00C83E46">
            <w:pPr>
              <w:pStyle w:val="P68B1DB1-Normal11"/>
              <w:spacing w:before="0" w:after="0" w:line="240" w:lineRule="auto"/>
              <w:rPr>
                <w:noProof/>
              </w:rPr>
            </w:pPr>
            <w:r>
              <w:rPr>
                <w:noProof/>
              </w:rPr>
              <w:t xml:space="preserve">Reforma 4.: </w:t>
            </w:r>
          </w:p>
          <w:p w14:paraId="770123BB" w14:textId="77777777" w:rsidR="00615E2D" w:rsidRDefault="00615E2D">
            <w:pPr>
              <w:spacing w:before="0" w:after="0" w:line="240" w:lineRule="auto"/>
              <w:rPr>
                <w:rFonts w:eastAsia="Times New Roman"/>
                <w:noProof/>
                <w:color w:val="006100"/>
                <w:sz w:val="18"/>
              </w:rPr>
            </w:pPr>
          </w:p>
          <w:p w14:paraId="70E86EF5" w14:textId="77777777" w:rsidR="00615E2D" w:rsidRDefault="00C83E46">
            <w:pPr>
              <w:pStyle w:val="P68B1DB1-Normal11"/>
              <w:spacing w:before="0" w:after="0" w:line="240" w:lineRule="auto"/>
              <w:rPr>
                <w:noProof/>
              </w:rPr>
            </w:pPr>
            <w:r>
              <w:rPr>
                <w:noProof/>
              </w:rPr>
              <w:t>Povećanje učinkovitosti i poboljšanje provedbe nacionalnog plana za oporavak i otpornost</w:t>
            </w:r>
          </w:p>
          <w:p w14:paraId="31060C47" w14:textId="1FF5AC29" w:rsidR="00615E2D" w:rsidRDefault="00C83E46">
            <w:pPr>
              <w:pStyle w:val="P68B1DB1-Normal11"/>
              <w:spacing w:before="0" w:after="0" w:line="240" w:lineRule="auto"/>
              <w:rPr>
                <w:noProof/>
              </w:rPr>
            </w:pPr>
            <w:r>
              <w:rPr>
                <w:noProof/>
              </w:rPr>
              <w:t xml:space="preserve"> </w:t>
            </w:r>
          </w:p>
        </w:tc>
        <w:tc>
          <w:tcPr>
            <w:tcW w:w="1134" w:type="dxa"/>
            <w:shd w:val="clear" w:color="auto" w:fill="C6EFCE"/>
          </w:tcPr>
          <w:p w14:paraId="5011D237" w14:textId="2EDA5DD0" w:rsidR="00615E2D" w:rsidRDefault="00C83E46">
            <w:pPr>
              <w:pStyle w:val="P68B1DB1-Normal11"/>
              <w:spacing w:before="0" w:after="0" w:line="240" w:lineRule="auto"/>
              <w:rPr>
                <w:noProof/>
              </w:rPr>
            </w:pPr>
            <w:r>
              <w:rPr>
                <w:noProof/>
              </w:rPr>
              <w:t>Ciljna</w:t>
            </w:r>
          </w:p>
        </w:tc>
        <w:tc>
          <w:tcPr>
            <w:tcW w:w="1546" w:type="dxa"/>
            <w:shd w:val="clear" w:color="auto" w:fill="C6EFCE"/>
          </w:tcPr>
          <w:p w14:paraId="56BA5A53" w14:textId="4DCC4EA3" w:rsidR="00615E2D" w:rsidRDefault="00C83E46">
            <w:pPr>
              <w:pStyle w:val="P68B1DB1-Normal11"/>
              <w:spacing w:before="0" w:after="0" w:line="240" w:lineRule="auto"/>
              <w:rPr>
                <w:noProof/>
              </w:rPr>
            </w:pPr>
            <w:r>
              <w:rPr>
                <w:noProof/>
              </w:rPr>
              <w:t>Povećanje broja osoba koje rade na planu za oporavak i otpornost do 2024.</w:t>
            </w:r>
          </w:p>
        </w:tc>
        <w:tc>
          <w:tcPr>
            <w:tcW w:w="1799" w:type="dxa"/>
            <w:shd w:val="clear" w:color="auto" w:fill="C6EFCE"/>
          </w:tcPr>
          <w:p w14:paraId="462813E5" w14:textId="0867A808"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585FF066" w14:textId="77777777" w:rsidR="00615E2D" w:rsidRDefault="00C83E46">
            <w:pPr>
              <w:pStyle w:val="P68B1DB1-Normal11"/>
              <w:spacing w:before="0" w:after="0" w:line="240" w:lineRule="auto"/>
              <w:jc w:val="center"/>
              <w:rPr>
                <w:noProof/>
              </w:rPr>
            </w:pPr>
            <w:r>
              <w:rPr>
                <w:noProof/>
              </w:rPr>
              <w:t xml:space="preserve"> </w:t>
            </w:r>
          </w:p>
          <w:p w14:paraId="0A9007B2" w14:textId="739666E6" w:rsidR="00615E2D" w:rsidRDefault="00C83E46">
            <w:pPr>
              <w:pStyle w:val="P68B1DB1-Normal11"/>
              <w:spacing w:before="0" w:after="0" w:line="240" w:lineRule="auto"/>
              <w:jc w:val="center"/>
              <w:rPr>
                <w:noProof/>
              </w:rPr>
            </w:pPr>
            <w:r>
              <w:rPr>
                <w:noProof/>
              </w:rPr>
              <w:t>Osobe u ekvivalentu punog radnog vremena</w:t>
            </w:r>
          </w:p>
        </w:tc>
        <w:tc>
          <w:tcPr>
            <w:tcW w:w="988" w:type="dxa"/>
            <w:shd w:val="clear" w:color="auto" w:fill="C6EFCE"/>
            <w:vAlign w:val="center"/>
          </w:tcPr>
          <w:p w14:paraId="5283E06D" w14:textId="6BF66A55" w:rsidR="00615E2D" w:rsidRDefault="00C83E46">
            <w:pPr>
              <w:pStyle w:val="P68B1DB1-Normal11"/>
              <w:spacing w:before="0" w:after="0" w:line="240" w:lineRule="auto"/>
              <w:jc w:val="center"/>
              <w:rPr>
                <w:noProof/>
              </w:rPr>
            </w:pPr>
            <w:r>
              <w:rPr>
                <w:noProof/>
              </w:rPr>
              <w:t>338</w:t>
            </w:r>
          </w:p>
        </w:tc>
        <w:tc>
          <w:tcPr>
            <w:tcW w:w="988" w:type="dxa"/>
            <w:shd w:val="clear" w:color="auto" w:fill="C6EFCE"/>
            <w:vAlign w:val="center"/>
          </w:tcPr>
          <w:p w14:paraId="2845883F" w14:textId="38CA944F" w:rsidR="00615E2D" w:rsidRDefault="00C83E46">
            <w:pPr>
              <w:pStyle w:val="P68B1DB1-Normal11"/>
              <w:spacing w:before="0" w:after="0" w:line="240" w:lineRule="auto"/>
              <w:jc w:val="center"/>
              <w:rPr>
                <w:noProof/>
              </w:rPr>
            </w:pPr>
            <w:r>
              <w:rPr>
                <w:noProof/>
              </w:rPr>
              <w:t>470</w:t>
            </w:r>
          </w:p>
        </w:tc>
        <w:tc>
          <w:tcPr>
            <w:tcW w:w="1077" w:type="dxa"/>
            <w:shd w:val="clear" w:color="auto" w:fill="C6EFCE"/>
            <w:vAlign w:val="center"/>
          </w:tcPr>
          <w:p w14:paraId="0E8899C7" w14:textId="08394829" w:rsidR="00615E2D" w:rsidRDefault="00C83E46">
            <w:pPr>
              <w:pStyle w:val="P68B1DB1-Normal11"/>
              <w:spacing w:before="0" w:after="0" w:line="240" w:lineRule="auto"/>
              <w:jc w:val="center"/>
              <w:rPr>
                <w:noProof/>
              </w:rPr>
            </w:pPr>
            <w:r>
              <w:rPr>
                <w:noProof/>
              </w:rPr>
              <w:t>ČETVRTO TROMJESEČJE</w:t>
            </w:r>
          </w:p>
        </w:tc>
        <w:tc>
          <w:tcPr>
            <w:tcW w:w="658" w:type="dxa"/>
            <w:shd w:val="clear" w:color="auto" w:fill="C6EFCE"/>
            <w:vAlign w:val="center"/>
          </w:tcPr>
          <w:p w14:paraId="2980264F" w14:textId="189207F1" w:rsidR="00615E2D" w:rsidRDefault="00C83E46">
            <w:pPr>
              <w:pStyle w:val="P68B1DB1-Normal11"/>
              <w:spacing w:before="0" w:after="0" w:line="240" w:lineRule="auto"/>
              <w:jc w:val="center"/>
              <w:rPr>
                <w:noProof/>
              </w:rPr>
            </w:pPr>
            <w:r>
              <w:rPr>
                <w:noProof/>
              </w:rPr>
              <w:t>2024</w:t>
            </w:r>
          </w:p>
        </w:tc>
        <w:tc>
          <w:tcPr>
            <w:tcW w:w="4128" w:type="dxa"/>
            <w:shd w:val="clear" w:color="auto" w:fill="C6EFCE"/>
            <w:vAlign w:val="center"/>
          </w:tcPr>
          <w:p w14:paraId="344A7553" w14:textId="3547611F" w:rsidR="00615E2D" w:rsidRDefault="00C83E46">
            <w:pPr>
              <w:pStyle w:val="P68B1DB1-Normal11"/>
              <w:spacing w:before="0" w:after="0" w:line="240" w:lineRule="auto"/>
              <w:rPr>
                <w:noProof/>
              </w:rPr>
            </w:pPr>
            <w:r>
              <w:rPr>
                <w:noProof/>
              </w:rPr>
              <w:t>Najmanje 470 osoba u ekvivalentu punog radnog vremena radi na planu za oporavak i otpornost</w:t>
            </w:r>
          </w:p>
        </w:tc>
      </w:tr>
    </w:tbl>
    <w:p w14:paraId="76517AF8" w14:textId="5CEFAA73" w:rsidR="00615E2D" w:rsidRDefault="00615E2D">
      <w:pPr>
        <w:keepNext/>
        <w:spacing w:line="240" w:lineRule="auto"/>
        <w:jc w:val="both"/>
        <w:rPr>
          <w:rFonts w:eastAsia="Times New Roman"/>
          <w:b/>
          <w:noProof/>
          <w:color w:val="000000" w:themeColor="text1"/>
          <w:u w:val="single"/>
        </w:rPr>
      </w:pPr>
    </w:p>
    <w:p w14:paraId="2CB5FD1C" w14:textId="77777777" w:rsidR="00615E2D" w:rsidRDefault="00615E2D">
      <w:pPr>
        <w:keepNext/>
        <w:spacing w:line="240" w:lineRule="auto"/>
        <w:jc w:val="both"/>
        <w:rPr>
          <w:rFonts w:eastAsia="Times New Roman"/>
          <w:noProof/>
          <w:color w:val="000000" w:themeColor="text1"/>
        </w:rPr>
      </w:pPr>
    </w:p>
    <w:p w14:paraId="21E3E139" w14:textId="77777777" w:rsidR="00615E2D" w:rsidRDefault="00615E2D">
      <w:pPr>
        <w:keepNext/>
        <w:spacing w:line="240" w:lineRule="auto"/>
        <w:rPr>
          <w:noProof/>
        </w:rPr>
        <w:sectPr w:rsidR="00615E2D" w:rsidSect="003A6FF0">
          <w:headerReference w:type="even" r:id="rId324"/>
          <w:headerReference w:type="default" r:id="rId325"/>
          <w:footerReference w:type="even" r:id="rId326"/>
          <w:footerReference w:type="default" r:id="rId327"/>
          <w:headerReference w:type="first" r:id="rId328"/>
          <w:footerReference w:type="first" r:id="rId329"/>
          <w:pgSz w:w="16839" w:h="11907" w:orient="landscape"/>
          <w:pgMar w:top="1134" w:right="1134" w:bottom="1134" w:left="1134" w:header="567" w:footer="567" w:gutter="0"/>
          <w:cols w:space="720"/>
          <w:docGrid w:linePitch="326"/>
        </w:sectPr>
      </w:pPr>
    </w:p>
    <w:p w14:paraId="4DFECC9D" w14:textId="74C2BFF2" w:rsidR="00615E2D" w:rsidRDefault="00C83E46">
      <w:pPr>
        <w:pStyle w:val="P68B1DB1-Normal2"/>
        <w:keepNext/>
        <w:tabs>
          <w:tab w:val="left" w:pos="850"/>
        </w:tabs>
        <w:spacing w:line="240" w:lineRule="auto"/>
        <w:jc w:val="both"/>
        <w:outlineLvl w:val="0"/>
        <w:rPr>
          <w:noProof/>
        </w:rPr>
      </w:pPr>
      <w:r>
        <w:rPr>
          <w:noProof/>
        </w:rPr>
        <w:t xml:space="preserve">V. SASTAVNI DIO 4.2.: Novi vlasnički instrumenti za promicanje poduzetništva i razvoja češko-moravske jamstvene i razvojne banke (ČMZRB) kao nacionalne razvojne banke </w:t>
      </w:r>
    </w:p>
    <w:p w14:paraId="42FC7143" w14:textId="77777777" w:rsidR="00615E2D" w:rsidRDefault="00C83E46">
      <w:pPr>
        <w:pStyle w:val="P68B1DB1-Normal3"/>
        <w:spacing w:line="240" w:lineRule="auto"/>
        <w:jc w:val="both"/>
        <w:rPr>
          <w:noProof/>
          <w:color w:val="000000"/>
        </w:rPr>
      </w:pPr>
      <w:r>
        <w:rPr>
          <w:noProof/>
        </w:rPr>
        <w:t xml:space="preserve">Ovom komponentom češkog plana za oporavak i otpornost rješavaju se </w:t>
      </w:r>
      <w:r>
        <w:rPr>
          <w:noProof/>
          <w:color w:val="000000"/>
        </w:rPr>
        <w:t xml:space="preserve">izazovi u pogledu pristupa financiranju za mala </w:t>
      </w:r>
      <w:r>
        <w:rPr>
          <w:noProof/>
        </w:rPr>
        <w:t>i srednja poduzeća (MSP-ovi).</w:t>
      </w:r>
    </w:p>
    <w:p w14:paraId="6991E317" w14:textId="3EA908EB" w:rsidR="00615E2D" w:rsidRDefault="00C83E46">
      <w:pPr>
        <w:pStyle w:val="P68B1DB1-Normal3"/>
        <w:spacing w:line="240" w:lineRule="auto"/>
        <w:jc w:val="both"/>
        <w:rPr>
          <w:rFonts w:ascii="Calibri" w:hAnsi="Calibri"/>
          <w:noProof/>
          <w:sz w:val="22"/>
        </w:rPr>
      </w:pPr>
      <w:r>
        <w:rPr>
          <w:noProof/>
        </w:rPr>
        <w:t>Ciljevi komponente su proširenje proizvodne linije ČMZRB-a kako bi se uključio novi kvazivlasnički instrument i jačanje kapaciteta ČMZRB-a za njezinu provedbu, uključujući izradu unutarnjih regulatornih postupaka i IT sustava. Sastavni dio reforme jest ažuriranje strategije ČMZRB kako bi se uključila načela održivog financiranja u skladu s okolišnim ciljevima EU-a uz potpunu primjenu načela „ne nanosi bitnu štetu”.</w:t>
      </w:r>
    </w:p>
    <w:p w14:paraId="1CC1DBB3" w14:textId="77777777" w:rsidR="00615E2D" w:rsidRDefault="00C83E46">
      <w:pPr>
        <w:pStyle w:val="P68B1DB1-Normal3"/>
        <w:spacing w:line="240" w:lineRule="auto"/>
        <w:jc w:val="both"/>
        <w:rPr>
          <w:noProof/>
        </w:rPr>
      </w:pPr>
      <w:r>
        <w:rPr>
          <w:noProof/>
        </w:rPr>
        <w:t>Komponentom se podupire odgovor na preporuku za tu zemlju o</w:t>
      </w:r>
      <w:r>
        <w:rPr>
          <w:noProof/>
          <w:color w:val="000000"/>
        </w:rPr>
        <w:t xml:space="preserve"> potpori malim i srednjim poduzećima većom upotrebom financijskih instrumenata kako bi se osigurala potpora likvidnosti (preporuka za pojedinu zemlju br. 3</w:t>
      </w:r>
      <w:r>
        <w:rPr>
          <w:noProof/>
        </w:rPr>
        <w:t xml:space="preserve"> 2019).</w:t>
      </w:r>
    </w:p>
    <w:p w14:paraId="72D35BD1" w14:textId="77777777"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54161C8C" w14:textId="578CFD8F" w:rsidR="00615E2D" w:rsidRDefault="00615E2D">
      <w:pPr>
        <w:spacing w:line="240" w:lineRule="auto"/>
        <w:jc w:val="both"/>
        <w:rPr>
          <w:noProof/>
        </w:rPr>
      </w:pPr>
    </w:p>
    <w:p w14:paraId="6F51FB60" w14:textId="49559D73" w:rsidR="00615E2D" w:rsidRDefault="00C83E46">
      <w:pPr>
        <w:pStyle w:val="P68B1DB1-Normal5"/>
        <w:spacing w:line="240" w:lineRule="auto"/>
        <w:jc w:val="both"/>
        <w:rPr>
          <w:i/>
          <w:noProof/>
        </w:rPr>
      </w:pPr>
      <w:r>
        <w:rPr>
          <w:noProof/>
        </w:rPr>
        <w:t>V.1. Opis reformi i ulaganja za programe bespovratne financijske potpore</w:t>
      </w:r>
    </w:p>
    <w:p w14:paraId="37258DE2" w14:textId="77777777" w:rsidR="00615E2D" w:rsidRDefault="00C83E46">
      <w:pPr>
        <w:pStyle w:val="P68B1DB1-Normal7"/>
        <w:pBdr>
          <w:top w:val="nil"/>
          <w:left w:val="nil"/>
          <w:bottom w:val="nil"/>
          <w:right w:val="nil"/>
          <w:between w:val="nil"/>
        </w:pBdr>
        <w:spacing w:line="240" w:lineRule="auto"/>
        <w:rPr>
          <w:noProof/>
        </w:rPr>
      </w:pPr>
      <w:r>
        <w:rPr>
          <w:noProof/>
        </w:rPr>
        <w:t>Reforma 1.: Razvoj češko-moravske banke za jamstva i razvoj kao nacionalne razvojne banke</w:t>
      </w:r>
    </w:p>
    <w:p w14:paraId="36C0E241" w14:textId="77777777" w:rsidR="00615E2D" w:rsidRDefault="00C83E46">
      <w:pPr>
        <w:pStyle w:val="P68B1DB1-Normal3"/>
        <w:pBdr>
          <w:top w:val="nil"/>
          <w:left w:val="nil"/>
          <w:bottom w:val="nil"/>
          <w:right w:val="nil"/>
          <w:between w:val="nil"/>
        </w:pBdr>
        <w:spacing w:line="240" w:lineRule="auto"/>
        <w:jc w:val="both"/>
        <w:rPr>
          <w:noProof/>
        </w:rPr>
      </w:pPr>
      <w:r>
        <w:rPr>
          <w:noProof/>
        </w:rPr>
        <w:t xml:space="preserve">Reformom se nastoji ojačati položaj ČMZRB-a kao nacionalne razvojne banke i njegov kapacitet za provedbu financijskih instrumenata, posebno onih kojima se podupiru ciljevi zelene tranzicije. </w:t>
      </w:r>
    </w:p>
    <w:p w14:paraId="20B4B893" w14:textId="77777777" w:rsidR="00615E2D" w:rsidRDefault="00C83E46">
      <w:pPr>
        <w:pStyle w:val="P68B1DB1-Normal3"/>
        <w:pBdr>
          <w:top w:val="nil"/>
          <w:left w:val="nil"/>
          <w:bottom w:val="nil"/>
          <w:right w:val="nil"/>
          <w:between w:val="nil"/>
        </w:pBdr>
        <w:spacing w:line="240" w:lineRule="auto"/>
        <w:jc w:val="both"/>
        <w:rPr>
          <w:noProof/>
        </w:rPr>
      </w:pPr>
      <w:r>
        <w:rPr>
          <w:noProof/>
        </w:rPr>
        <w:t>Reformom se nastoje ostvariti sljedeći ciljevi:</w:t>
      </w:r>
    </w:p>
    <w:p w14:paraId="50199487" w14:textId="77777777" w:rsidR="00615E2D" w:rsidRDefault="00C83E46">
      <w:pPr>
        <w:pStyle w:val="P68B1DB1-Normal3"/>
        <w:numPr>
          <w:ilvl w:val="0"/>
          <w:numId w:val="154"/>
        </w:numPr>
        <w:pBdr>
          <w:top w:val="nil"/>
          <w:left w:val="nil"/>
          <w:bottom w:val="nil"/>
          <w:right w:val="nil"/>
          <w:between w:val="nil"/>
        </w:pBdr>
        <w:spacing w:line="259" w:lineRule="auto"/>
        <w:ind w:left="360"/>
        <w:contextualSpacing/>
        <w:jc w:val="both"/>
        <w:rPr>
          <w:noProof/>
        </w:rPr>
      </w:pPr>
      <w:r>
        <w:rPr>
          <w:noProof/>
        </w:rPr>
        <w:t>Ažuriranje strategije ČMZRB kako bi se uključila načela održivog financiranja u skladu s okolišnim ciljevima EU-a.</w:t>
      </w:r>
    </w:p>
    <w:p w14:paraId="0063D092" w14:textId="77777777" w:rsidR="00615E2D" w:rsidRDefault="00C83E46">
      <w:pPr>
        <w:numPr>
          <w:ilvl w:val="0"/>
          <w:numId w:val="154"/>
        </w:numPr>
        <w:pBdr>
          <w:top w:val="nil"/>
          <w:left w:val="nil"/>
          <w:bottom w:val="nil"/>
          <w:right w:val="nil"/>
          <w:between w:val="nil"/>
        </w:pBdr>
        <w:spacing w:line="259" w:lineRule="auto"/>
        <w:ind w:left="360"/>
        <w:contextualSpacing/>
        <w:jc w:val="both"/>
        <w:rPr>
          <w:noProof/>
        </w:rPr>
      </w:pPr>
      <w:r>
        <w:rPr>
          <w:noProof/>
        </w:rPr>
        <w:t xml:space="preserve">Jačanje institucionalnih i ljudskih resursa kako bi se osiguralo učinkovito upravljanje novom vrstom financijskih instrumenata, među ostalim prilagodbom internih regulatornih postupaka IT sustava za novi proizvod. </w:t>
      </w:r>
    </w:p>
    <w:p w14:paraId="10451622" w14:textId="77777777" w:rsidR="00615E2D" w:rsidRDefault="00C83E46">
      <w:pPr>
        <w:pStyle w:val="P68B1DB1-Normal3"/>
        <w:numPr>
          <w:ilvl w:val="0"/>
          <w:numId w:val="154"/>
        </w:numPr>
        <w:pBdr>
          <w:top w:val="nil"/>
          <w:left w:val="nil"/>
          <w:bottom w:val="nil"/>
          <w:right w:val="nil"/>
          <w:between w:val="nil"/>
        </w:pBdr>
        <w:spacing w:line="259" w:lineRule="auto"/>
        <w:ind w:left="360"/>
        <w:contextualSpacing/>
        <w:jc w:val="both"/>
        <w:rPr>
          <w:noProof/>
        </w:rPr>
      </w:pPr>
      <w:r>
        <w:rPr>
          <w:noProof/>
        </w:rPr>
        <w:t xml:space="preserve">Razvoj metodologije za evaluaciju i odabir projekata koja je u </w:t>
      </w:r>
      <w:r>
        <w:rPr>
          <w:noProof/>
          <w:color w:val="000000"/>
        </w:rPr>
        <w:t>skladu sa zahtjevima Tehničkih smjernica o nenanošenju bitne štete (2021/C58/01)</w:t>
      </w:r>
      <w:r>
        <w:rPr>
          <w:i/>
          <w:noProof/>
        </w:rPr>
        <w:t xml:space="preserve"> </w:t>
      </w:r>
      <w:r>
        <w:rPr>
          <w:noProof/>
        </w:rPr>
        <w:t xml:space="preserve">i kriterijima zelenog označivanja kako su utvrđeni u Prilogu VI. Uredbi o Mehanizmu za oporavak i otpornost, čime se omogućuje potpora aktivnostima s klimatskim koeficijentom od 40 % ili 100 %. </w:t>
      </w:r>
    </w:p>
    <w:p w14:paraId="456EC675" w14:textId="5A31D3EB" w:rsidR="00615E2D" w:rsidRDefault="00C83E46">
      <w:pPr>
        <w:spacing w:line="240" w:lineRule="auto"/>
        <w:jc w:val="both"/>
        <w:rPr>
          <w:noProof/>
        </w:rPr>
      </w:pPr>
      <w:r>
        <w:rPr>
          <w:noProof/>
        </w:rPr>
        <w:t xml:space="preserve">Reforma će biti dovršena do 31. prosinca 2021. </w:t>
      </w:r>
    </w:p>
    <w:p w14:paraId="45C04FE0" w14:textId="77777777" w:rsidR="00615E2D" w:rsidRDefault="00C83E46">
      <w:pPr>
        <w:pStyle w:val="P68B1DB1-Normal7"/>
        <w:spacing w:line="240" w:lineRule="auto"/>
        <w:rPr>
          <w:noProof/>
        </w:rPr>
      </w:pPr>
      <w:r>
        <w:rPr>
          <w:noProof/>
        </w:rPr>
        <w:t>Ulaganje 1: Razvoj nove linije kvazivlasničkih instrumenata kojima se podupire poduzetništvo</w:t>
      </w:r>
    </w:p>
    <w:p w14:paraId="7DC51A77" w14:textId="77777777" w:rsidR="00615E2D" w:rsidRDefault="00C83E46">
      <w:pPr>
        <w:spacing w:line="240" w:lineRule="auto"/>
        <w:jc w:val="both"/>
        <w:rPr>
          <w:rFonts w:eastAsia="Times New Roman"/>
          <w:noProof/>
          <w:color w:val="000000"/>
        </w:rPr>
      </w:pPr>
      <w:r>
        <w:rPr>
          <w:noProof/>
        </w:rPr>
        <w:t>Svrha</w:t>
      </w:r>
      <w:r>
        <w:rPr>
          <w:rFonts w:eastAsia="Times New Roman"/>
          <w:noProof/>
        </w:rPr>
        <w:t xml:space="preserve">je ulaganja pružiti potporu u ukupnom iznosu od 32 400 000 EUR za najmanje 30 projekata koji ispunjavaju okolišne i klimatske kriterije na temelju nove metodologije, u skladu s novom srednjoročnom strategijom ČMZRB-a razvijenom u okviru reformskog dijela i nakon transparentnog i konkurentnog postupka odabira. </w:t>
      </w:r>
      <w:r>
        <w:rPr>
          <w:rFonts w:eastAsia="Times New Roman"/>
          <w:noProof/>
          <w:color w:val="000000"/>
        </w:rPr>
        <w:t>Očekuje se da će se potporom koja se pruža u okviru češkog plana za oporavak i otpornost mobilizirati privatni kapital kao privatno sufinanciranje i dugoročno povećati osnovni kapital ČMZRB-a dostupan za daljnje financiranje poduzeća financijskim instrumentima.</w:t>
      </w:r>
    </w:p>
    <w:p w14:paraId="0D953C1F" w14:textId="77777777" w:rsidR="00615E2D" w:rsidRDefault="00C83E46">
      <w:pPr>
        <w:pStyle w:val="P68B1DB1-Normal3"/>
        <w:pBdr>
          <w:top w:val="nil"/>
          <w:left w:val="nil"/>
          <w:bottom w:val="nil"/>
          <w:right w:val="nil"/>
          <w:between w:val="nil"/>
        </w:pBdr>
        <w:spacing w:line="240" w:lineRule="auto"/>
        <w:jc w:val="both"/>
        <w:rPr>
          <w:noProof/>
        </w:rPr>
      </w:pPr>
      <w:r>
        <w:rPr>
          <w:noProof/>
        </w:rPr>
        <w:t>Češka provodi sljedeće mjere:</w:t>
      </w:r>
    </w:p>
    <w:p w14:paraId="31303287" w14:textId="77777777" w:rsidR="00615E2D" w:rsidRDefault="00C83E46">
      <w:pPr>
        <w:pStyle w:val="P68B1DB1-Normal3"/>
        <w:numPr>
          <w:ilvl w:val="0"/>
          <w:numId w:val="154"/>
        </w:numPr>
        <w:pBdr>
          <w:top w:val="nil"/>
          <w:left w:val="nil"/>
          <w:bottom w:val="nil"/>
          <w:right w:val="nil"/>
          <w:between w:val="nil"/>
        </w:pBdr>
        <w:spacing w:line="259" w:lineRule="auto"/>
        <w:ind w:left="360"/>
        <w:contextualSpacing/>
        <w:jc w:val="both"/>
        <w:rPr>
          <w:noProof/>
        </w:rPr>
      </w:pPr>
      <w:r>
        <w:rPr>
          <w:noProof/>
        </w:rPr>
        <w:t>Sklapanje sporazuma o financiranju između ČMZRB-a i Ministarstva industrije i trgovine, u kojem je jasno utvrđeno da projekti koje ČMZRB podupire u okviru plana za oporavak i otpornost moraju biti u skladu s ciljevima Uredbe (EU) 2021/241, uključujući kriterije nenanošenja bitne štete i zelenog označivanja, te da se do 31. prosinca 2026. vraćena sredstva iz novog kvazivlasničkog instrumenta ponovno upotrebljavaju samo za potrebe ovog instrumenta.</w:t>
      </w:r>
    </w:p>
    <w:p w14:paraId="210F208A" w14:textId="77777777" w:rsidR="00615E2D" w:rsidRDefault="00C83E46">
      <w:pPr>
        <w:pStyle w:val="P68B1DB1-Normal3"/>
        <w:numPr>
          <w:ilvl w:val="0"/>
          <w:numId w:val="154"/>
        </w:numPr>
        <w:pBdr>
          <w:top w:val="nil"/>
          <w:left w:val="nil"/>
          <w:bottom w:val="nil"/>
          <w:right w:val="nil"/>
          <w:between w:val="nil"/>
        </w:pBdr>
        <w:spacing w:line="259" w:lineRule="auto"/>
        <w:ind w:left="360"/>
        <w:contextualSpacing/>
        <w:jc w:val="both"/>
        <w:rPr>
          <w:noProof/>
        </w:rPr>
      </w:pPr>
      <w:r>
        <w:rPr>
          <w:noProof/>
        </w:rPr>
        <w:t>Proširenje linija proizvoda ČMZRB na nove kvazivlasničke instrumente kojima se podupiru MSP-ovi (mezaninski zajmovi). Novi instrument je kvazivlasnički instrument u smislu podređenosti nadređenom dugu, ali osigurava financiranje specifično za projekt.</w:t>
      </w:r>
    </w:p>
    <w:p w14:paraId="5C600A26" w14:textId="77777777" w:rsidR="00615E2D" w:rsidRDefault="00C83E46">
      <w:pPr>
        <w:pStyle w:val="P68B1DB1-Normal3"/>
        <w:numPr>
          <w:ilvl w:val="0"/>
          <w:numId w:val="154"/>
        </w:numPr>
        <w:pBdr>
          <w:top w:val="nil"/>
          <w:left w:val="nil"/>
          <w:bottom w:val="nil"/>
          <w:right w:val="nil"/>
          <w:between w:val="nil"/>
        </w:pBdr>
        <w:spacing w:line="259" w:lineRule="auto"/>
        <w:ind w:left="360"/>
        <w:contextualSpacing/>
        <w:jc w:val="both"/>
        <w:rPr>
          <w:noProof/>
        </w:rPr>
      </w:pPr>
      <w:r>
        <w:rPr>
          <w:noProof/>
        </w:rPr>
        <w:t xml:space="preserve">Pružanjem potpore u ukupnom iznosu od najmanje 32400000 milijuna EUR (30 projekata) financiranjem ulaganja u skladu s Tehničkim smjernicama o nenanošenju bitne štete (2021/C58/01) i s koeficijentom klime od 40 % ili 100 % iz kvazivlasničkih instrumenata nakon transparentnog i konkurentnog postupka. </w:t>
      </w:r>
    </w:p>
    <w:p w14:paraId="6B724099" w14:textId="77777777" w:rsidR="00615E2D" w:rsidRDefault="00C83E46">
      <w:pPr>
        <w:pStyle w:val="P68B1DB1-Normal3"/>
        <w:numPr>
          <w:ilvl w:val="0"/>
          <w:numId w:val="154"/>
        </w:numPr>
        <w:pBdr>
          <w:top w:val="nil"/>
          <w:left w:val="nil"/>
          <w:bottom w:val="nil"/>
          <w:right w:val="nil"/>
          <w:between w:val="nil"/>
        </w:pBdr>
        <w:spacing w:line="259" w:lineRule="auto"/>
        <w:ind w:left="360"/>
        <w:contextualSpacing/>
        <w:jc w:val="both"/>
        <w:rPr>
          <w:noProof/>
        </w:rPr>
      </w:pPr>
      <w:r>
        <w:rPr>
          <w:noProof/>
        </w:rPr>
        <w:t>Kako bi se osiguralo da je mjera u skladu s Tehničkim smjernicama o nenanošenju bitne štete (2021/C58/01), pravnim sporazumom između ministarstava industrije i trgovine i ČMZRB-a te naknadnom ulagačkom politikom financijskog instrumenta:</w:t>
      </w:r>
    </w:p>
    <w:p w14:paraId="192523E6" w14:textId="77777777" w:rsidR="00615E2D" w:rsidRDefault="00C83E46">
      <w:pPr>
        <w:pStyle w:val="P68B1DB1-Normal3"/>
        <w:numPr>
          <w:ilvl w:val="0"/>
          <w:numId w:val="199"/>
        </w:numPr>
        <w:spacing w:line="259" w:lineRule="auto"/>
        <w:contextualSpacing/>
        <w:jc w:val="both"/>
        <w:rPr>
          <w:noProof/>
        </w:rPr>
      </w:pPr>
      <w:r>
        <w:rPr>
          <w:noProof/>
        </w:rPr>
        <w:t>zahtijevati primjenu tehničkih smjernica Europske komisije o provjeri održivosti za fond InvestEU; and</w:t>
      </w:r>
    </w:p>
    <w:p w14:paraId="40DEDAD6" w14:textId="77777777" w:rsidR="00615E2D" w:rsidRDefault="00C83E46">
      <w:pPr>
        <w:pStyle w:val="P68B1DB1-Normal3"/>
        <w:numPr>
          <w:ilvl w:val="0"/>
          <w:numId w:val="199"/>
        </w:numPr>
        <w:spacing w:line="259" w:lineRule="auto"/>
        <w:contextualSpacing/>
        <w:jc w:val="both"/>
        <w:rPr>
          <w:noProof/>
        </w:rPr>
      </w:pPr>
      <w:r>
        <w:rPr>
          <w:noProof/>
        </w:rPr>
        <w:t>isključiti sljedeći popis djelatnosti i imovine iz prihvatljivosti: (i) djelatnosti i imovina povezani s fosilnim gorivima, uključujući uporabu na kraju proizvodnog lanca</w:t>
      </w:r>
      <w:r>
        <w:rPr>
          <w:noProof/>
        </w:rPr>
        <w:footnoteReference w:id="22"/>
      </w:r>
      <w:r>
        <w:rPr>
          <w:noProof/>
        </w:rPr>
        <w:t>; ii. aktivnosti i imovina u okviru sustava EU-a za trgovanje emisijama (ETS) kojima se postižu predviđene emisije stakleničkih plinova koje nisu niže od relevantnih referentnih vrijednosti</w:t>
      </w:r>
      <w:r>
        <w:rPr>
          <w:noProof/>
        </w:rPr>
        <w:footnoteReference w:id="23"/>
      </w:r>
      <w:r>
        <w:rPr>
          <w:noProof/>
        </w:rPr>
        <w:t>; iii. aktivnosti i sredstva povezana s odlagalištima otpada, spalionicama</w:t>
      </w:r>
      <w:r>
        <w:rPr>
          <w:noProof/>
        </w:rPr>
        <w:footnoteReference w:id="24"/>
      </w:r>
      <w:r>
        <w:rPr>
          <w:noProof/>
        </w:rPr>
        <w:t xml:space="preserve"> i postrojenjima za mehaničko-biološku obradu</w:t>
      </w:r>
      <w:r>
        <w:rPr>
          <w:noProof/>
        </w:rPr>
        <w:footnoteReference w:id="25"/>
      </w:r>
      <w:r>
        <w:rPr>
          <w:noProof/>
        </w:rPr>
        <w:t>; i iv. djelatnosti i sredstva u kojima dugoročno odlaganje otpada može naštetiti okolišu; and</w:t>
      </w:r>
    </w:p>
    <w:p w14:paraId="407E2AFE" w14:textId="77777777" w:rsidR="00615E2D" w:rsidRDefault="00C83E46">
      <w:pPr>
        <w:pStyle w:val="P68B1DB1-Normal3"/>
        <w:numPr>
          <w:ilvl w:val="0"/>
          <w:numId w:val="199"/>
        </w:numPr>
        <w:spacing w:line="259" w:lineRule="auto"/>
        <w:contextualSpacing/>
        <w:jc w:val="both"/>
        <w:rPr>
          <w:noProof/>
        </w:rPr>
      </w:pPr>
      <w:r>
        <w:rPr>
          <w:noProof/>
        </w:rPr>
        <w:t>zahtijevati provjeru pravne usklađenosti korisnika s relevantnim zakonodavstvom EU-a i nacionalnim zakonodavstvom u području okoliša od strane ovlaštenog subjekta ili financijskog posrednika za sve transakcije, uključujući one izuzete od provjere održivosti.</w:t>
      </w:r>
    </w:p>
    <w:p w14:paraId="434437A7" w14:textId="0BFE5D83" w:rsidR="00615E2D" w:rsidRDefault="00C83E46">
      <w:pPr>
        <w:pStyle w:val="P68B1DB1-Normal3"/>
        <w:spacing w:line="240" w:lineRule="auto"/>
        <w:jc w:val="both"/>
        <w:rPr>
          <w:noProof/>
        </w:rPr>
      </w:pPr>
      <w:r>
        <w:rPr>
          <w:noProof/>
        </w:rPr>
        <w:t>Kako bi se osiguralo da su aktivnosti u skladu s Prilogom VI. Uredbi (EU) 2021/241, kriterijima odabira zahtijeva se da podržane aktivnosti ispunjavaju zahtjeve iz primjenjivih područja intervencije iz Priloga VI. toj uredbi (s koeficijentom 40 % ili 100 %).</w:t>
      </w:r>
    </w:p>
    <w:p w14:paraId="2B17D24B" w14:textId="77777777" w:rsidR="00615E2D" w:rsidRDefault="00C83E46">
      <w:pPr>
        <w:spacing w:line="240" w:lineRule="auto"/>
        <w:jc w:val="both"/>
        <w:rPr>
          <w:noProof/>
          <w:color w:val="4F81BD"/>
        </w:rPr>
      </w:pPr>
      <w:r>
        <w:rPr>
          <w:noProof/>
        </w:rPr>
        <w:t>Ulaganje mora biti dovršeno do 31. prosinca 2025.</w:t>
      </w:r>
    </w:p>
    <w:p w14:paraId="4BEB4BCE" w14:textId="77777777" w:rsidR="00615E2D" w:rsidRDefault="00615E2D">
      <w:pPr>
        <w:spacing w:line="240" w:lineRule="auto"/>
        <w:rPr>
          <w:rFonts w:ascii="Calibri" w:hAnsi="Calibri"/>
          <w:b/>
          <w:noProof/>
          <w:sz w:val="22"/>
        </w:rPr>
      </w:pPr>
    </w:p>
    <w:p w14:paraId="1CC7FF65" w14:textId="71FDCE6C" w:rsidR="00615E2D" w:rsidRDefault="00615E2D">
      <w:pPr>
        <w:spacing w:line="240" w:lineRule="auto"/>
        <w:rPr>
          <w:rFonts w:ascii="Calibri" w:hAnsi="Calibri"/>
          <w:noProof/>
          <w:sz w:val="22"/>
        </w:rPr>
        <w:sectPr w:rsidR="00615E2D" w:rsidSect="003C3F81">
          <w:headerReference w:type="even" r:id="rId330"/>
          <w:headerReference w:type="default" r:id="rId331"/>
          <w:footerReference w:type="even" r:id="rId332"/>
          <w:footerReference w:type="default" r:id="rId333"/>
          <w:headerReference w:type="first" r:id="rId334"/>
          <w:footerReference w:type="first" r:id="rId335"/>
          <w:pgSz w:w="11907" w:h="16839"/>
          <w:pgMar w:top="1134" w:right="1134" w:bottom="1134" w:left="1134" w:header="567" w:footer="567" w:gutter="0"/>
          <w:cols w:space="720"/>
          <w:docGrid w:linePitch="326"/>
        </w:sectPr>
      </w:pPr>
    </w:p>
    <w:p w14:paraId="1A185772" w14:textId="0B767840" w:rsidR="00615E2D" w:rsidRDefault="00C83E46">
      <w:pPr>
        <w:pStyle w:val="P68B1DB1-Normal8"/>
        <w:pBdr>
          <w:top w:val="nil"/>
          <w:left w:val="nil"/>
          <w:bottom w:val="nil"/>
          <w:right w:val="nil"/>
          <w:between w:val="nil"/>
        </w:pBdr>
        <w:tabs>
          <w:tab w:val="left" w:pos="993"/>
        </w:tabs>
        <w:spacing w:line="240" w:lineRule="auto"/>
        <w:rPr>
          <w:noProof/>
        </w:rPr>
      </w:pPr>
      <w:r>
        <w:rPr>
          <w:noProof/>
        </w:rPr>
        <w:t xml:space="preserve">V.2. Ključne etape, ciljne vrijednosti i vremenski raspored za praćenje i provedbu programa bespovratne financijske potpore </w:t>
      </w:r>
    </w:p>
    <w:tbl>
      <w:tblPr>
        <w:tblW w:w="14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
        <w:gridCol w:w="1215"/>
        <w:gridCol w:w="1108"/>
        <w:gridCol w:w="1316"/>
        <w:gridCol w:w="1108"/>
        <w:gridCol w:w="1004"/>
        <w:gridCol w:w="1004"/>
        <w:gridCol w:w="1186"/>
        <w:gridCol w:w="927"/>
        <w:gridCol w:w="668"/>
        <w:gridCol w:w="4394"/>
      </w:tblGrid>
      <w:tr w:rsidR="00615E2D" w14:paraId="40291A78" w14:textId="77777777">
        <w:trPr>
          <w:trHeight w:val="610"/>
          <w:tblHeader/>
          <w:jc w:val="center"/>
        </w:trPr>
        <w:tc>
          <w:tcPr>
            <w:tcW w:w="675"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32DF7EDD" w14:textId="449BD5BB" w:rsidR="00615E2D" w:rsidRDefault="00C83E46">
            <w:pPr>
              <w:pStyle w:val="P68B1DB1-Normal9"/>
              <w:spacing w:line="240" w:lineRule="auto"/>
              <w:jc w:val="center"/>
              <w:rPr>
                <w:noProof/>
              </w:rPr>
            </w:pPr>
            <w:r>
              <w:rPr>
                <w:noProof/>
              </w:rPr>
              <w:t xml:space="preserve">Sljedeće NUM. </w:t>
            </w:r>
          </w:p>
        </w:tc>
        <w:tc>
          <w:tcPr>
            <w:tcW w:w="1308"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4312C4F1" w14:textId="77777777" w:rsidR="00615E2D" w:rsidRDefault="00C83E46">
            <w:pPr>
              <w:pStyle w:val="P68B1DB1-Normal9"/>
              <w:spacing w:line="240" w:lineRule="auto"/>
              <w:jc w:val="center"/>
              <w:rPr>
                <w:noProof/>
              </w:rPr>
            </w:pPr>
            <w:r>
              <w:rPr>
                <w:noProof/>
              </w:rPr>
              <w:t xml:space="preserve">Povezana mjera (reforma ili ulaganje) </w:t>
            </w:r>
          </w:p>
        </w:tc>
        <w:tc>
          <w:tcPr>
            <w:tcW w:w="1191"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421A3787" w14:textId="77777777" w:rsidR="00615E2D" w:rsidRDefault="00C83E46">
            <w:pPr>
              <w:pStyle w:val="P68B1DB1-Normal9"/>
              <w:spacing w:line="240" w:lineRule="auto"/>
              <w:jc w:val="center"/>
              <w:rPr>
                <w:noProof/>
              </w:rPr>
            </w:pPr>
            <w:r>
              <w:rPr>
                <w:noProof/>
              </w:rPr>
              <w:t xml:space="preserve">Ključna etapa/ciljna vrijednost </w:t>
            </w:r>
          </w:p>
        </w:tc>
        <w:tc>
          <w:tcPr>
            <w:tcW w:w="1418"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02D1180E" w14:textId="77777777" w:rsidR="00615E2D" w:rsidRDefault="00C83E46">
            <w:pPr>
              <w:pStyle w:val="P68B1DB1-Normal9"/>
              <w:spacing w:line="240" w:lineRule="auto"/>
              <w:jc w:val="center"/>
              <w:rPr>
                <w:noProof/>
              </w:rPr>
            </w:pPr>
            <w:r>
              <w:rPr>
                <w:noProof/>
              </w:rPr>
              <w:t xml:space="preserve">Ime </w:t>
            </w:r>
          </w:p>
        </w:tc>
        <w:tc>
          <w:tcPr>
            <w:tcW w:w="1191" w:type="dxa"/>
            <w:vMerge w:val="restart"/>
            <w:tcBorders>
              <w:top w:val="single" w:sz="8" w:space="0" w:color="000000" w:themeColor="text1"/>
              <w:left w:val="single" w:sz="8" w:space="0" w:color="000000" w:themeColor="text1"/>
              <w:right w:val="single" w:sz="8" w:space="0" w:color="000000" w:themeColor="text1"/>
            </w:tcBorders>
            <w:shd w:val="clear" w:color="auto" w:fill="BDD7EE"/>
            <w:vAlign w:val="center"/>
          </w:tcPr>
          <w:p w14:paraId="2A9474AE"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 </w:t>
            </w:r>
          </w:p>
        </w:tc>
        <w:tc>
          <w:tcPr>
            <w:tcW w:w="26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1C4CF568"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701" w:type="dxa"/>
            <w:gridSpan w:val="2"/>
            <w:tcBorders>
              <w:top w:val="single" w:sz="8" w:space="0" w:color="000000" w:themeColor="text1"/>
              <w:left w:val="nil"/>
              <w:bottom w:val="single" w:sz="8" w:space="0" w:color="000000" w:themeColor="text1"/>
              <w:right w:val="single" w:sz="8" w:space="0" w:color="000000" w:themeColor="text1"/>
            </w:tcBorders>
            <w:shd w:val="clear" w:color="auto" w:fill="BDD7EE"/>
            <w:vAlign w:val="center"/>
          </w:tcPr>
          <w:p w14:paraId="4F6F581E" w14:textId="77777777" w:rsidR="00615E2D" w:rsidRDefault="00C83E46">
            <w:pPr>
              <w:pStyle w:val="P68B1DB1-Normal9"/>
              <w:spacing w:line="240" w:lineRule="auto"/>
              <w:jc w:val="center"/>
              <w:rPr>
                <w:noProof/>
              </w:rPr>
            </w:pPr>
            <w:r>
              <w:rPr>
                <w:noProof/>
              </w:rPr>
              <w:t xml:space="preserve">Okvirni vremenski okvir za dovršetak </w:t>
            </w:r>
          </w:p>
        </w:tc>
        <w:tc>
          <w:tcPr>
            <w:tcW w:w="4788" w:type="dxa"/>
            <w:vMerge w:val="restart"/>
            <w:tcBorders>
              <w:top w:val="single" w:sz="8" w:space="0" w:color="000000" w:themeColor="text1"/>
              <w:left w:val="nil"/>
              <w:right w:val="single" w:sz="8" w:space="0" w:color="000000" w:themeColor="text1"/>
            </w:tcBorders>
            <w:shd w:val="clear" w:color="auto" w:fill="BDD7EE"/>
            <w:vAlign w:val="center"/>
          </w:tcPr>
          <w:p w14:paraId="7D945FB8" w14:textId="77777777" w:rsidR="00615E2D" w:rsidRDefault="00C83E46">
            <w:pPr>
              <w:pStyle w:val="P68B1DB1-Normal9"/>
              <w:spacing w:line="240" w:lineRule="auto"/>
              <w:jc w:val="center"/>
              <w:rPr>
                <w:noProof/>
              </w:rPr>
            </w:pPr>
            <w:r>
              <w:rPr>
                <w:noProof/>
              </w:rPr>
              <w:t xml:space="preserve">Opis i jasna definicija svake ključne etape i ciljne vrijednosti </w:t>
            </w:r>
          </w:p>
        </w:tc>
      </w:tr>
      <w:tr w:rsidR="00615E2D" w14:paraId="457C77CD" w14:textId="77777777">
        <w:trPr>
          <w:trHeight w:val="506"/>
          <w:tblHeader/>
          <w:jc w:val="center"/>
        </w:trPr>
        <w:tc>
          <w:tcPr>
            <w:tcW w:w="675" w:type="dxa"/>
            <w:vMerge/>
            <w:vAlign w:val="center"/>
          </w:tcPr>
          <w:p w14:paraId="03E9348E"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308" w:type="dxa"/>
            <w:vMerge/>
            <w:vAlign w:val="center"/>
          </w:tcPr>
          <w:p w14:paraId="2491DF97"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91" w:type="dxa"/>
            <w:vMerge/>
            <w:vAlign w:val="center"/>
          </w:tcPr>
          <w:p w14:paraId="0B3B5995"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418" w:type="dxa"/>
            <w:vMerge/>
            <w:vAlign w:val="center"/>
          </w:tcPr>
          <w:p w14:paraId="7EE865AB"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191" w:type="dxa"/>
            <w:vMerge/>
            <w:vAlign w:val="center"/>
          </w:tcPr>
          <w:p w14:paraId="34914855"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4490BE6B" w14:textId="77777777" w:rsidR="00615E2D" w:rsidRDefault="00C83E46">
            <w:pPr>
              <w:pStyle w:val="P68B1DB1-Normal9"/>
              <w:spacing w:line="240" w:lineRule="auto"/>
              <w:jc w:val="center"/>
              <w:rPr>
                <w:noProof/>
              </w:rPr>
            </w:pPr>
            <w:r>
              <w:rPr>
                <w:noProof/>
              </w:rPr>
              <w:t>Jedinica mjere</w:t>
            </w:r>
          </w:p>
        </w:tc>
        <w:tc>
          <w:tcPr>
            <w:tcW w:w="1077"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7FE5EB08" w14:textId="77777777" w:rsidR="00615E2D" w:rsidRDefault="00C83E46">
            <w:pPr>
              <w:pStyle w:val="P68B1DB1-Normal9"/>
              <w:spacing w:line="240" w:lineRule="auto"/>
              <w:jc w:val="center"/>
              <w:rPr>
                <w:noProof/>
              </w:rPr>
            </w:pPr>
            <w:r>
              <w:rPr>
                <w:noProof/>
              </w:rPr>
              <w:t>Osnovna vrijednost</w:t>
            </w:r>
          </w:p>
        </w:tc>
        <w:tc>
          <w:tcPr>
            <w:tcW w:w="1276"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32767BC8" w14:textId="77777777" w:rsidR="00615E2D" w:rsidRDefault="00C83E46">
            <w:pPr>
              <w:pStyle w:val="P68B1DB1-Normal9"/>
              <w:spacing w:line="240" w:lineRule="auto"/>
              <w:jc w:val="center"/>
              <w:rPr>
                <w:noProof/>
              </w:rPr>
            </w:pPr>
            <w:r>
              <w:rPr>
                <w:noProof/>
              </w:rPr>
              <w:t>Cilj</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06777476" w14:textId="77777777" w:rsidR="00615E2D" w:rsidRDefault="00C83E46">
            <w:pPr>
              <w:pStyle w:val="P68B1DB1-Normal9"/>
              <w:spacing w:line="240" w:lineRule="auto"/>
              <w:jc w:val="center"/>
              <w:rPr>
                <w:noProof/>
              </w:rPr>
            </w:pPr>
            <w:r>
              <w:rPr>
                <w:noProof/>
              </w:rPr>
              <w:t>Tromjesečje</w:t>
            </w:r>
          </w:p>
        </w:tc>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2FBB8D50" w14:textId="77777777" w:rsidR="00615E2D" w:rsidRDefault="00C83E46">
            <w:pPr>
              <w:pStyle w:val="P68B1DB1-Normal9"/>
              <w:spacing w:line="240" w:lineRule="auto"/>
              <w:jc w:val="center"/>
              <w:rPr>
                <w:noProof/>
              </w:rPr>
            </w:pPr>
            <w:r>
              <w:rPr>
                <w:noProof/>
              </w:rPr>
              <w:t>Godina</w:t>
            </w:r>
          </w:p>
        </w:tc>
        <w:tc>
          <w:tcPr>
            <w:tcW w:w="4788" w:type="dxa"/>
            <w:vMerge/>
            <w:vAlign w:val="center"/>
          </w:tcPr>
          <w:p w14:paraId="4929039D"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r>
      <w:tr w:rsidR="00615E2D" w14:paraId="0820663C"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30CBE2D" w14:textId="77777777" w:rsidR="00615E2D" w:rsidRDefault="00C83E46">
            <w:pPr>
              <w:pStyle w:val="P68B1DB1-Normal11"/>
              <w:spacing w:line="240" w:lineRule="auto"/>
              <w:jc w:val="center"/>
              <w:rPr>
                <w:noProof/>
              </w:rPr>
            </w:pPr>
            <w:r>
              <w:rPr>
                <w:noProof/>
              </w:rPr>
              <w:t>198</w:t>
            </w:r>
          </w:p>
        </w:tc>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AE8A1DC" w14:textId="77777777" w:rsidR="00615E2D" w:rsidRDefault="00C83E46">
            <w:pPr>
              <w:pStyle w:val="P68B1DB1-Normal11"/>
              <w:spacing w:line="240" w:lineRule="auto"/>
              <w:rPr>
                <w:noProof/>
              </w:rPr>
            </w:pPr>
            <w:r>
              <w:rPr>
                <w:noProof/>
              </w:rPr>
              <w:t>Reforma 1.: Razvoj češko-moravske banke za jamstva i razvoj kao nacionalne razvojne banke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99642C6" w14:textId="77777777" w:rsidR="00615E2D" w:rsidRDefault="00C83E46">
            <w:pPr>
              <w:pStyle w:val="P68B1DB1-Normal11"/>
              <w:spacing w:line="240" w:lineRule="auto"/>
              <w:rPr>
                <w:noProof/>
              </w:rPr>
            </w:pPr>
            <w:r>
              <w:rPr>
                <w:noProof/>
              </w:rPr>
              <w:t>Prekretnica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48C7534" w14:textId="77777777" w:rsidR="00615E2D" w:rsidRDefault="00C83E46">
            <w:pPr>
              <w:pStyle w:val="P68B1DB1-Normal11"/>
              <w:spacing w:line="240" w:lineRule="auto"/>
              <w:rPr>
                <w:noProof/>
              </w:rPr>
            </w:pPr>
            <w:r>
              <w:rPr>
                <w:noProof/>
              </w:rPr>
              <w:t>Donošenje srednjoročne strategije češko-moravske banke za jamstva i razvoj (ČMZRB) koju su odobrili dioničari banke (koje zastupaju ministarstva industrije i trgovine, financija i lokalnog razvoja)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792C7A" w14:textId="77777777" w:rsidR="00615E2D" w:rsidRDefault="00C83E46">
            <w:pPr>
              <w:pStyle w:val="P68B1DB1-Normal11"/>
              <w:spacing w:line="240" w:lineRule="auto"/>
              <w:rPr>
                <w:noProof/>
              </w:rPr>
            </w:pPr>
            <w:r>
              <w:rPr>
                <w:noProof/>
              </w:rPr>
              <w:t xml:space="preserve">Donošenje srednjoročne strategije češko-moravske jamstvene i razvojne banke (ČMZRB)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2ABFCF7"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B1475DB" w14:textId="77777777" w:rsidR="00615E2D" w:rsidRDefault="00615E2D">
            <w:pPr>
              <w:spacing w:line="240" w:lineRule="auto"/>
              <w:jc w:val="center"/>
              <w:rPr>
                <w:rFonts w:eastAsia="Times New Roman"/>
                <w:noProof/>
                <w:color w:val="006100"/>
                <w:sz w:val="18"/>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FA4280"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DD610BA"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84C7C73" w14:textId="77777777" w:rsidR="00615E2D" w:rsidRDefault="00C83E46">
            <w:pPr>
              <w:pStyle w:val="P68B1DB1-Normal11"/>
              <w:spacing w:line="240" w:lineRule="auto"/>
              <w:jc w:val="center"/>
              <w:rPr>
                <w:noProof/>
              </w:rPr>
            </w:pPr>
            <w:r>
              <w:rPr>
                <w:noProof/>
              </w:rPr>
              <w:t>2021</w:t>
            </w:r>
          </w:p>
        </w:tc>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94F0931" w14:textId="77777777" w:rsidR="00615E2D" w:rsidRDefault="00C83E46">
            <w:pPr>
              <w:pStyle w:val="P68B1DB1-Normal11"/>
              <w:spacing w:after="0" w:line="240" w:lineRule="auto"/>
              <w:rPr>
                <w:noProof/>
              </w:rPr>
            </w:pPr>
            <w:r>
              <w:rPr>
                <w:noProof/>
              </w:rPr>
              <w:t>Novu strategiju odobravaju dioničari banke: Ministarstva industrije i trgovine, financija i lokalnog razvoja). Uključuje odredbe o osiguravanju usklađenosti s Tehničkim smjernicama o nenanošenju bitne štete (2021/C58/01).</w:t>
            </w:r>
          </w:p>
        </w:tc>
      </w:tr>
      <w:tr w:rsidR="00615E2D" w14:paraId="6FCC9946" w14:textId="77777777">
        <w:trPr>
          <w:trHeight w:val="573"/>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DFEBF92" w14:textId="77777777" w:rsidR="00615E2D" w:rsidRDefault="00C83E46">
            <w:pPr>
              <w:pStyle w:val="P68B1DB1-Normal11"/>
              <w:spacing w:line="240" w:lineRule="auto"/>
              <w:jc w:val="center"/>
              <w:rPr>
                <w:noProof/>
              </w:rPr>
            </w:pPr>
            <w:r>
              <w:rPr>
                <w:noProof/>
              </w:rPr>
              <w:t>199</w:t>
            </w:r>
          </w:p>
        </w:tc>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1083196" w14:textId="77777777" w:rsidR="00615E2D" w:rsidRDefault="00C83E46">
            <w:pPr>
              <w:pStyle w:val="P68B1DB1-Normal11"/>
              <w:spacing w:line="240" w:lineRule="auto"/>
              <w:rPr>
                <w:noProof/>
              </w:rPr>
            </w:pPr>
            <w:r>
              <w:rPr>
                <w:noProof/>
              </w:rPr>
              <w:t>Reforma 1.: Razvoj češko-moravske banke za jamstva i razvoj kao nacionalne razvojne banke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2631067" w14:textId="77777777" w:rsidR="00615E2D" w:rsidRDefault="00C83E46">
            <w:pPr>
              <w:pStyle w:val="P68B1DB1-Normal11"/>
              <w:spacing w:line="240" w:lineRule="auto"/>
              <w:rPr>
                <w:noProof/>
              </w:rPr>
            </w:pPr>
            <w:r>
              <w:rPr>
                <w:noProof/>
              </w:rPr>
              <w:t>Prekretnica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D78E8C8" w14:textId="77777777" w:rsidR="00615E2D" w:rsidRDefault="00C83E46">
            <w:pPr>
              <w:pStyle w:val="P68B1DB1-Normal11"/>
              <w:spacing w:line="240" w:lineRule="auto"/>
              <w:rPr>
                <w:noProof/>
              </w:rPr>
            </w:pPr>
            <w:r>
              <w:rPr>
                <w:noProof/>
              </w:rPr>
              <w:t xml:space="preserve">Provedba modela upravljanja za novi kvazivlasnički instrument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286FE54" w14:textId="77777777" w:rsidR="00615E2D" w:rsidRDefault="00C83E46">
            <w:pPr>
              <w:pStyle w:val="P68B1DB1-Normal11"/>
              <w:spacing w:line="240" w:lineRule="auto"/>
              <w:rPr>
                <w:noProof/>
              </w:rPr>
            </w:pPr>
            <w:r>
              <w:rPr>
                <w:noProof/>
              </w:rPr>
              <w:t xml:space="preserve">Odobrenje provedbenog plana i internih propisa za upravljanje novom vrstom financijskih instrumenata od strane Upravnog odbora češko-moravske jamstvene i razvojne banke (ČMZRB)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FD79370"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C400EFE" w14:textId="77777777" w:rsidR="00615E2D" w:rsidRDefault="00615E2D">
            <w:pPr>
              <w:spacing w:line="240" w:lineRule="auto"/>
              <w:jc w:val="center"/>
              <w:rPr>
                <w:rFonts w:eastAsia="Times New Roman"/>
                <w:noProof/>
                <w:color w:val="006100"/>
                <w:sz w:val="18"/>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08C2845" w14:textId="77777777" w:rsidR="00615E2D" w:rsidRDefault="00615E2D">
            <w:pPr>
              <w:spacing w:line="240" w:lineRule="auto"/>
              <w:jc w:val="center"/>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BF1E4F6"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9E9A1FD" w14:textId="77777777" w:rsidR="00615E2D" w:rsidRDefault="00C83E46">
            <w:pPr>
              <w:pStyle w:val="P68B1DB1-Normal11"/>
              <w:spacing w:line="240" w:lineRule="auto"/>
              <w:jc w:val="center"/>
              <w:rPr>
                <w:noProof/>
              </w:rPr>
            </w:pPr>
            <w:r>
              <w:rPr>
                <w:noProof/>
              </w:rPr>
              <w:t>2021</w:t>
            </w:r>
          </w:p>
        </w:tc>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2F81A9D" w14:textId="77777777" w:rsidR="00615E2D" w:rsidRDefault="00C83E46">
            <w:pPr>
              <w:pStyle w:val="P68B1DB1-Normal11"/>
              <w:spacing w:after="0" w:line="240" w:lineRule="auto"/>
              <w:rPr>
                <w:noProof/>
              </w:rPr>
            </w:pPr>
            <w:r>
              <w:rPr>
                <w:noProof/>
              </w:rPr>
              <w:t>Ključna etapa postiže se tako da Upravno vijeće češko-moravske jamstvene i razvojne banke (ČMZRB) odobri plan provedbe i interne propise za upravljanje novim vrstama financijskih instrumenata.</w:t>
            </w:r>
          </w:p>
          <w:p w14:paraId="7321B93F" w14:textId="29634E56" w:rsidR="00615E2D" w:rsidRDefault="00C83E46">
            <w:pPr>
              <w:pStyle w:val="P68B1DB1-Normal11"/>
              <w:spacing w:after="0" w:line="240" w:lineRule="auto"/>
              <w:rPr>
                <w:noProof/>
              </w:rPr>
            </w:pPr>
            <w:r>
              <w:rPr>
                <w:noProof/>
              </w:rPr>
              <w:t>Nova pravila uključuju uvjete i metode evaluacije projekta kojima se osigurava usklađenost s Tehničkim smjernicama o nenanošenju bitne štete (2021/C58/01) i zahtjevima iz primjenjivih područja intervencije iz Priloga VI. Uredbi (EU) 2021/241 (s koeficijentom 40 % ili 100 %). Nova pravila savjetuju se s tržišnim subjektima i stručnim savjetnicima.</w:t>
            </w:r>
          </w:p>
        </w:tc>
      </w:tr>
      <w:tr w:rsidR="00615E2D" w14:paraId="4A0B76EB"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7210825" w14:textId="77777777" w:rsidR="00615E2D" w:rsidRDefault="00C83E46">
            <w:pPr>
              <w:pStyle w:val="P68B1DB1-Normal11"/>
              <w:spacing w:after="0" w:line="240" w:lineRule="auto"/>
              <w:jc w:val="center"/>
              <w:rPr>
                <w:noProof/>
              </w:rPr>
            </w:pPr>
            <w:r>
              <w:rPr>
                <w:noProof/>
              </w:rPr>
              <w:t>200</w:t>
            </w:r>
          </w:p>
        </w:tc>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94234B4" w14:textId="77777777" w:rsidR="00615E2D" w:rsidRDefault="00C83E46">
            <w:pPr>
              <w:pStyle w:val="P68B1DB1-Normal11"/>
              <w:spacing w:after="0" w:line="240" w:lineRule="auto"/>
              <w:rPr>
                <w:noProof/>
              </w:rPr>
            </w:pPr>
            <w:r>
              <w:rPr>
                <w:noProof/>
              </w:rPr>
              <w:t>Ulaganje 1: Razvoj nove linije kvazivlasničkih instrumenata kojima se podupire poduzetništvo</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ECBF40" w14:textId="77777777" w:rsidR="00615E2D" w:rsidRDefault="00C83E46">
            <w:pPr>
              <w:pStyle w:val="P68B1DB1-Normal11"/>
              <w:spacing w:after="0" w:line="240" w:lineRule="auto"/>
              <w:rPr>
                <w:noProof/>
              </w:rPr>
            </w:pPr>
            <w:r>
              <w:rPr>
                <w:noProof/>
              </w:rPr>
              <w:t>Prekretnica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71B645" w14:textId="77777777" w:rsidR="00615E2D" w:rsidRDefault="00C83E46">
            <w:pPr>
              <w:pStyle w:val="P68B1DB1-Normal11"/>
              <w:spacing w:after="0" w:line="240" w:lineRule="auto"/>
              <w:rPr>
                <w:noProof/>
              </w:rPr>
            </w:pPr>
            <w:r>
              <w:rPr>
                <w:noProof/>
              </w:rPr>
              <w:t>Sporazum o financiranju s češko-moravskom bankom za jamstva i razvoj kao Nacionalnom razvojnom bankom (ČMZRB)</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96A3B81" w14:textId="77777777" w:rsidR="00615E2D" w:rsidRDefault="00C83E46">
            <w:pPr>
              <w:pStyle w:val="P68B1DB1-Normal11"/>
              <w:spacing w:after="0" w:line="240" w:lineRule="auto"/>
              <w:rPr>
                <w:noProof/>
              </w:rPr>
            </w:pPr>
            <w:r>
              <w:rPr>
                <w:noProof/>
              </w:rPr>
              <w:t xml:space="preserve">Potpisivanje sporazuma o financiranju,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B796D73" w14:textId="77777777" w:rsidR="00615E2D" w:rsidRDefault="00615E2D">
            <w:pPr>
              <w:spacing w:after="0"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C68A75A" w14:textId="77777777" w:rsidR="00615E2D" w:rsidRDefault="00615E2D">
            <w:pPr>
              <w:spacing w:after="0" w:line="240" w:lineRule="auto"/>
              <w:rPr>
                <w:rFonts w:eastAsia="Times New Roman"/>
                <w:noProof/>
                <w:color w:val="006100"/>
                <w:sz w:val="18"/>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5E8E19E" w14:textId="77777777" w:rsidR="00615E2D" w:rsidRDefault="00615E2D">
            <w:pPr>
              <w:spacing w:after="0" w:line="240" w:lineRule="auto"/>
              <w:rPr>
                <w:rFonts w:eastAsia="Times New Roman"/>
                <w:noProof/>
                <w:color w:val="006100"/>
                <w:sz w:val="18"/>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2242D88" w14:textId="77777777" w:rsidR="00615E2D" w:rsidRDefault="00C83E46">
            <w:pPr>
              <w:pStyle w:val="P68B1DB1-Normal11"/>
              <w:spacing w:after="0"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0F3B104" w14:textId="77777777" w:rsidR="00615E2D" w:rsidRDefault="00C83E46">
            <w:pPr>
              <w:pStyle w:val="P68B1DB1-Normal11"/>
              <w:spacing w:after="0" w:line="240" w:lineRule="auto"/>
              <w:jc w:val="center"/>
              <w:rPr>
                <w:noProof/>
              </w:rPr>
            </w:pPr>
            <w:r>
              <w:rPr>
                <w:noProof/>
              </w:rPr>
              <w:t>2021</w:t>
            </w:r>
          </w:p>
        </w:tc>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FDAD4F9" w14:textId="77777777" w:rsidR="00615E2D" w:rsidRDefault="00C83E46">
            <w:pPr>
              <w:pStyle w:val="P68B1DB1-Normal11"/>
              <w:spacing w:after="0" w:line="240" w:lineRule="auto"/>
              <w:rPr>
                <w:noProof/>
              </w:rPr>
            </w:pPr>
            <w:r>
              <w:rPr>
                <w:noProof/>
              </w:rPr>
              <w:t>Ključna etapa postiže se potpisivanjem sporazuma o financiranju između češko-moravske banke za jamstva i razvoj kao Nacionalne razvojne banke (ČMZRB) i Ministarstva industrije i trgovine. Sporazum uključuje: Politika ulaganja, 2. kriteriji prihvatljivosti, 3. usklađenost s Tehničkim smjernicama o nenanošenju bitne štete (2021/C58/01) korisnika koji primaju potporu u okviru te mjere primjenom provjere održivosti, popisa za isključenje i zahtjeva usklađenosti s relevantnim zakonodavstvom EU-a i nacionalnim zakonodavstvom o okolišu.</w:t>
            </w:r>
          </w:p>
          <w:p w14:paraId="19292B4D" w14:textId="77777777" w:rsidR="00615E2D" w:rsidRDefault="00615E2D">
            <w:pPr>
              <w:spacing w:after="0" w:line="240" w:lineRule="auto"/>
              <w:rPr>
                <w:rFonts w:eastAsia="Times New Roman"/>
                <w:noProof/>
                <w:color w:val="006100"/>
                <w:sz w:val="18"/>
              </w:rPr>
            </w:pPr>
          </w:p>
          <w:p w14:paraId="5B6EF074" w14:textId="77777777" w:rsidR="00615E2D" w:rsidRDefault="00C83E46">
            <w:pPr>
              <w:pStyle w:val="P68B1DB1-Normal11"/>
              <w:spacing w:after="0" w:line="240" w:lineRule="auto"/>
              <w:rPr>
                <w:noProof/>
              </w:rPr>
            </w:pPr>
            <w:r>
              <w:rPr>
                <w:noProof/>
              </w:rPr>
              <w:t xml:space="preserve"> Kriterijima odabira zahtijeva se da su podržane aktivnosti u skladu sa zahtjevima iz primjenjivih područja intervencije iz Priloga VI. Uredbi (EU) 2021/241 (s koeficijentom od 40 % ili 100 %). U sporazumu o financiranju navodi se da se sredstva vraćena iz financijskog instrumenta za češko-moravsku banku za jamstva i razvoj kao temeljnog kapitala Nacionalne razvojne banke (ČMZRB) upotrebljavaju tek nakon 2026.</w:t>
            </w:r>
          </w:p>
        </w:tc>
      </w:tr>
      <w:tr w:rsidR="00615E2D" w14:paraId="68FF6936" w14:textId="77777777">
        <w:trPr>
          <w:trHeight w:val="945"/>
          <w:jc w:val="center"/>
        </w:trPr>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4DDFAFA" w14:textId="77777777" w:rsidR="00615E2D" w:rsidRDefault="00C83E46">
            <w:pPr>
              <w:pStyle w:val="P68B1DB1-Normal11"/>
              <w:spacing w:line="240" w:lineRule="auto"/>
              <w:jc w:val="center"/>
              <w:rPr>
                <w:noProof/>
              </w:rPr>
            </w:pPr>
            <w:r>
              <w:rPr>
                <w:noProof/>
              </w:rPr>
              <w:t>201</w:t>
            </w:r>
          </w:p>
        </w:tc>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2F207FC" w14:textId="77777777" w:rsidR="00615E2D" w:rsidRDefault="00C83E46">
            <w:pPr>
              <w:pStyle w:val="P68B1DB1-Normal11"/>
              <w:spacing w:line="240" w:lineRule="auto"/>
              <w:rPr>
                <w:noProof/>
              </w:rPr>
            </w:pPr>
            <w:r>
              <w:rPr>
                <w:noProof/>
              </w:rPr>
              <w:t xml:space="preserve">Ulaganje 1: Razvoj nove linije kvazivlasničkih instrumenata kojima se podupire poduzetništvo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A292D1B" w14:textId="77777777" w:rsidR="00615E2D" w:rsidRDefault="00C83E46">
            <w:pPr>
              <w:pStyle w:val="P68B1DB1-Normal11"/>
              <w:spacing w:line="240" w:lineRule="auto"/>
              <w:rPr>
                <w:noProof/>
              </w:rPr>
            </w:pPr>
            <w:r>
              <w:rPr>
                <w:noProof/>
              </w:rPr>
              <w:t>Ciljna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B4477C" w14:textId="77777777" w:rsidR="00615E2D" w:rsidRDefault="00C83E46">
            <w:pPr>
              <w:pStyle w:val="P68B1DB1-Normal11"/>
              <w:spacing w:line="240" w:lineRule="auto"/>
              <w:rPr>
                <w:noProof/>
              </w:rPr>
            </w:pPr>
            <w:r>
              <w:rPr>
                <w:noProof/>
              </w:rPr>
              <w:t>Ulaganje od ukupno 32 400 000 EUR u kvazivlasničke instrumente kojima se podupiru održivi projekti MSP-ova</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72768B8" w14:textId="77777777" w:rsidR="00615E2D" w:rsidRDefault="00615E2D">
            <w:pPr>
              <w:spacing w:line="240" w:lineRule="auto"/>
              <w:rPr>
                <w:rFonts w:eastAsia="Times New Roman"/>
                <w:noProof/>
                <w:color w:val="006100"/>
                <w:sz w:val="18"/>
              </w:rPr>
            </w:pP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DE91A4E" w14:textId="77777777" w:rsidR="00615E2D" w:rsidRDefault="00C83E46">
            <w:pPr>
              <w:pStyle w:val="P68B1DB1-Normal11"/>
              <w:spacing w:line="240" w:lineRule="auto"/>
              <w:rPr>
                <w:noProof/>
              </w:rPr>
            </w:pPr>
            <w:r>
              <w:rPr>
                <w:noProof/>
              </w:rPr>
              <w:t xml:space="preserve">EUR </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2A31CC4" w14:textId="77777777" w:rsidR="00615E2D" w:rsidRDefault="00C83E46">
            <w:pPr>
              <w:pStyle w:val="P68B1DB1-Normal11"/>
              <w:spacing w:line="240" w:lineRule="auto"/>
              <w:jc w:val="center"/>
              <w:rPr>
                <w:noProof/>
              </w:rPr>
            </w:pPr>
            <w:r>
              <w:rPr>
                <w:noProof/>
              </w:rPr>
              <w:t>0</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69383E9" w14:textId="77777777" w:rsidR="00615E2D" w:rsidRDefault="00C83E46">
            <w:pPr>
              <w:pStyle w:val="P68B1DB1-Normal11"/>
              <w:spacing w:line="240" w:lineRule="auto"/>
              <w:jc w:val="center"/>
              <w:rPr>
                <w:noProof/>
              </w:rPr>
            </w:pPr>
            <w:r>
              <w:rPr>
                <w:noProof/>
              </w:rPr>
              <w:t>32 400 000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4387377" w14:textId="77777777" w:rsidR="00615E2D" w:rsidRDefault="00C83E46">
            <w:pPr>
              <w:pStyle w:val="P68B1DB1-Normal11"/>
              <w:spacing w:line="240" w:lineRule="auto"/>
              <w:jc w:val="center"/>
              <w:rPr>
                <w:noProof/>
              </w:rPr>
            </w:pPr>
            <w:r>
              <w:rPr>
                <w:noProof/>
              </w:rPr>
              <w:t>ČETVRTO TROMJESEČJE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4B24C69" w14:textId="77777777" w:rsidR="00615E2D" w:rsidRDefault="00C83E46">
            <w:pPr>
              <w:pStyle w:val="P68B1DB1-Normal11"/>
              <w:spacing w:line="240" w:lineRule="auto"/>
              <w:jc w:val="center"/>
              <w:rPr>
                <w:noProof/>
              </w:rPr>
            </w:pPr>
            <w:r>
              <w:rPr>
                <w:noProof/>
              </w:rPr>
              <w:t>2025</w:t>
            </w:r>
          </w:p>
        </w:tc>
        <w:tc>
          <w:tcPr>
            <w:tcW w:w="47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72A2A1D" w14:textId="77777777" w:rsidR="00615E2D" w:rsidRDefault="00C83E46">
            <w:pPr>
              <w:pStyle w:val="P68B1DB1-Normal11"/>
              <w:spacing w:after="0" w:line="240" w:lineRule="auto"/>
              <w:rPr>
                <w:noProof/>
              </w:rPr>
            </w:pPr>
            <w:r>
              <w:rPr>
                <w:noProof/>
              </w:rPr>
              <w:t xml:space="preserve">Ulaganjem se do kraja 2025. podupire najmanje 30 projekata u iznosu od 32 400 000 EUR, u skladu s politikom ulaganja, nakon transparentnog i konkurentnog postupka odabira. </w:t>
            </w:r>
          </w:p>
          <w:p w14:paraId="079E8FCD" w14:textId="61C10631" w:rsidR="00615E2D" w:rsidRDefault="00C83E46">
            <w:pPr>
              <w:pStyle w:val="P68B1DB1-Normal11"/>
              <w:spacing w:line="240" w:lineRule="auto"/>
              <w:rPr>
                <w:noProof/>
              </w:rPr>
            </w:pPr>
            <w:r>
              <w:rPr>
                <w:noProof/>
              </w:rPr>
              <w:t>Projekti su u skladu s Tehničkim smjernicama o nenanošenju bitne štete (2021/C58/01) i relevantnim zahtjevima primjenjivih područja intervencije iz Priloga VI. Uredbi (EU) 2021/241 (s koeficijentom 40 % ili 100 %.</w:t>
            </w:r>
          </w:p>
        </w:tc>
      </w:tr>
    </w:tbl>
    <w:p w14:paraId="4F3B5EDE" w14:textId="77777777" w:rsidR="00615E2D" w:rsidRDefault="00615E2D">
      <w:pPr>
        <w:spacing w:line="240" w:lineRule="auto"/>
        <w:jc w:val="both"/>
        <w:rPr>
          <w:noProof/>
        </w:rPr>
      </w:pPr>
    </w:p>
    <w:p w14:paraId="1EA240FC" w14:textId="77777777" w:rsidR="00615E2D" w:rsidRDefault="00615E2D">
      <w:pPr>
        <w:spacing w:line="240" w:lineRule="auto"/>
        <w:jc w:val="both"/>
        <w:rPr>
          <w:noProof/>
        </w:rPr>
        <w:sectPr w:rsidR="00615E2D" w:rsidSect="003C3F81">
          <w:headerReference w:type="even" r:id="rId336"/>
          <w:headerReference w:type="default" r:id="rId337"/>
          <w:footerReference w:type="even" r:id="rId338"/>
          <w:footerReference w:type="default" r:id="rId339"/>
          <w:headerReference w:type="first" r:id="rId340"/>
          <w:footerReference w:type="first" r:id="rId341"/>
          <w:pgSz w:w="16839" w:h="11907" w:orient="landscape"/>
          <w:pgMar w:top="1134" w:right="1134" w:bottom="1134" w:left="1134" w:header="567" w:footer="567" w:gutter="0"/>
          <w:cols w:space="720"/>
          <w:docGrid w:linePitch="360"/>
        </w:sectPr>
      </w:pPr>
    </w:p>
    <w:p w14:paraId="696B2BAF" w14:textId="7A3566A8" w:rsidR="00615E2D" w:rsidRDefault="00C83E46">
      <w:pPr>
        <w:pStyle w:val="P68B1DB1-Normal2"/>
        <w:keepNext/>
        <w:tabs>
          <w:tab w:val="left" w:pos="850"/>
        </w:tabs>
        <w:spacing w:line="240" w:lineRule="auto"/>
        <w:jc w:val="both"/>
        <w:outlineLvl w:val="0"/>
        <w:rPr>
          <w:noProof/>
        </w:rPr>
      </w:pPr>
      <w:r>
        <w:rPr>
          <w:noProof/>
        </w:rPr>
        <w:t>W. SASTAVNI DIO 4.3.: Reforme za borbu protiv korupcije</w:t>
      </w:r>
    </w:p>
    <w:p w14:paraId="4F77DA20" w14:textId="77777777" w:rsidR="00615E2D" w:rsidRDefault="00C83E46">
      <w:pPr>
        <w:pStyle w:val="P68B1DB1-Normal3"/>
        <w:spacing w:line="240" w:lineRule="auto"/>
        <w:jc w:val="both"/>
        <w:rPr>
          <w:noProof/>
        </w:rPr>
      </w:pPr>
      <w:r>
        <w:rPr>
          <w:noProof/>
        </w:rPr>
        <w:t xml:space="preserve">Ta komponenta češkog plana za oporavak i otpornost pridonosi svladavanju izazova jačanja okvira za borbu protiv korupcije Češke donošenjem zakonodavstva o zaštiti zviždača i uredbi o lobiranju. Cilj je reforme i izgradnja analitičkih baza podataka o korupciji, koje se naknadno mogu upotrijebiti za osmišljavanje i provedbu učinkovitijih i usmjerenijih mjera za borbu protiv korupcije. Komponenta uključuje i reformu pravosuđa s ciljem jačanja zakonodavnog okvira i transparentnosti u područjima sudova, sudaca, tužitelja i sudskih izvršitelja. </w:t>
      </w:r>
    </w:p>
    <w:p w14:paraId="43F7D9A3" w14:textId="77777777" w:rsidR="00615E2D" w:rsidRDefault="00C83E46">
      <w:pPr>
        <w:pStyle w:val="P68B1DB1-Normal3"/>
        <w:spacing w:line="240" w:lineRule="auto"/>
        <w:jc w:val="both"/>
        <w:rPr>
          <w:noProof/>
        </w:rPr>
      </w:pPr>
      <w:r>
        <w:rPr>
          <w:noProof/>
        </w:rPr>
        <w:t>Komponentom se podupire odgovor na 1. preporuku za pojedinu zemlju, u skladu s kojom Češka donosi mjere za borbu protiv korupcije koje čekaju na donošenje mjera za borbu protiv korupcije.</w:t>
      </w:r>
    </w:p>
    <w:p w14:paraId="0D04BF79" w14:textId="54E6680A"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40429323" w14:textId="77777777" w:rsidR="00615E2D" w:rsidRDefault="00615E2D">
      <w:pPr>
        <w:spacing w:line="240" w:lineRule="auto"/>
        <w:jc w:val="both"/>
        <w:rPr>
          <w:rFonts w:eastAsia="Times New Roman"/>
          <w:i/>
          <w:noProof/>
        </w:rPr>
      </w:pPr>
    </w:p>
    <w:p w14:paraId="55137ECE" w14:textId="236B931D" w:rsidR="00615E2D" w:rsidRDefault="00C83E46">
      <w:pPr>
        <w:pStyle w:val="P68B1DB1-Normal32"/>
        <w:spacing w:line="240" w:lineRule="auto"/>
        <w:jc w:val="both"/>
        <w:rPr>
          <w:noProof/>
        </w:rPr>
      </w:pPr>
      <w:r>
        <w:rPr>
          <w:noProof/>
        </w:rPr>
        <w:t>W.1. Opis reformi i ulaganja za programe bespovratne financijske potpore</w:t>
      </w:r>
    </w:p>
    <w:p w14:paraId="67F47D8D" w14:textId="77777777" w:rsidR="00615E2D" w:rsidRDefault="00C83E46">
      <w:pPr>
        <w:pStyle w:val="P68B1DB1-Normal26"/>
        <w:spacing w:line="240" w:lineRule="auto"/>
        <w:jc w:val="both"/>
        <w:rPr>
          <w:noProof/>
        </w:rPr>
      </w:pPr>
      <w:r>
        <w:rPr>
          <w:noProof/>
        </w:rPr>
        <w:t>Reforma 1.: Zaštita zviždača</w:t>
      </w:r>
    </w:p>
    <w:p w14:paraId="29816676" w14:textId="16F00D97" w:rsidR="00615E2D" w:rsidRDefault="00C83E46">
      <w:pPr>
        <w:pStyle w:val="P68B1DB1-Normal3"/>
        <w:spacing w:line="240" w:lineRule="auto"/>
        <w:jc w:val="both"/>
        <w:rPr>
          <w:noProof/>
          <w:color w:val="000000"/>
        </w:rPr>
      </w:pPr>
      <w:r>
        <w:rPr>
          <w:noProof/>
        </w:rPr>
        <w:t xml:space="preserve">Cilj je mjere poboljšati pravne zaštitne mjere za zviždače i poboljšati percepciju zviždača u javnoj upravi i civilnom društvu. Predviđeno </w:t>
      </w:r>
      <w:r>
        <w:rPr>
          <w:noProof/>
          <w:color w:val="000000"/>
        </w:rPr>
        <w:t xml:space="preserve">je novo zakonodavstvo kako bi se osigurala učinkovita zaštita zviždača od odmazde na radnom mjestu, čime bi se uspostavili interni kanali za prijavljivanje zviždača u javnim institucijama, općinama i velikim poduzećima. U Ministarstvu pravosuđa uspostavlja se vanjski sustav obavješćivanja o zviždačima. Kako bi se poboljšala percepcija zviždača, provodi se kampanja podizanja svijesti usmjerena i na javnu upravu i pravosuđe, kao i na širu javnost. </w:t>
      </w:r>
    </w:p>
    <w:p w14:paraId="64448758" w14:textId="1246162D" w:rsidR="00615E2D" w:rsidRDefault="00C83E46">
      <w:pPr>
        <w:pStyle w:val="P68B1DB1-Normal3"/>
        <w:spacing w:line="240" w:lineRule="auto"/>
        <w:jc w:val="both"/>
        <w:rPr>
          <w:noProof/>
        </w:rPr>
      </w:pPr>
      <w:r>
        <w:rPr>
          <w:noProof/>
        </w:rPr>
        <w:t xml:space="preserve">Reforma će biti dovršena do 31. prosinca 2023. </w:t>
      </w:r>
    </w:p>
    <w:p w14:paraId="340929F0" w14:textId="77777777" w:rsidR="00615E2D" w:rsidRDefault="00C83E46">
      <w:pPr>
        <w:pStyle w:val="P68B1DB1-Normal26"/>
        <w:spacing w:line="240" w:lineRule="auto"/>
        <w:jc w:val="both"/>
        <w:rPr>
          <w:noProof/>
        </w:rPr>
      </w:pPr>
      <w:r>
        <w:rPr>
          <w:noProof/>
        </w:rPr>
        <w:t>Reforma br. 2: Jačanje zakonodavnog okvira i transparentnosti u područjima sudova, sudaca, tužitelja i sudskih izvršitelja</w:t>
      </w:r>
    </w:p>
    <w:p w14:paraId="5E9AB666" w14:textId="25CD784B" w:rsidR="00615E2D" w:rsidRDefault="00C83E46">
      <w:pPr>
        <w:pStyle w:val="P68B1DB1-Normal3"/>
        <w:spacing w:line="240" w:lineRule="auto"/>
        <w:jc w:val="both"/>
        <w:rPr>
          <w:noProof/>
        </w:rPr>
      </w:pPr>
      <w:r>
        <w:rPr>
          <w:noProof/>
        </w:rPr>
        <w:t xml:space="preserve">Cilj je te reforme uspostaviti transparentan i ujednačen sustav zapošljavanja i odabira sudaca i pravosudnih dužnosnika na temelju preciznih, objektivnih i jedinstvenih kriterija. Nadalje, cilj je reforme detaljnije regulirati pomoćne aktivnosti sudaca i pojednostavniti sudske postupke u kojima sudjeluju ocjenjivači. Njime se također nastoje ojačati zaštitne mjere stegovnih postupaka za suce, tužitelje i sudske izvršitelje uvođenjem preispitivanja žalbe. Reforma se provodi sljedećim mjerama: </w:t>
      </w:r>
    </w:p>
    <w:p w14:paraId="70545B91" w14:textId="77777777" w:rsidR="00615E2D" w:rsidRDefault="00C83E46">
      <w:pPr>
        <w:pStyle w:val="P68B1DB1-Normal3"/>
        <w:numPr>
          <w:ilvl w:val="0"/>
          <w:numId w:val="172"/>
        </w:numPr>
        <w:pBdr>
          <w:top w:val="nil"/>
          <w:left w:val="nil"/>
          <w:bottom w:val="nil"/>
          <w:right w:val="nil"/>
          <w:between w:val="nil"/>
        </w:pBdr>
        <w:spacing w:line="259" w:lineRule="auto"/>
        <w:ind w:left="360"/>
        <w:jc w:val="both"/>
        <w:rPr>
          <w:noProof/>
          <w:color w:val="000000"/>
        </w:rPr>
      </w:pPr>
      <w:r>
        <w:rPr>
          <w:noProof/>
        </w:rPr>
        <w:t>Stupanje na</w:t>
      </w:r>
      <w:r>
        <w:rPr>
          <w:noProof/>
          <w:color w:val="000000"/>
        </w:rPr>
        <w:t>snagu zakona o sudovima, sucima, ocjenjivačima i državnoj upravi sudova (Zakon o sudovima i sucima) do 31. prosinca 2021.</w:t>
      </w:r>
    </w:p>
    <w:p w14:paraId="6F49B4D2" w14:textId="77777777" w:rsidR="00615E2D" w:rsidRDefault="00C83E46">
      <w:pPr>
        <w:pStyle w:val="P68B1DB1-Normal4"/>
        <w:numPr>
          <w:ilvl w:val="0"/>
          <w:numId w:val="172"/>
        </w:numPr>
        <w:pBdr>
          <w:top w:val="nil"/>
          <w:left w:val="nil"/>
          <w:bottom w:val="nil"/>
          <w:right w:val="nil"/>
          <w:between w:val="nil"/>
        </w:pBdr>
        <w:spacing w:line="259" w:lineRule="auto"/>
        <w:ind w:left="360"/>
        <w:jc w:val="both"/>
        <w:rPr>
          <w:noProof/>
        </w:rPr>
      </w:pPr>
      <w:r>
        <w:rPr>
          <w:noProof/>
        </w:rPr>
        <w:t xml:space="preserve">Stupanje na snagu zakona o postupcima u predmetima sudaca, tužitelja i sudskih izvršitelja do 31. prosinca 2024. </w:t>
      </w:r>
    </w:p>
    <w:p w14:paraId="79AAD2E6" w14:textId="77777777" w:rsidR="00615E2D" w:rsidRDefault="00C83E46">
      <w:pPr>
        <w:pStyle w:val="P68B1DB1-Normal26"/>
        <w:keepNext/>
        <w:spacing w:line="240" w:lineRule="auto"/>
        <w:jc w:val="both"/>
        <w:rPr>
          <w:noProof/>
        </w:rPr>
      </w:pPr>
      <w:r>
        <w:rPr>
          <w:noProof/>
        </w:rPr>
        <w:t xml:space="preserve">Reforma 3.: Prikupljanje i analiza podataka o korupciji </w:t>
      </w:r>
    </w:p>
    <w:p w14:paraId="2969B013" w14:textId="77777777" w:rsidR="00615E2D" w:rsidRDefault="00C83E46">
      <w:pPr>
        <w:pStyle w:val="P68B1DB1-Normal3"/>
        <w:spacing w:line="240" w:lineRule="auto"/>
        <w:jc w:val="both"/>
        <w:rPr>
          <w:noProof/>
        </w:rPr>
      </w:pPr>
      <w:r>
        <w:rPr>
          <w:noProof/>
        </w:rPr>
        <w:t xml:space="preserve">Cilj je reforme prikupiti kvantitativne i kvalitativne podatke o raširenosti korupcije i proširiti raspon alata za mapiranje i analizu prevladavajućih vrsta korupcije u različitim sektorima. To se postiže istraživačkim projektom u kojem će se utvrditi opseg i oblici korupcije u odabranim sektorima u Češkoj Republici. Analiza će rezultirati preporukama mjera za smanjenje korupcije u odabranim sektorima i očekuje se da će se uključiti u buduće strategije vlade za borbu protiv korupcije. U završnom izvješću o istraživanju predlaže se metodologija za mjerenje izravnog i neizravnog iskustva s korupcijom. Metodologija se stavlja na raspolaganje državnim tijelima, neprofitnim organizacijama i akademskim zajednicama za daljnji razvoj i primjenu. </w:t>
      </w:r>
    </w:p>
    <w:p w14:paraId="56949FBE" w14:textId="568C94B6" w:rsidR="00615E2D" w:rsidRDefault="00C83E46">
      <w:pPr>
        <w:pStyle w:val="P68B1DB1-Normal3"/>
        <w:spacing w:line="240" w:lineRule="auto"/>
        <w:jc w:val="both"/>
        <w:rPr>
          <w:noProof/>
        </w:rPr>
      </w:pPr>
      <w:r>
        <w:rPr>
          <w:noProof/>
        </w:rPr>
        <w:t>Reforma mora biti dovršena do 31. ožujka 2023.</w:t>
      </w:r>
    </w:p>
    <w:p w14:paraId="1EC129DF" w14:textId="77777777" w:rsidR="00615E2D" w:rsidRDefault="00C83E46">
      <w:pPr>
        <w:pStyle w:val="P68B1DB1-Normal26"/>
        <w:spacing w:line="240" w:lineRule="auto"/>
        <w:jc w:val="both"/>
        <w:rPr>
          <w:noProof/>
        </w:rPr>
      </w:pPr>
      <w:r>
        <w:rPr>
          <w:noProof/>
        </w:rPr>
        <w:t>Reforma 4.: Utvrđivanje pravila za lobiranje</w:t>
      </w:r>
    </w:p>
    <w:p w14:paraId="73700E6D" w14:textId="77777777" w:rsidR="00615E2D" w:rsidRDefault="00C83E46">
      <w:pPr>
        <w:pStyle w:val="P68B1DB1-Normal3"/>
        <w:spacing w:line="240" w:lineRule="auto"/>
        <w:jc w:val="both"/>
        <w:rPr>
          <w:noProof/>
        </w:rPr>
      </w:pPr>
      <w:r>
        <w:rPr>
          <w:noProof/>
        </w:rPr>
        <w:t>Lobiranje trenutačno nije regulirano u Češkoj. Cilj je te reforme uspostaviti pravni okvir za aktivnosti lobiranja u zakonodavnom postupku, omogućiti javni nadzor lobiranja i time povećati transparentnost cijelog zakonodavnog postupka. Donosi se novi zakon o lobiranju kojim se utvrđuju pravila za aktivnosti lobiranja kako bi se razlikovale zakonite aktivnosti lobiranja od nepoželjnog, netransparentnog lobiranja.</w:t>
      </w:r>
    </w:p>
    <w:p w14:paraId="2CE65134" w14:textId="3DE98FA8" w:rsidR="00615E2D" w:rsidRDefault="00C83E46">
      <w:pPr>
        <w:pStyle w:val="P68B1DB1-Normal3"/>
        <w:spacing w:line="240" w:lineRule="auto"/>
        <w:jc w:val="both"/>
        <w:rPr>
          <w:noProof/>
        </w:rPr>
      </w:pPr>
      <w:r>
        <w:rPr>
          <w:noProof/>
        </w:rPr>
        <w:t>Reforma mora biti dovršena do 30. lipnja 2025.</w:t>
      </w:r>
    </w:p>
    <w:p w14:paraId="1AC5F70F" w14:textId="77777777" w:rsidR="00615E2D" w:rsidRDefault="00C83E46">
      <w:pPr>
        <w:pStyle w:val="P68B1DB1-Normal26"/>
        <w:spacing w:line="240" w:lineRule="auto"/>
        <w:jc w:val="both"/>
        <w:rPr>
          <w:noProof/>
        </w:rPr>
      </w:pPr>
      <w:r>
        <w:rPr>
          <w:noProof/>
        </w:rPr>
        <w:t>Reforma br. 5: Kontrola i revizija</w:t>
      </w:r>
    </w:p>
    <w:p w14:paraId="37A3B2A5" w14:textId="4438F7C6" w:rsidR="00615E2D" w:rsidRDefault="00C83E46">
      <w:pPr>
        <w:spacing w:line="240" w:lineRule="auto"/>
        <w:jc w:val="both"/>
        <w:rPr>
          <w:noProof/>
        </w:rPr>
      </w:pPr>
      <w:r>
        <w:rPr>
          <w:noProof/>
        </w:rPr>
        <w:t>Učinkovita zaštita financijskih interesa Unije pri provedbi Mehanizma za oporavak i otpornost podliježe uspostavi odgovarajućih mjera za sprečavanje, otkrivanje i ispravljanje prijevara, korupcije i sukoba interesa kako je definirano u članku 61. Financijske uredbe. Stoga je poboljšanje okruženja za kontrolu i reviziju preduvjet za učinkovitu provedbu plana u skladu s primjenjivim pravom Unije i nacionalnim pravom. Ta reforma uključuje nekoliko mjera za zaštitu financijskih interesa Unije, posebno i. poboljšanja nacionalnog sustava kontrole radi sprečavanja, otkrivanja i ispravljanja situacija sukoba interesa, ii. preispitivanje usklađenosti nacionalnih postupaka kako bi se osiguralo da je primjena stvarnog vlasništva u kontekstu sustava unutarnje kontrole Instrumenta u potpunosti usklađena s definicijom „stvarnih vlasnika” kako je definirana u članku 3. točki 6. Direktive 2015/849, kako je izmijenjena Direktivom 2018/843, iii. donošenje revizijske strategije kojom se osigurava neovisna i djelotvorna revizija provedbe Mehanizma za oporavak i otpornost, iv. odobravanje postupaka za sustav za prikupljanje, pohranu i obradu podataka u odnosu na sve krajnje primatelje, uključujući sve stvarne vlasnike kako je utvrđeno člankom 3. Direktive (EU) 2015/849, i v. repozitorijskog sustava za praćenje provedbe Mehanizma za oporavak i otpornost te za prikupljanje i pohranu svih podataka iz članka 22. stavka 2. točke (d) Uredbe (EU) 2021/241.</w:t>
      </w:r>
    </w:p>
    <w:p w14:paraId="1E0946A0" w14:textId="77777777" w:rsidR="00615E2D" w:rsidRDefault="00615E2D">
      <w:pPr>
        <w:spacing w:line="240" w:lineRule="auto"/>
        <w:jc w:val="both"/>
        <w:rPr>
          <w:noProof/>
        </w:rPr>
      </w:pPr>
    </w:p>
    <w:p w14:paraId="75A4A86E" w14:textId="2FB7CB07" w:rsidR="00615E2D" w:rsidRDefault="00C83E46">
      <w:pPr>
        <w:spacing w:line="240" w:lineRule="auto"/>
        <w:jc w:val="both"/>
        <w:rPr>
          <w:rFonts w:eastAsia="Times New Roman"/>
          <w:b/>
          <w:noProof/>
        </w:rPr>
      </w:pPr>
      <w:r>
        <w:rPr>
          <w:noProof/>
        </w:rPr>
        <w:t>Reforma će biti dovršena do 30. lipnja 2022. Sve te ključne etape moraju se ispuniti prije podnošenja prvog zahtjeva za plaćanje Komisiji.</w:t>
      </w:r>
    </w:p>
    <w:p w14:paraId="48DE7C85" w14:textId="77777777" w:rsidR="00615E2D" w:rsidRDefault="00615E2D">
      <w:pPr>
        <w:spacing w:line="240" w:lineRule="auto"/>
        <w:jc w:val="both"/>
        <w:rPr>
          <w:rFonts w:eastAsia="Times New Roman"/>
          <w:noProof/>
          <w:sz w:val="22"/>
        </w:rPr>
      </w:pPr>
    </w:p>
    <w:p w14:paraId="1A5BDE33" w14:textId="77777777" w:rsidR="00615E2D" w:rsidRDefault="00615E2D">
      <w:pPr>
        <w:spacing w:line="240" w:lineRule="auto"/>
        <w:jc w:val="both"/>
        <w:rPr>
          <w:rFonts w:eastAsia="Times New Roman"/>
          <w:b/>
          <w:noProof/>
          <w:sz w:val="22"/>
          <w:highlight w:val="yellow"/>
        </w:rPr>
        <w:sectPr w:rsidR="00615E2D" w:rsidSect="003C3F81">
          <w:headerReference w:type="even" r:id="rId342"/>
          <w:headerReference w:type="default" r:id="rId343"/>
          <w:footerReference w:type="even" r:id="rId344"/>
          <w:footerReference w:type="default" r:id="rId345"/>
          <w:headerReference w:type="first" r:id="rId346"/>
          <w:footerReference w:type="first" r:id="rId347"/>
          <w:pgSz w:w="11907" w:h="16839"/>
          <w:pgMar w:top="1134" w:right="1134" w:bottom="1134" w:left="1134" w:header="567" w:footer="567" w:gutter="0"/>
          <w:cols w:space="708"/>
          <w:docGrid w:linePitch="326"/>
        </w:sectPr>
      </w:pPr>
    </w:p>
    <w:p w14:paraId="1E4315A2" w14:textId="61C44750" w:rsidR="00615E2D" w:rsidRDefault="00C83E46">
      <w:pPr>
        <w:pStyle w:val="P68B1DB1-Normal33"/>
        <w:pBdr>
          <w:top w:val="nil"/>
          <w:left w:val="nil"/>
          <w:bottom w:val="nil"/>
          <w:right w:val="nil"/>
          <w:between w:val="nil"/>
        </w:pBdr>
        <w:tabs>
          <w:tab w:val="left" w:pos="993"/>
        </w:tabs>
        <w:spacing w:line="240" w:lineRule="auto"/>
        <w:jc w:val="both"/>
        <w:rPr>
          <w:noProof/>
          <w:color w:val="000000"/>
        </w:rPr>
      </w:pPr>
      <w:r>
        <w:rPr>
          <w:noProof/>
        </w:rPr>
        <w:t xml:space="preserve">W.2. Ključne etape, ciljne vrijednosti i vremenski raspored za praćenje i provedbu programa bespovratne financijske potpore </w:t>
      </w:r>
    </w:p>
    <w:tbl>
      <w:tblPr>
        <w:tblW w:w="0" w:type="auto"/>
        <w:jc w:val="center"/>
        <w:tblLayout w:type="fixed"/>
        <w:tblLook w:val="04A0" w:firstRow="1" w:lastRow="0" w:firstColumn="1" w:lastColumn="0" w:noHBand="0" w:noVBand="1"/>
      </w:tblPr>
      <w:tblGrid>
        <w:gridCol w:w="675"/>
        <w:gridCol w:w="1307"/>
        <w:gridCol w:w="1134"/>
        <w:gridCol w:w="1276"/>
        <w:gridCol w:w="1559"/>
        <w:gridCol w:w="1077"/>
        <w:gridCol w:w="1077"/>
        <w:gridCol w:w="1077"/>
        <w:gridCol w:w="851"/>
        <w:gridCol w:w="891"/>
        <w:gridCol w:w="4745"/>
      </w:tblGrid>
      <w:tr w:rsidR="00615E2D" w14:paraId="78A7DD03" w14:textId="77777777">
        <w:trPr>
          <w:trHeight w:val="107"/>
          <w:tblHeade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0EA19B8E" w14:textId="77777777" w:rsidR="00615E2D" w:rsidRDefault="00C83E46">
            <w:pPr>
              <w:pStyle w:val="P68B1DB1-Normal27"/>
              <w:spacing w:line="240" w:lineRule="auto"/>
              <w:jc w:val="center"/>
              <w:rPr>
                <w:noProof/>
              </w:rPr>
            </w:pPr>
            <w:r>
              <w:rPr>
                <w:noProof/>
              </w:rPr>
              <w:t>Sljedeće NUM.</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8D956CC" w14:textId="77777777" w:rsidR="00615E2D" w:rsidRDefault="00C83E46">
            <w:pPr>
              <w:pStyle w:val="P68B1DB1-Normal9"/>
              <w:spacing w:line="240" w:lineRule="auto"/>
              <w:jc w:val="center"/>
              <w:rPr>
                <w:noProof/>
              </w:rPr>
            </w:pPr>
            <w:r>
              <w:rPr>
                <w:noProof/>
              </w:rPr>
              <w:t xml:space="preserve">Povezana mjera (reforma ili ulaganje)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4E3C37F" w14:textId="77777777" w:rsidR="00615E2D" w:rsidRDefault="00C83E46">
            <w:pPr>
              <w:pStyle w:val="P68B1DB1-Normal9"/>
              <w:spacing w:line="240" w:lineRule="auto"/>
              <w:jc w:val="center"/>
              <w:rPr>
                <w:noProof/>
              </w:rPr>
            </w:pPr>
            <w:r>
              <w:rPr>
                <w:noProof/>
              </w:rPr>
              <w:t xml:space="preserve">Ključna etapa/ciljna vrijednost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0CFD4D9" w14:textId="77777777" w:rsidR="00615E2D" w:rsidRDefault="00C83E46">
            <w:pPr>
              <w:pStyle w:val="P68B1DB1-Normal9"/>
              <w:spacing w:line="240" w:lineRule="auto"/>
              <w:jc w:val="center"/>
              <w:rPr>
                <w:noProof/>
              </w:rPr>
            </w:pPr>
            <w:r>
              <w:rPr>
                <w:noProof/>
              </w:rPr>
              <w:t xml:space="preserve">Ime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0257076"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2268" w:type="dxa"/>
            <w:gridSpan w:val="3"/>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57581A5C"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1742" w:type="dxa"/>
            <w:gridSpan w:val="2"/>
            <w:tcBorders>
              <w:top w:val="single" w:sz="8" w:space="0" w:color="auto"/>
              <w:left w:val="nil"/>
              <w:bottom w:val="single" w:sz="8" w:space="0" w:color="auto"/>
              <w:right w:val="single" w:sz="4" w:space="0" w:color="auto"/>
            </w:tcBorders>
            <w:shd w:val="clear" w:color="auto" w:fill="BDD7EE"/>
            <w:vAlign w:val="center"/>
          </w:tcPr>
          <w:p w14:paraId="69F81DCD" w14:textId="77777777" w:rsidR="00615E2D" w:rsidRDefault="00C83E46">
            <w:pPr>
              <w:pStyle w:val="P68B1DB1-Normal9"/>
              <w:spacing w:line="240" w:lineRule="auto"/>
              <w:jc w:val="center"/>
              <w:rPr>
                <w:noProof/>
              </w:rPr>
            </w:pPr>
            <w:r>
              <w:rPr>
                <w:noProof/>
              </w:rPr>
              <w:t xml:space="preserve">Okvirni vremenski okvir za dovršetak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E9C2E44"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46BF8B7B" w14:textId="77777777">
        <w:trPr>
          <w:trHeight w:val="173"/>
          <w:tblHeader/>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5AD6B519" w14:textId="77777777" w:rsidR="00615E2D" w:rsidRDefault="00615E2D">
            <w:pPr>
              <w:spacing w:line="240" w:lineRule="auto"/>
              <w:jc w:val="center"/>
              <w:rPr>
                <w:noProof/>
                <w:sz w:val="18"/>
              </w:rPr>
            </w:pPr>
          </w:p>
        </w:tc>
        <w:tc>
          <w:tcPr>
            <w:tcW w:w="1307" w:type="dxa"/>
            <w:vMerge/>
            <w:tcBorders>
              <w:top w:val="single" w:sz="4" w:space="0" w:color="auto"/>
              <w:left w:val="single" w:sz="4" w:space="0" w:color="auto"/>
              <w:bottom w:val="single" w:sz="4" w:space="0" w:color="auto"/>
              <w:right w:val="single" w:sz="4" w:space="0" w:color="auto"/>
            </w:tcBorders>
            <w:vAlign w:val="center"/>
          </w:tcPr>
          <w:p w14:paraId="79EE6768" w14:textId="77777777" w:rsidR="00615E2D" w:rsidRDefault="00615E2D">
            <w:pPr>
              <w:spacing w:line="240" w:lineRule="auto"/>
              <w:jc w:val="center"/>
              <w:rPr>
                <w:noProof/>
                <w:sz w:val="18"/>
              </w:rPr>
            </w:pPr>
          </w:p>
        </w:tc>
        <w:tc>
          <w:tcPr>
            <w:tcW w:w="1134" w:type="dxa"/>
            <w:vMerge/>
            <w:tcBorders>
              <w:left w:val="single" w:sz="4" w:space="0" w:color="auto"/>
              <w:right w:val="single" w:sz="4" w:space="0" w:color="auto"/>
            </w:tcBorders>
            <w:vAlign w:val="center"/>
          </w:tcPr>
          <w:p w14:paraId="4A01ED21" w14:textId="77777777" w:rsidR="00615E2D" w:rsidRDefault="00615E2D">
            <w:pPr>
              <w:spacing w:line="240" w:lineRule="auto"/>
              <w:jc w:val="center"/>
              <w:rPr>
                <w:noProof/>
                <w:sz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6F2D7A4" w14:textId="77777777" w:rsidR="00615E2D" w:rsidRDefault="00615E2D">
            <w:pPr>
              <w:spacing w:line="240" w:lineRule="auto"/>
              <w:jc w:val="center"/>
              <w:rPr>
                <w:noProof/>
                <w:sz w:val="18"/>
              </w:rPr>
            </w:pPr>
          </w:p>
        </w:tc>
        <w:tc>
          <w:tcPr>
            <w:tcW w:w="1559" w:type="dxa"/>
            <w:vMerge/>
            <w:tcBorders>
              <w:left w:val="single" w:sz="4" w:space="0" w:color="auto"/>
            </w:tcBorders>
            <w:vAlign w:val="center"/>
          </w:tcPr>
          <w:p w14:paraId="6D478172" w14:textId="77777777" w:rsidR="00615E2D" w:rsidRDefault="00615E2D">
            <w:pPr>
              <w:spacing w:line="240" w:lineRule="auto"/>
              <w:jc w:val="center"/>
              <w:rPr>
                <w:noProof/>
                <w:sz w:val="18"/>
              </w:rPr>
            </w:pPr>
          </w:p>
        </w:tc>
        <w:tc>
          <w:tcPr>
            <w:tcW w:w="1077" w:type="dxa"/>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6B3DEE91" w14:textId="77777777" w:rsidR="00615E2D" w:rsidRDefault="00C83E46">
            <w:pPr>
              <w:pStyle w:val="P68B1DB1-Normal9"/>
              <w:spacing w:line="240" w:lineRule="auto"/>
              <w:jc w:val="center"/>
              <w:rPr>
                <w:noProof/>
              </w:rPr>
            </w:pPr>
            <w:r>
              <w:rPr>
                <w:noProof/>
              </w:rPr>
              <w:t>Jedinica mjere</w:t>
            </w:r>
          </w:p>
        </w:tc>
        <w:tc>
          <w:tcPr>
            <w:tcW w:w="1077" w:type="dxa"/>
            <w:tcBorders>
              <w:top w:val="nil"/>
              <w:left w:val="single" w:sz="8" w:space="0" w:color="auto"/>
              <w:bottom w:val="single" w:sz="8" w:space="0" w:color="auto"/>
              <w:right w:val="single" w:sz="8" w:space="0" w:color="auto"/>
            </w:tcBorders>
            <w:shd w:val="clear" w:color="auto" w:fill="BDD7EE"/>
            <w:vAlign w:val="center"/>
          </w:tcPr>
          <w:p w14:paraId="41F63021" w14:textId="77777777" w:rsidR="00615E2D" w:rsidRDefault="00C83E46">
            <w:pPr>
              <w:pStyle w:val="P68B1DB1-Normal9"/>
              <w:spacing w:line="240" w:lineRule="auto"/>
              <w:jc w:val="center"/>
              <w:rPr>
                <w:noProof/>
              </w:rPr>
            </w:pPr>
            <w:r>
              <w:rPr>
                <w:noProof/>
              </w:rPr>
              <w:t>Osnovna vrijednost</w:t>
            </w:r>
          </w:p>
        </w:tc>
        <w:tc>
          <w:tcPr>
            <w:tcW w:w="1077" w:type="dxa"/>
            <w:tcBorders>
              <w:top w:val="nil"/>
              <w:left w:val="single" w:sz="8" w:space="0" w:color="auto"/>
              <w:bottom w:val="single" w:sz="8" w:space="0" w:color="auto"/>
              <w:right w:val="single" w:sz="8" w:space="0" w:color="000000" w:themeColor="text1"/>
            </w:tcBorders>
            <w:shd w:val="clear" w:color="auto" w:fill="BDD7EE"/>
            <w:vAlign w:val="center"/>
          </w:tcPr>
          <w:p w14:paraId="1CA13AC8" w14:textId="77777777" w:rsidR="00615E2D" w:rsidRDefault="00C83E46">
            <w:pPr>
              <w:pStyle w:val="P68B1DB1-Normal9"/>
              <w:spacing w:line="240" w:lineRule="auto"/>
              <w:jc w:val="center"/>
              <w:rPr>
                <w:noProof/>
              </w:rPr>
            </w:pPr>
            <w:r>
              <w:rPr>
                <w:noProof/>
              </w:rPr>
              <w:t>Cilj</w:t>
            </w:r>
          </w:p>
        </w:tc>
        <w:tc>
          <w:tcPr>
            <w:tcW w:w="851" w:type="dxa"/>
            <w:tcBorders>
              <w:top w:val="single" w:sz="8" w:space="0" w:color="auto"/>
              <w:left w:val="single" w:sz="8" w:space="0" w:color="auto"/>
              <w:bottom w:val="single" w:sz="8" w:space="0" w:color="auto"/>
              <w:right w:val="single" w:sz="8" w:space="0" w:color="000000" w:themeColor="text1"/>
            </w:tcBorders>
            <w:shd w:val="clear" w:color="auto" w:fill="BDD7EE"/>
            <w:vAlign w:val="center"/>
          </w:tcPr>
          <w:p w14:paraId="7058C77F" w14:textId="77777777" w:rsidR="00615E2D" w:rsidRDefault="00C83E46">
            <w:pPr>
              <w:pStyle w:val="P68B1DB1-Normal9"/>
              <w:spacing w:line="240" w:lineRule="auto"/>
              <w:jc w:val="center"/>
              <w:rPr>
                <w:noProof/>
              </w:rPr>
            </w:pPr>
            <w:r>
              <w:rPr>
                <w:noProof/>
              </w:rPr>
              <w:t>Tromjesečje</w:t>
            </w:r>
          </w:p>
        </w:tc>
        <w:tc>
          <w:tcPr>
            <w:tcW w:w="891" w:type="dxa"/>
            <w:tcBorders>
              <w:top w:val="nil"/>
              <w:left w:val="single" w:sz="8" w:space="0" w:color="auto"/>
              <w:bottom w:val="single" w:sz="8" w:space="0" w:color="auto"/>
              <w:right w:val="single" w:sz="4" w:space="0" w:color="auto"/>
            </w:tcBorders>
            <w:shd w:val="clear" w:color="auto" w:fill="BDD7EE"/>
            <w:vAlign w:val="center"/>
          </w:tcPr>
          <w:p w14:paraId="18EA3FDC" w14:textId="77777777" w:rsidR="00615E2D" w:rsidRDefault="00C83E46">
            <w:pPr>
              <w:pStyle w:val="P68B1DB1-Normal9"/>
              <w:spacing w:line="240" w:lineRule="auto"/>
              <w:jc w:val="center"/>
              <w:rPr>
                <w:noProof/>
              </w:rPr>
            </w:pPr>
            <w:r>
              <w:rPr>
                <w:noProof/>
              </w:rPr>
              <w:t>Godina</w:t>
            </w:r>
          </w:p>
        </w:tc>
        <w:tc>
          <w:tcPr>
            <w:tcW w:w="4745" w:type="dxa"/>
            <w:vMerge/>
            <w:tcBorders>
              <w:bottom w:val="single" w:sz="4" w:space="0" w:color="auto"/>
              <w:right w:val="single" w:sz="4" w:space="0" w:color="auto"/>
            </w:tcBorders>
            <w:vAlign w:val="center"/>
          </w:tcPr>
          <w:p w14:paraId="6DA0A3F9" w14:textId="77777777" w:rsidR="00615E2D" w:rsidRDefault="00615E2D">
            <w:pPr>
              <w:spacing w:line="240" w:lineRule="auto"/>
              <w:jc w:val="center"/>
              <w:rPr>
                <w:noProof/>
                <w:sz w:val="18"/>
              </w:rPr>
            </w:pPr>
          </w:p>
        </w:tc>
      </w:tr>
      <w:tr w:rsidR="00615E2D" w14:paraId="50655501" w14:textId="77777777">
        <w:trPr>
          <w:trHeight w:val="6210"/>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14:paraId="3D56C99F" w14:textId="77777777" w:rsidR="00615E2D" w:rsidRDefault="00C83E46">
            <w:pPr>
              <w:pStyle w:val="P68B1DB1-Normal16"/>
              <w:spacing w:line="240" w:lineRule="auto"/>
              <w:jc w:val="center"/>
              <w:rPr>
                <w:noProof/>
              </w:rPr>
            </w:pPr>
            <w:r>
              <w:rPr>
                <w:noProof/>
              </w:rPr>
              <w:t>202</w:t>
            </w:r>
          </w:p>
        </w:tc>
        <w:tc>
          <w:tcPr>
            <w:tcW w:w="1307" w:type="dxa"/>
            <w:tcBorders>
              <w:top w:val="single" w:sz="4" w:space="0" w:color="auto"/>
              <w:left w:val="single" w:sz="8" w:space="0" w:color="auto"/>
              <w:bottom w:val="single" w:sz="8" w:space="0" w:color="auto"/>
              <w:right w:val="single" w:sz="8" w:space="0" w:color="auto"/>
            </w:tcBorders>
            <w:shd w:val="clear" w:color="auto" w:fill="C6EFCE"/>
            <w:vAlign w:val="center"/>
          </w:tcPr>
          <w:p w14:paraId="4581ADBB" w14:textId="77777777" w:rsidR="00615E2D" w:rsidRDefault="00C83E46">
            <w:pPr>
              <w:pStyle w:val="P68B1DB1-Normal16"/>
              <w:spacing w:line="240" w:lineRule="auto"/>
              <w:rPr>
                <w:noProof/>
              </w:rPr>
            </w:pPr>
            <w:r>
              <w:rPr>
                <w:noProof/>
              </w:rPr>
              <w:t xml:space="preserve">Reforma 1.: Zaštita zviždača </w:t>
            </w:r>
          </w:p>
        </w:tc>
        <w:tc>
          <w:tcPr>
            <w:tcW w:w="1134" w:type="dxa"/>
            <w:tcBorders>
              <w:top w:val="single" w:sz="4" w:space="0" w:color="auto"/>
              <w:left w:val="single" w:sz="8" w:space="0" w:color="auto"/>
              <w:bottom w:val="single" w:sz="8" w:space="0" w:color="auto"/>
              <w:right w:val="single" w:sz="8" w:space="0" w:color="auto"/>
            </w:tcBorders>
            <w:shd w:val="clear" w:color="auto" w:fill="C6EFCE"/>
            <w:vAlign w:val="center"/>
          </w:tcPr>
          <w:p w14:paraId="1AF2B807" w14:textId="77777777" w:rsidR="00615E2D" w:rsidRDefault="00C83E46">
            <w:pPr>
              <w:pStyle w:val="P68B1DB1-Normal16"/>
              <w:spacing w:line="240" w:lineRule="auto"/>
              <w:rPr>
                <w:noProof/>
              </w:rPr>
            </w:pPr>
            <w:r>
              <w:rPr>
                <w:noProof/>
              </w:rPr>
              <w:t>Prekretnica</w:t>
            </w:r>
          </w:p>
        </w:tc>
        <w:tc>
          <w:tcPr>
            <w:tcW w:w="1276" w:type="dxa"/>
            <w:tcBorders>
              <w:top w:val="single" w:sz="4" w:space="0" w:color="auto"/>
              <w:left w:val="single" w:sz="8" w:space="0" w:color="auto"/>
              <w:bottom w:val="single" w:sz="8" w:space="0" w:color="auto"/>
              <w:right w:val="single" w:sz="8" w:space="0" w:color="auto"/>
            </w:tcBorders>
            <w:shd w:val="clear" w:color="auto" w:fill="C6EFCE"/>
            <w:vAlign w:val="center"/>
          </w:tcPr>
          <w:p w14:paraId="6C8A96E4" w14:textId="77777777" w:rsidR="00615E2D" w:rsidRDefault="00C83E46">
            <w:pPr>
              <w:pStyle w:val="P68B1DB1-Normal16"/>
              <w:spacing w:line="240" w:lineRule="auto"/>
              <w:rPr>
                <w:noProof/>
              </w:rPr>
            </w:pPr>
            <w:r>
              <w:rPr>
                <w:noProof/>
              </w:rPr>
              <w:t>Stupanje na snagu zakona o zaštiti zviždača i pratećeg zakona o izmjeni</w:t>
            </w:r>
          </w:p>
        </w:tc>
        <w:tc>
          <w:tcPr>
            <w:tcW w:w="1559" w:type="dxa"/>
            <w:tcBorders>
              <w:top w:val="single" w:sz="4" w:space="0" w:color="auto"/>
              <w:left w:val="single" w:sz="8" w:space="0" w:color="auto"/>
              <w:bottom w:val="single" w:sz="8" w:space="0" w:color="auto"/>
              <w:right w:val="single" w:sz="8" w:space="0" w:color="auto"/>
            </w:tcBorders>
            <w:shd w:val="clear" w:color="auto" w:fill="C6EFCE"/>
            <w:vAlign w:val="center"/>
          </w:tcPr>
          <w:p w14:paraId="1BCBAB6E" w14:textId="77777777" w:rsidR="00615E2D" w:rsidRDefault="00C83E46">
            <w:pPr>
              <w:pStyle w:val="P68B1DB1-Normal16"/>
              <w:spacing w:line="240" w:lineRule="auto"/>
              <w:rPr>
                <w:noProof/>
              </w:rPr>
            </w:pPr>
            <w:r>
              <w:rPr>
                <w:noProof/>
              </w:rPr>
              <w:t xml:space="preserve">Odredba u zakonu o zaštiti zviždača u kojoj se navodi stupanje na snagu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F7C6583"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24F4888" w14:textId="77777777" w:rsidR="00615E2D" w:rsidRDefault="00615E2D">
            <w:pPr>
              <w:spacing w:line="240" w:lineRule="auto"/>
              <w:jc w:val="center"/>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69E394A" w14:textId="77777777" w:rsidR="00615E2D" w:rsidRDefault="00615E2D">
            <w:pPr>
              <w:spacing w:line="240" w:lineRule="auto"/>
              <w:jc w:val="center"/>
              <w:rPr>
                <w:noProof/>
                <w:color w:val="004300"/>
                <w:sz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7F0881FA" w14:textId="77777777" w:rsidR="00615E2D" w:rsidRDefault="00C83E46">
            <w:pPr>
              <w:pStyle w:val="P68B1DB1-Normal16"/>
              <w:spacing w:line="240" w:lineRule="auto"/>
              <w:jc w:val="center"/>
              <w:rPr>
                <w:noProof/>
              </w:rPr>
            </w:pPr>
            <w:r>
              <w:rPr>
                <w:noProof/>
              </w:rPr>
              <w:t>ČETVRTO 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046F5992" w14:textId="38F48F47" w:rsidR="00615E2D" w:rsidRDefault="00C83E46">
            <w:pPr>
              <w:pStyle w:val="P68B1DB1-Normal16"/>
              <w:spacing w:line="240" w:lineRule="auto"/>
              <w:jc w:val="center"/>
              <w:rPr>
                <w:noProof/>
              </w:rPr>
            </w:pPr>
            <w:r>
              <w:rPr>
                <w:noProof/>
              </w:rPr>
              <w:t>2023</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14:paraId="3ECBF25B" w14:textId="77777777" w:rsidR="00615E2D" w:rsidRDefault="00C83E46">
            <w:pPr>
              <w:pStyle w:val="P68B1DB1-Normal16"/>
              <w:pBdr>
                <w:top w:val="nil"/>
                <w:left w:val="nil"/>
                <w:bottom w:val="nil"/>
                <w:right w:val="nil"/>
                <w:between w:val="nil"/>
              </w:pBdr>
              <w:spacing w:after="0" w:line="259" w:lineRule="auto"/>
              <w:rPr>
                <w:noProof/>
              </w:rPr>
            </w:pPr>
            <w:r>
              <w:rPr>
                <w:noProof/>
              </w:rPr>
              <w:t xml:space="preserve">Zakon o zaštiti zviždača: </w:t>
            </w:r>
          </w:p>
          <w:p w14:paraId="311D6F5E" w14:textId="77777777" w:rsidR="00615E2D" w:rsidRDefault="00C83E46">
            <w:pPr>
              <w:pStyle w:val="P68B1DB1-Normal16"/>
              <w:numPr>
                <w:ilvl w:val="0"/>
                <w:numId w:val="186"/>
              </w:numPr>
              <w:pBdr>
                <w:top w:val="nil"/>
                <w:left w:val="nil"/>
                <w:bottom w:val="nil"/>
                <w:right w:val="nil"/>
                <w:between w:val="nil"/>
              </w:pBdr>
              <w:spacing w:after="0" w:line="259" w:lineRule="auto"/>
              <w:rPr>
                <w:noProof/>
              </w:rPr>
            </w:pPr>
            <w:r>
              <w:rPr>
                <w:noProof/>
              </w:rPr>
              <w:t xml:space="preserve">zabrana mjera odmazde protiv zviždača </w:t>
            </w:r>
          </w:p>
          <w:p w14:paraId="5146289D" w14:textId="77777777" w:rsidR="00615E2D" w:rsidRDefault="00C83E46">
            <w:pPr>
              <w:pStyle w:val="P68B1DB1-Normal16"/>
              <w:numPr>
                <w:ilvl w:val="0"/>
                <w:numId w:val="186"/>
              </w:numPr>
              <w:pBdr>
                <w:top w:val="nil"/>
                <w:left w:val="nil"/>
                <w:bottom w:val="nil"/>
                <w:right w:val="nil"/>
                <w:between w:val="nil"/>
              </w:pBdr>
              <w:spacing w:after="0" w:line="259" w:lineRule="auto"/>
              <w:rPr>
                <w:noProof/>
              </w:rPr>
            </w:pPr>
            <w:r>
              <w:rPr>
                <w:noProof/>
              </w:rPr>
              <w:t>zahtijevati uspostavu vanjskog kanala za obavješćivanje o zviždačima u Ministarstvu pravosuđa</w:t>
            </w:r>
          </w:p>
          <w:p w14:paraId="0B90E31C" w14:textId="1929786D" w:rsidR="00615E2D" w:rsidRDefault="00C83E46">
            <w:pPr>
              <w:pStyle w:val="P68B1DB1-Normal16"/>
              <w:numPr>
                <w:ilvl w:val="0"/>
                <w:numId w:val="186"/>
              </w:numPr>
              <w:pBdr>
                <w:top w:val="nil"/>
                <w:left w:val="nil"/>
                <w:bottom w:val="nil"/>
                <w:right w:val="nil"/>
                <w:between w:val="nil"/>
              </w:pBdr>
              <w:spacing w:after="0" w:line="259" w:lineRule="auto"/>
              <w:rPr>
                <w:noProof/>
              </w:rPr>
            </w:pPr>
            <w:r>
              <w:rPr>
                <w:noProof/>
              </w:rPr>
              <w:t>zahtijevati od javnih institucija, velikih općina i velikih poduzeća da uspostave interne sustave obavješćivanja o zviždačima</w:t>
            </w:r>
          </w:p>
        </w:tc>
      </w:tr>
      <w:tr w:rsidR="00615E2D" w14:paraId="19AACE22"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A7AEB2B" w14:textId="77777777" w:rsidR="00615E2D" w:rsidRDefault="00C83E46">
            <w:pPr>
              <w:pStyle w:val="P68B1DB1-Normal16"/>
              <w:spacing w:line="240" w:lineRule="auto"/>
              <w:jc w:val="center"/>
              <w:rPr>
                <w:noProof/>
              </w:rPr>
            </w:pPr>
            <w:r>
              <w:rPr>
                <w:noProof/>
              </w:rPr>
              <w:t>203</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389CA85D" w14:textId="77777777" w:rsidR="00615E2D" w:rsidRDefault="00C83E46">
            <w:pPr>
              <w:pStyle w:val="P68B1DB1-Normal16"/>
              <w:spacing w:line="240" w:lineRule="auto"/>
              <w:rPr>
                <w:noProof/>
              </w:rPr>
            </w:pPr>
            <w:r>
              <w:rPr>
                <w:noProof/>
              </w:rPr>
              <w:t>Reforma br. 2: Reforma pravosuđa usmjerena na jačanje zakonodavnog okvira i transparentnosti u područjima sudova, sudaca, tužitelja i sudskih izvršitelja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6CF3C628" w14:textId="77777777" w:rsidR="00615E2D" w:rsidRDefault="00C83E46">
            <w:pPr>
              <w:pStyle w:val="P68B1DB1-Normal16"/>
              <w:spacing w:line="240" w:lineRule="auto"/>
              <w:rPr>
                <w:noProof/>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5F05EC95" w14:textId="77777777" w:rsidR="00615E2D" w:rsidRDefault="00C83E46">
            <w:pPr>
              <w:pStyle w:val="P68B1DB1-Normal16"/>
              <w:spacing w:line="240" w:lineRule="auto"/>
              <w:rPr>
                <w:noProof/>
              </w:rPr>
            </w:pPr>
            <w:r>
              <w:rPr>
                <w:noProof/>
              </w:rPr>
              <w:t xml:space="preserve">Stupanje na snagu Zakona o sudovima i sucima </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0151FA4E" w14:textId="77777777" w:rsidR="00615E2D" w:rsidRDefault="00C83E46">
            <w:pPr>
              <w:pStyle w:val="P68B1DB1-Normal16"/>
              <w:spacing w:line="240" w:lineRule="auto"/>
              <w:rPr>
                <w:noProof/>
              </w:rPr>
            </w:pPr>
            <w:r>
              <w:rPr>
                <w:noProof/>
              </w:rPr>
              <w:t>Odredba u Zakonu o sudovima i sucima u kojoj se navodi stupanje na snagu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0FC4493"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8DF84C3" w14:textId="77777777" w:rsidR="00615E2D" w:rsidRDefault="00615E2D">
            <w:pPr>
              <w:spacing w:line="240" w:lineRule="auto"/>
              <w:jc w:val="center"/>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1F4E51D" w14:textId="77777777" w:rsidR="00615E2D" w:rsidRDefault="00615E2D">
            <w:pPr>
              <w:spacing w:line="240" w:lineRule="auto"/>
              <w:jc w:val="center"/>
              <w:rPr>
                <w:noProof/>
                <w:color w:val="004300"/>
                <w:sz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4B064CD2" w14:textId="77777777" w:rsidR="00615E2D" w:rsidRDefault="00C83E46">
            <w:pPr>
              <w:pStyle w:val="P68B1DB1-Normal16"/>
              <w:spacing w:line="240" w:lineRule="auto"/>
              <w:jc w:val="center"/>
              <w:rPr>
                <w:noProof/>
              </w:rPr>
            </w:pPr>
            <w:r>
              <w:rPr>
                <w:noProof/>
              </w:rPr>
              <w:t>ČETVRTO 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4BBDF279" w14:textId="77777777" w:rsidR="00615E2D" w:rsidRDefault="00C83E46">
            <w:pPr>
              <w:pStyle w:val="P68B1DB1-Normal16"/>
              <w:spacing w:line="240" w:lineRule="auto"/>
              <w:jc w:val="center"/>
              <w:rPr>
                <w:noProof/>
              </w:rPr>
            </w:pPr>
            <w:r>
              <w:rPr>
                <w:noProof/>
              </w:rPr>
              <w:t>2021</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10BF229" w14:textId="77777777" w:rsidR="00615E2D" w:rsidRDefault="00C83E46">
            <w:pPr>
              <w:pStyle w:val="P68B1DB1-Normal16"/>
              <w:spacing w:after="0" w:line="240" w:lineRule="auto"/>
              <w:rPr>
                <w:noProof/>
              </w:rPr>
            </w:pPr>
            <w:r>
              <w:rPr>
                <w:noProof/>
              </w:rPr>
              <w:t xml:space="preserve">Zakon o sudovima i sucima: </w:t>
            </w:r>
          </w:p>
          <w:p w14:paraId="5255DF71" w14:textId="77777777" w:rsidR="00615E2D" w:rsidRDefault="00C83E46">
            <w:pPr>
              <w:pStyle w:val="P68B1DB1-Normal16"/>
              <w:numPr>
                <w:ilvl w:val="0"/>
                <w:numId w:val="187"/>
              </w:numPr>
              <w:pBdr>
                <w:top w:val="nil"/>
                <w:left w:val="nil"/>
                <w:bottom w:val="nil"/>
                <w:right w:val="nil"/>
                <w:between w:val="nil"/>
              </w:pBdr>
              <w:spacing w:after="0" w:line="259" w:lineRule="auto"/>
              <w:rPr>
                <w:noProof/>
              </w:rPr>
            </w:pPr>
            <w:r>
              <w:rPr>
                <w:noProof/>
              </w:rPr>
              <w:t xml:space="preserve">uvođenje objektivnih pravila za odabir sudaca i sudskih službenika </w:t>
            </w:r>
          </w:p>
          <w:p w14:paraId="4369D601" w14:textId="77777777" w:rsidR="00615E2D" w:rsidRDefault="00C83E46">
            <w:pPr>
              <w:pStyle w:val="P68B1DB1-Normal16"/>
              <w:numPr>
                <w:ilvl w:val="0"/>
                <w:numId w:val="187"/>
              </w:numPr>
              <w:pBdr>
                <w:top w:val="nil"/>
                <w:left w:val="nil"/>
                <w:bottom w:val="nil"/>
                <w:right w:val="nil"/>
                <w:between w:val="nil"/>
              </w:pBdr>
              <w:spacing w:after="0" w:line="259" w:lineRule="auto"/>
              <w:rPr>
                <w:noProof/>
              </w:rPr>
            </w:pPr>
            <w:r>
              <w:rPr>
                <w:noProof/>
              </w:rPr>
              <w:t>detaljnije regulirati sekundarnu aktivnost sudaca</w:t>
            </w:r>
          </w:p>
          <w:p w14:paraId="4E43CA0A" w14:textId="77777777" w:rsidR="00615E2D" w:rsidRDefault="00C83E46">
            <w:pPr>
              <w:pStyle w:val="P68B1DB1-Normal16"/>
              <w:numPr>
                <w:ilvl w:val="0"/>
                <w:numId w:val="187"/>
              </w:numPr>
              <w:pBdr>
                <w:top w:val="nil"/>
                <w:left w:val="nil"/>
                <w:bottom w:val="nil"/>
                <w:right w:val="nil"/>
                <w:between w:val="nil"/>
              </w:pBdr>
              <w:spacing w:after="0" w:line="259" w:lineRule="auto"/>
              <w:rPr>
                <w:noProof/>
              </w:rPr>
            </w:pPr>
            <w:r>
              <w:rPr>
                <w:noProof/>
              </w:rPr>
              <w:t xml:space="preserve">pojednostavnjenje sudskih postupaka u kojima sudjeluju suci porotnici </w:t>
            </w:r>
          </w:p>
        </w:tc>
      </w:tr>
      <w:tr w:rsidR="00615E2D" w14:paraId="09C7F53D" w14:textId="77777777">
        <w:trPr>
          <w:trHeight w:val="32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8B2A26D" w14:textId="77777777" w:rsidR="00615E2D" w:rsidRDefault="00C83E46">
            <w:pPr>
              <w:pStyle w:val="P68B1DB1-Normal16"/>
              <w:spacing w:line="240" w:lineRule="auto"/>
              <w:jc w:val="center"/>
              <w:rPr>
                <w:noProof/>
              </w:rPr>
            </w:pPr>
            <w:r>
              <w:rPr>
                <w:noProof/>
              </w:rPr>
              <w:t>204</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080E12A8" w14:textId="77777777" w:rsidR="00615E2D" w:rsidRDefault="00C83E46">
            <w:pPr>
              <w:pStyle w:val="P68B1DB1-Normal16"/>
              <w:spacing w:line="240" w:lineRule="auto"/>
              <w:rPr>
                <w:noProof/>
              </w:rPr>
            </w:pPr>
            <w:r>
              <w:rPr>
                <w:noProof/>
              </w:rPr>
              <w:t>Reforma br. 2: Reforma pravosuđa usmjerena na jačanje zakonodavnog okvira i transparentnosti u područjima sudova, sudaca, tužitelja i sudskih izvršitelja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EEE6F74" w14:textId="77777777" w:rsidR="00615E2D" w:rsidRDefault="00C83E46">
            <w:pPr>
              <w:pStyle w:val="P68B1DB1-Normal16"/>
              <w:spacing w:line="240" w:lineRule="auto"/>
              <w:rPr>
                <w:noProof/>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3C36865D" w14:textId="77777777" w:rsidR="00615E2D" w:rsidRDefault="00C83E46">
            <w:pPr>
              <w:pStyle w:val="P68B1DB1-Normal16"/>
              <w:spacing w:line="240" w:lineRule="auto"/>
              <w:rPr>
                <w:noProof/>
              </w:rPr>
            </w:pPr>
            <w:r>
              <w:rPr>
                <w:noProof/>
              </w:rPr>
              <w:t>Stupanje na snagu zakona o postupcima u predmetima sudaca, tužitelja i sudskih izvršitelja</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12CD73BB" w14:textId="77777777" w:rsidR="00615E2D" w:rsidRDefault="00C83E46">
            <w:pPr>
              <w:pStyle w:val="P68B1DB1-Normal16"/>
              <w:spacing w:line="240" w:lineRule="auto"/>
              <w:rPr>
                <w:noProof/>
              </w:rPr>
            </w:pPr>
            <w:r>
              <w:rPr>
                <w:noProof/>
              </w:rPr>
              <w:t>Odredba u zakonu o postupcima u predmetima sudaca, tužitelja i sudskih izvršitelja u kojoj se navodi stupanje na snagu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EDD8D85"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48B172F" w14:textId="77777777" w:rsidR="00615E2D" w:rsidRDefault="00615E2D">
            <w:pPr>
              <w:spacing w:line="240" w:lineRule="auto"/>
              <w:jc w:val="center"/>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7054742" w14:textId="77777777" w:rsidR="00615E2D" w:rsidRDefault="00615E2D">
            <w:pPr>
              <w:spacing w:line="240" w:lineRule="auto"/>
              <w:jc w:val="center"/>
              <w:rPr>
                <w:noProof/>
                <w:color w:val="004300"/>
                <w:sz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108B7902" w14:textId="77777777" w:rsidR="00615E2D" w:rsidRDefault="00C83E46">
            <w:pPr>
              <w:pStyle w:val="P68B1DB1-Normal16"/>
              <w:spacing w:line="240" w:lineRule="auto"/>
              <w:jc w:val="center"/>
              <w:rPr>
                <w:noProof/>
              </w:rPr>
            </w:pPr>
            <w:r>
              <w:rPr>
                <w:noProof/>
              </w:rPr>
              <w:t>ČETVRTO 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51AE06E2" w14:textId="77777777" w:rsidR="00615E2D" w:rsidRDefault="00C83E46">
            <w:pPr>
              <w:pStyle w:val="P68B1DB1-Normal16"/>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1C4AFF0B" w14:textId="77777777" w:rsidR="00615E2D" w:rsidRDefault="00C83E46">
            <w:pPr>
              <w:pStyle w:val="P68B1DB1-Normal16"/>
              <w:spacing w:after="0" w:line="240" w:lineRule="auto"/>
              <w:rPr>
                <w:noProof/>
              </w:rPr>
            </w:pPr>
            <w:r>
              <w:rPr>
                <w:noProof/>
              </w:rPr>
              <w:t xml:space="preserve">Zakon o postupcima u predmetima koji se odnose na suce, državne odvjetnike i sudske izvršitelje: </w:t>
            </w:r>
          </w:p>
          <w:p w14:paraId="042714E7" w14:textId="77777777" w:rsidR="00615E2D" w:rsidRDefault="00C83E46">
            <w:pPr>
              <w:pStyle w:val="P68B1DB1-Normal16"/>
              <w:numPr>
                <w:ilvl w:val="0"/>
                <w:numId w:val="188"/>
              </w:numPr>
              <w:pBdr>
                <w:top w:val="nil"/>
                <w:left w:val="nil"/>
                <w:bottom w:val="nil"/>
                <w:right w:val="nil"/>
                <w:between w:val="nil"/>
              </w:pBdr>
              <w:spacing w:after="0" w:line="259" w:lineRule="auto"/>
              <w:rPr>
                <w:noProof/>
              </w:rPr>
            </w:pPr>
            <w:r>
              <w:rPr>
                <w:noProof/>
              </w:rPr>
              <w:t>uvođenje sudskog nadzora odluka stegovnog povjerenstva na temelju žalbe</w:t>
            </w:r>
          </w:p>
          <w:p w14:paraId="6A599577" w14:textId="77777777" w:rsidR="00615E2D" w:rsidRDefault="00C83E46">
            <w:pPr>
              <w:pStyle w:val="P68B1DB1-Normal16"/>
              <w:numPr>
                <w:ilvl w:val="0"/>
                <w:numId w:val="188"/>
              </w:numPr>
              <w:spacing w:after="0" w:line="259" w:lineRule="auto"/>
              <w:contextualSpacing/>
              <w:rPr>
                <w:i/>
                <w:noProof/>
              </w:rPr>
            </w:pPr>
            <w:r>
              <w:rPr>
                <w:noProof/>
              </w:rPr>
              <w:t>uvođenje mjera za povećanje učinkovitosti u postupcima sudaca, državnih odvjetnika i sudskih izvršitelja, posebno u pogledu sastava stegovnih povjerenstava, plaća za državne službenike osuđene zbog stegovne povrede dužnosti i sporazumnog rješavanja stegovnog predmeta</w:t>
            </w:r>
          </w:p>
        </w:tc>
      </w:tr>
      <w:tr w:rsidR="00615E2D" w14:paraId="6E7328E6"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717D410" w14:textId="77777777" w:rsidR="00615E2D" w:rsidRDefault="00C83E46">
            <w:pPr>
              <w:pStyle w:val="P68B1DB1-Normal16"/>
              <w:spacing w:line="240" w:lineRule="auto"/>
              <w:jc w:val="center"/>
              <w:rPr>
                <w:noProof/>
              </w:rPr>
            </w:pPr>
            <w:r>
              <w:rPr>
                <w:noProof/>
              </w:rPr>
              <w:t>205</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482F5EC6" w14:textId="77777777" w:rsidR="00615E2D" w:rsidRDefault="00C83E46">
            <w:pPr>
              <w:pStyle w:val="P68B1DB1-Normal16"/>
              <w:spacing w:line="240" w:lineRule="auto"/>
              <w:rPr>
                <w:noProof/>
              </w:rPr>
            </w:pPr>
            <w:r>
              <w:rPr>
                <w:noProof/>
              </w:rPr>
              <w:t>Reforma 3.: Prikupljanje i analiza podataka o korupciji</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5C53C086" w14:textId="77777777" w:rsidR="00615E2D" w:rsidRDefault="00C83E46">
            <w:pPr>
              <w:pStyle w:val="P68B1DB1-Normal16"/>
              <w:spacing w:line="240" w:lineRule="auto"/>
              <w:rPr>
                <w:noProof/>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40DB26B" w14:textId="77777777" w:rsidR="00615E2D" w:rsidRDefault="00C83E46">
            <w:pPr>
              <w:pStyle w:val="P68B1DB1-Normal16"/>
              <w:spacing w:line="240" w:lineRule="auto"/>
              <w:rPr>
                <w:noProof/>
              </w:rPr>
            </w:pPr>
            <w:r>
              <w:rPr>
                <w:noProof/>
              </w:rPr>
              <w:t>Izrada metodologije za mjerenje korupcije u Češkoj Republici</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6C826F43" w14:textId="77777777" w:rsidR="00615E2D" w:rsidRDefault="00C83E46">
            <w:pPr>
              <w:pStyle w:val="P68B1DB1-Normal16"/>
              <w:spacing w:line="240" w:lineRule="auto"/>
              <w:rPr>
                <w:noProof/>
              </w:rPr>
            </w:pPr>
            <w:r>
              <w:rPr>
                <w:noProof/>
              </w:rPr>
              <w:t>Objava metodologije Ministarstva pravosuđa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2F3469D"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9E8D6D1" w14:textId="77777777" w:rsidR="00615E2D" w:rsidRDefault="00615E2D">
            <w:pPr>
              <w:spacing w:line="240" w:lineRule="auto"/>
              <w:jc w:val="center"/>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485EB56" w14:textId="77777777" w:rsidR="00615E2D" w:rsidRDefault="00615E2D">
            <w:pPr>
              <w:spacing w:line="240" w:lineRule="auto"/>
              <w:jc w:val="center"/>
              <w:rPr>
                <w:noProof/>
                <w:color w:val="004300"/>
                <w:sz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00A2332A" w14:textId="77777777" w:rsidR="00615E2D" w:rsidRDefault="00C83E46">
            <w:pPr>
              <w:pStyle w:val="P68B1DB1-Normal16"/>
              <w:spacing w:line="240" w:lineRule="auto"/>
              <w:jc w:val="center"/>
              <w:rPr>
                <w:noProof/>
              </w:rPr>
            </w:pPr>
            <w:r>
              <w:rPr>
                <w:noProof/>
              </w:rPr>
              <w:t>ČETVRTO 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69917B77" w14:textId="77777777" w:rsidR="00615E2D" w:rsidRDefault="00C83E46">
            <w:pPr>
              <w:pStyle w:val="P68B1DB1-Normal16"/>
              <w:spacing w:line="240" w:lineRule="auto"/>
              <w:jc w:val="center"/>
              <w:rPr>
                <w:noProof/>
              </w:rPr>
            </w:pPr>
            <w:r>
              <w:rPr>
                <w:noProof/>
              </w:rPr>
              <w:t>2023</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D3A80B1" w14:textId="77777777" w:rsidR="00615E2D" w:rsidRDefault="00C83E46">
            <w:pPr>
              <w:pStyle w:val="P68B1DB1-Normal16"/>
              <w:spacing w:after="0" w:line="240" w:lineRule="auto"/>
              <w:rPr>
                <w:noProof/>
              </w:rPr>
            </w:pPr>
            <w:r>
              <w:rPr>
                <w:noProof/>
              </w:rPr>
              <w:t xml:space="preserve">Novom metodologijom omogućuje se ponovljivo i učinkovito mjerenje izravnog i neizravnog iskustva s korupcijom u Češkoj Republici. To je dio završnog izvješća o istraživanju koje također: </w:t>
            </w:r>
          </w:p>
          <w:p w14:paraId="1867B9EE" w14:textId="77777777" w:rsidR="00615E2D" w:rsidRDefault="00C83E46">
            <w:pPr>
              <w:pStyle w:val="P68B1DB1-Normal16"/>
              <w:numPr>
                <w:ilvl w:val="0"/>
                <w:numId w:val="189"/>
              </w:numPr>
              <w:pBdr>
                <w:top w:val="nil"/>
                <w:left w:val="nil"/>
                <w:bottom w:val="nil"/>
                <w:right w:val="nil"/>
                <w:between w:val="nil"/>
              </w:pBdr>
              <w:spacing w:after="0" w:line="259" w:lineRule="auto"/>
              <w:rPr>
                <w:noProof/>
              </w:rPr>
            </w:pPr>
            <w:r>
              <w:rPr>
                <w:noProof/>
              </w:rPr>
              <w:t>utvrditi opseg i oblike korupcije u odabranim socijalnim sektorima u Češkoj.</w:t>
            </w:r>
          </w:p>
          <w:p w14:paraId="5E5498B4" w14:textId="77777777" w:rsidR="00615E2D" w:rsidRDefault="00C83E46">
            <w:pPr>
              <w:pStyle w:val="P68B1DB1-Normal16"/>
              <w:numPr>
                <w:ilvl w:val="0"/>
                <w:numId w:val="189"/>
              </w:numPr>
              <w:pBdr>
                <w:top w:val="nil"/>
                <w:left w:val="nil"/>
                <w:bottom w:val="nil"/>
                <w:right w:val="nil"/>
                <w:between w:val="nil"/>
              </w:pBdr>
              <w:spacing w:after="0" w:line="259" w:lineRule="auto"/>
              <w:rPr>
                <w:noProof/>
              </w:rPr>
            </w:pPr>
            <w:r>
              <w:rPr>
                <w:noProof/>
              </w:rPr>
              <w:t>formuliranje preporuka mjera za smanjenje korupcije u odabranim sektorima</w:t>
            </w:r>
          </w:p>
        </w:tc>
      </w:tr>
      <w:tr w:rsidR="00615E2D" w14:paraId="132CB242"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2F4F4E4" w14:textId="77777777" w:rsidR="00615E2D" w:rsidRDefault="00C83E46">
            <w:pPr>
              <w:pStyle w:val="P68B1DB1-Normal16"/>
              <w:spacing w:line="240" w:lineRule="auto"/>
              <w:jc w:val="center"/>
              <w:rPr>
                <w:noProof/>
              </w:rPr>
            </w:pPr>
            <w:r>
              <w:rPr>
                <w:noProof/>
              </w:rPr>
              <w:t>206</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1A63BA0E" w14:textId="77777777" w:rsidR="00615E2D" w:rsidRDefault="00C83E46">
            <w:pPr>
              <w:pStyle w:val="P68B1DB1-Normal16"/>
              <w:spacing w:line="240" w:lineRule="auto"/>
              <w:rPr>
                <w:noProof/>
              </w:rPr>
            </w:pPr>
            <w:r>
              <w:rPr>
                <w:noProof/>
              </w:rPr>
              <w:t xml:space="preserve">Reforma 4.: Reguliranje lobiranja </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EE55BC9" w14:textId="77777777" w:rsidR="00615E2D" w:rsidRDefault="00C83E46">
            <w:pPr>
              <w:pStyle w:val="P68B1DB1-Normal16"/>
              <w:spacing w:line="240" w:lineRule="auto"/>
              <w:rPr>
                <w:noProof/>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3FFF30C5" w14:textId="77777777" w:rsidR="00615E2D" w:rsidRDefault="00C83E46">
            <w:pPr>
              <w:pStyle w:val="P68B1DB1-Normal16"/>
              <w:spacing w:line="240" w:lineRule="auto"/>
              <w:rPr>
                <w:noProof/>
              </w:rPr>
            </w:pPr>
            <w:r>
              <w:rPr>
                <w:noProof/>
              </w:rPr>
              <w:t xml:space="preserve">Stupanje na snagu zakona o lobiranju </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3BFECE0F" w14:textId="77777777" w:rsidR="00615E2D" w:rsidRDefault="00C83E46">
            <w:pPr>
              <w:pStyle w:val="P68B1DB1-Normal16"/>
              <w:spacing w:line="240" w:lineRule="auto"/>
              <w:rPr>
                <w:noProof/>
              </w:rPr>
            </w:pPr>
            <w:r>
              <w:rPr>
                <w:noProof/>
              </w:rPr>
              <w:t>Odredba u zakonu o lobiranju u kojoj se navodi stupanje na snagu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933DCC8"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5A9BB80" w14:textId="77777777" w:rsidR="00615E2D" w:rsidRDefault="00615E2D">
            <w:pPr>
              <w:spacing w:line="240" w:lineRule="auto"/>
              <w:jc w:val="center"/>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B8AE4FC" w14:textId="77777777" w:rsidR="00615E2D" w:rsidRDefault="00615E2D">
            <w:pPr>
              <w:spacing w:line="240" w:lineRule="auto"/>
              <w:jc w:val="center"/>
              <w:rPr>
                <w:noProof/>
                <w:color w:val="004300"/>
                <w:sz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0A7F55F7" w14:textId="66FDBB12" w:rsidR="00615E2D" w:rsidRDefault="00C83E46">
            <w:pPr>
              <w:pStyle w:val="P68B1DB1-Normal16"/>
              <w:spacing w:line="240" w:lineRule="auto"/>
              <w:jc w:val="center"/>
              <w:rPr>
                <w:rFonts w:eastAsia="Times New Roman"/>
                <w:noProof/>
              </w:rPr>
            </w:pPr>
            <w:r>
              <w:rPr>
                <w:noProof/>
              </w:rPr>
              <w:t>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5211A3F8" w14:textId="2EFE9AB3" w:rsidR="00615E2D" w:rsidRDefault="00C83E46">
            <w:pPr>
              <w:pStyle w:val="P68B1DB1-Normal16"/>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9CC46A0" w14:textId="77777777" w:rsidR="00615E2D" w:rsidRDefault="00C83E46">
            <w:pPr>
              <w:pStyle w:val="P68B1DB1-Normal16"/>
              <w:spacing w:after="0" w:line="240" w:lineRule="auto"/>
              <w:rPr>
                <w:noProof/>
              </w:rPr>
            </w:pPr>
            <w:r>
              <w:rPr>
                <w:noProof/>
              </w:rPr>
              <w:t xml:space="preserve">Zakon o lobiranju: </w:t>
            </w:r>
          </w:p>
          <w:p w14:paraId="7CBE2051" w14:textId="77777777" w:rsidR="00615E2D" w:rsidRDefault="00C83E46">
            <w:pPr>
              <w:pStyle w:val="P68B1DB1-Normal16"/>
              <w:numPr>
                <w:ilvl w:val="0"/>
                <w:numId w:val="190"/>
              </w:numPr>
              <w:pBdr>
                <w:top w:val="nil"/>
                <w:left w:val="nil"/>
                <w:bottom w:val="nil"/>
                <w:right w:val="nil"/>
                <w:between w:val="nil"/>
              </w:pBdr>
              <w:spacing w:after="0" w:line="259" w:lineRule="auto"/>
              <w:rPr>
                <w:noProof/>
              </w:rPr>
            </w:pPr>
            <w:r>
              <w:rPr>
                <w:noProof/>
              </w:rPr>
              <w:t xml:space="preserve">definiranje lobiranja </w:t>
            </w:r>
          </w:p>
          <w:p w14:paraId="24EACC79" w14:textId="77777777" w:rsidR="00615E2D" w:rsidRDefault="00C83E46">
            <w:pPr>
              <w:pStyle w:val="P68B1DB1-Normal16"/>
              <w:numPr>
                <w:ilvl w:val="0"/>
                <w:numId w:val="190"/>
              </w:numPr>
              <w:pBdr>
                <w:top w:val="nil"/>
                <w:left w:val="nil"/>
                <w:bottom w:val="nil"/>
                <w:right w:val="nil"/>
                <w:between w:val="nil"/>
              </w:pBdr>
              <w:spacing w:after="0" w:line="259" w:lineRule="auto"/>
              <w:rPr>
                <w:noProof/>
              </w:rPr>
            </w:pPr>
            <w:r>
              <w:rPr>
                <w:noProof/>
              </w:rPr>
              <w:t xml:space="preserve">zahtjev za uspostavu registra lobista i lobiranih osoba </w:t>
            </w:r>
          </w:p>
          <w:p w14:paraId="5EB2F9F9" w14:textId="77777777" w:rsidR="00615E2D" w:rsidRDefault="00C83E46">
            <w:pPr>
              <w:pStyle w:val="P68B1DB1-Normal16"/>
              <w:numPr>
                <w:ilvl w:val="0"/>
                <w:numId w:val="190"/>
              </w:numPr>
              <w:spacing w:line="240" w:lineRule="auto"/>
              <w:rPr>
                <w:noProof/>
              </w:rPr>
            </w:pPr>
            <w:r>
              <w:rPr>
                <w:noProof/>
              </w:rPr>
              <w:t xml:space="preserve">uvesti obvezu registriranja lobiranja i sankcija za neusklađenost. </w:t>
            </w:r>
          </w:p>
        </w:tc>
      </w:tr>
      <w:tr w:rsidR="00615E2D" w14:paraId="6B4C14D2"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34BF3790" w14:textId="77777777" w:rsidR="00615E2D" w:rsidRDefault="00C83E46">
            <w:pPr>
              <w:pStyle w:val="P68B1DB1-Normal16"/>
              <w:spacing w:line="240" w:lineRule="auto"/>
              <w:jc w:val="center"/>
              <w:rPr>
                <w:noProof/>
              </w:rPr>
            </w:pPr>
            <w:r>
              <w:rPr>
                <w:noProof/>
              </w:rPr>
              <w:t>207</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26C361E3" w14:textId="77777777" w:rsidR="00615E2D" w:rsidRDefault="00C83E46">
            <w:pPr>
              <w:pStyle w:val="P68B1DB1-Normal16"/>
              <w:spacing w:line="240" w:lineRule="auto"/>
              <w:rPr>
                <w:noProof/>
              </w:rPr>
            </w:pPr>
            <w:r>
              <w:rPr>
                <w:noProof/>
              </w:rPr>
              <w:t>Reforma br. 5: Kontrola i revizija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08EFB63" w14:textId="77777777" w:rsidR="00615E2D" w:rsidRDefault="00C83E46">
            <w:pPr>
              <w:pStyle w:val="P68B1DB1-Normal16"/>
              <w:spacing w:line="240" w:lineRule="auto"/>
              <w:rPr>
                <w:noProof/>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784EC819" w14:textId="77777777" w:rsidR="00615E2D" w:rsidRDefault="00C83E46">
            <w:pPr>
              <w:pStyle w:val="P68B1DB1-Normal16"/>
              <w:spacing w:line="240" w:lineRule="auto"/>
              <w:rPr>
                <w:noProof/>
              </w:rPr>
            </w:pPr>
            <w:r>
              <w:rPr>
                <w:noProof/>
              </w:rPr>
              <w:t>Sustav za prikupljanje, pohranu i stavljanje na raspolaganje podataka o svim krajnjim primateljima, uključujući sve stvarne vlasnike (kako je utvrđeno člankom 3. točkom 6. Direktive o sprečavanju pranja novca).</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015F5DB3" w14:textId="77777777" w:rsidR="00615E2D" w:rsidRDefault="00C83E46">
            <w:pPr>
              <w:pStyle w:val="P68B1DB1-Normal16"/>
              <w:spacing w:line="240" w:lineRule="auto"/>
              <w:rPr>
                <w:noProof/>
              </w:rPr>
            </w:pPr>
            <w:r>
              <w:rPr>
                <w:noProof/>
              </w:rPr>
              <w:t>Postupak koji odobrava i provodi jedinica isporuke s opisom sustava za prikupljanje i stavljanje na raspolaganje podataka o krajnjim primateljima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29A3DD2"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242780F" w14:textId="77777777" w:rsidR="00615E2D" w:rsidRDefault="00615E2D">
            <w:pPr>
              <w:spacing w:line="240" w:lineRule="auto"/>
              <w:jc w:val="center"/>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B04A36D" w14:textId="77777777" w:rsidR="00615E2D" w:rsidRDefault="00615E2D">
            <w:pPr>
              <w:spacing w:line="240" w:lineRule="auto"/>
              <w:jc w:val="center"/>
              <w:rPr>
                <w:noProof/>
                <w:color w:val="004300"/>
                <w:sz w:val="18"/>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3BFE6D7B" w14:textId="77777777" w:rsidR="00615E2D" w:rsidRDefault="00C83E46">
            <w:pPr>
              <w:pStyle w:val="P68B1DB1-Normal16"/>
              <w:spacing w:line="240" w:lineRule="auto"/>
              <w:jc w:val="center"/>
              <w:rPr>
                <w:noProof/>
              </w:rPr>
            </w:pPr>
            <w:r>
              <w:rPr>
                <w:noProof/>
              </w:rPr>
              <w:t>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2ABADC34" w14:textId="77777777" w:rsidR="00615E2D" w:rsidRDefault="00C83E46">
            <w:pPr>
              <w:pStyle w:val="P68B1DB1-Normal16"/>
              <w:spacing w:line="240" w:lineRule="auto"/>
              <w:jc w:val="center"/>
              <w:rPr>
                <w:noProof/>
              </w:rPr>
            </w:pPr>
            <w:r>
              <w:rPr>
                <w:noProof/>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D9E8C88" w14:textId="77777777" w:rsidR="00615E2D" w:rsidRDefault="00C83E46">
            <w:pPr>
              <w:pStyle w:val="P68B1DB1-Normal16"/>
              <w:spacing w:line="240" w:lineRule="auto"/>
              <w:rPr>
                <w:noProof/>
              </w:rPr>
            </w:pPr>
            <w:r>
              <w:rPr>
                <w:noProof/>
              </w:rPr>
              <w:t xml:space="preserve">Uspješno se provodi postupak u kojem se opisuje način prikupljanja i pohrane podataka o krajnjim primateljima, ugovarateljima, podugovarateljima, stvarnim vlasnicima i popisa svih mjera za provedbu reformi i projekata ulaganja. Sustav za prikupljanje i stavljanje na raspolaganje podataka o krajnjim primateljima mora biti u skladu sa zahtjevima iz članka 22. stavka 2. točke (d) Uredbe o Mehanizmu za oporavak i otpornost. Taj opis izričito obuhvaća sve kategorije podataka iz članka 22. stavka 2. točke (d), uključujući „stvarne vlasnike” kako su definirani u članku 3. točki 6. Direktive 2015/849, kako je izmijenjena Direktivom 2018/843. </w:t>
            </w:r>
          </w:p>
          <w:p w14:paraId="26822ED9" w14:textId="77777777" w:rsidR="00615E2D" w:rsidRDefault="00C83E46">
            <w:pPr>
              <w:pStyle w:val="P68B1DB1-Normal16"/>
              <w:spacing w:line="240" w:lineRule="auto"/>
              <w:rPr>
                <w:noProof/>
              </w:rPr>
            </w:pPr>
            <w:r>
              <w:rPr>
                <w:noProof/>
              </w:rPr>
              <w:t>Postupke odobrava i provodi Upravljačko vijeće Mehanizma za oporavak i otpornost. Sustav prikupljanja podataka temeljit će se na najboljim praksama stečenima u sustavu država članica2014+ i slijediti ih.</w:t>
            </w:r>
          </w:p>
        </w:tc>
      </w:tr>
      <w:tr w:rsidR="00615E2D" w14:paraId="3EB7EADE"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0C79BE5" w14:textId="77777777" w:rsidR="00615E2D" w:rsidRDefault="00C83E46">
            <w:pPr>
              <w:pStyle w:val="P68B1DB1-Normal16"/>
              <w:spacing w:line="259" w:lineRule="auto"/>
              <w:jc w:val="center"/>
              <w:rPr>
                <w:noProof/>
                <w:highlight w:val="yellow"/>
              </w:rPr>
            </w:pPr>
            <w:r>
              <w:rPr>
                <w:noProof/>
              </w:rPr>
              <w:t>208</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64B497B3" w14:textId="77777777" w:rsidR="00615E2D" w:rsidRDefault="00C83E46">
            <w:pPr>
              <w:pStyle w:val="P68B1DB1-Normal15"/>
              <w:spacing w:line="240" w:lineRule="auto"/>
              <w:rPr>
                <w:noProof/>
                <w:highlight w:val="yellow"/>
              </w:rPr>
            </w:pPr>
            <w:r>
              <w:rPr>
                <w:noProof/>
              </w:rPr>
              <w:t>Reforma br. 5: Kontrola i revizija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F2CA35D" w14:textId="77777777" w:rsidR="00615E2D" w:rsidRDefault="00C83E46">
            <w:pPr>
              <w:pStyle w:val="P68B1DB1-Normal15"/>
              <w:spacing w:line="240" w:lineRule="auto"/>
              <w:rPr>
                <w:noProof/>
                <w:highlight w:val="yellow"/>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6E8411DB" w14:textId="77777777" w:rsidR="00615E2D" w:rsidRDefault="00C83E46">
            <w:pPr>
              <w:pStyle w:val="P68B1DB1-Normal15"/>
              <w:spacing w:line="240" w:lineRule="auto"/>
              <w:rPr>
                <w:noProof/>
                <w:highlight w:val="yellow"/>
              </w:rPr>
            </w:pPr>
            <w:r>
              <w:rPr>
                <w:noProof/>
              </w:rPr>
              <w:t>Izrada i provedba akcijskog plana o administrativnom sustavu koordinacijskog tijela, posebno u pogledu dostatnog i sustavnog sprečavanja sukoba interesa u kontekstu Mehanizma za oporavak i otpornost.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5BADEE20" w14:textId="77777777" w:rsidR="00615E2D" w:rsidRDefault="00C83E46">
            <w:pPr>
              <w:pStyle w:val="P68B1DB1-Normal15"/>
              <w:spacing w:line="240" w:lineRule="auto"/>
              <w:rPr>
                <w:noProof/>
                <w:highlight w:val="yellow"/>
              </w:rPr>
            </w:pPr>
            <w:r>
              <w:rPr>
                <w:noProof/>
              </w:rPr>
              <w:t>Učinkovita provedba akcijskog plana potvrđena ažuriranim postupcima i procesima koordinacijskog tijela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A952D4C" w14:textId="77777777" w:rsidR="00615E2D" w:rsidRDefault="00615E2D">
            <w:pPr>
              <w:spacing w:line="240" w:lineRule="auto"/>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7F79720" w14:textId="77777777" w:rsidR="00615E2D" w:rsidRDefault="00615E2D">
            <w:pPr>
              <w:spacing w:line="240" w:lineRule="auto"/>
              <w:jc w:val="center"/>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06D6A49" w14:textId="77777777" w:rsidR="00615E2D" w:rsidRDefault="00615E2D">
            <w:pPr>
              <w:spacing w:line="240" w:lineRule="auto"/>
              <w:jc w:val="center"/>
              <w:rPr>
                <w:rFonts w:eastAsia="Times New Roman"/>
                <w:noProof/>
                <w:color w:val="004300"/>
                <w:sz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40934D2F" w14:textId="77777777" w:rsidR="00615E2D" w:rsidRDefault="00C83E46">
            <w:pPr>
              <w:pStyle w:val="P68B1DB1-Normal15"/>
              <w:spacing w:line="240" w:lineRule="auto"/>
              <w:jc w:val="center"/>
              <w:rPr>
                <w:noProof/>
                <w:highlight w:val="yellow"/>
              </w:rPr>
            </w:pPr>
            <w:r>
              <w:rPr>
                <w:noProof/>
              </w:rPr>
              <w:t>ČETVRTO 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6E04D5AB" w14:textId="77777777" w:rsidR="00615E2D" w:rsidRDefault="00C83E46">
            <w:pPr>
              <w:pStyle w:val="P68B1DB1-Normal15"/>
              <w:spacing w:line="240" w:lineRule="auto"/>
              <w:jc w:val="center"/>
              <w:rPr>
                <w:noProof/>
                <w:highlight w:val="yellow"/>
              </w:rPr>
            </w:pPr>
            <w:r>
              <w:rPr>
                <w:noProof/>
              </w:rPr>
              <w:t>2021</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A85F9E8" w14:textId="77777777" w:rsidR="00615E2D" w:rsidRDefault="00C83E46">
            <w:pPr>
              <w:pStyle w:val="P68B1DB1-Normal15"/>
              <w:spacing w:line="240" w:lineRule="auto"/>
              <w:rPr>
                <w:noProof/>
              </w:rPr>
            </w:pPr>
            <w:r>
              <w:rPr>
                <w:noProof/>
              </w:rPr>
              <w:t>Djelotvornom provedbom akcijskog plana osigurat će se učinkovit unutarnji administrativni sustav koordinacijskog tijela, posebno u pogledu dostatnog i sustavnog sprečavanja sukoba interesa.</w:t>
            </w:r>
          </w:p>
          <w:p w14:paraId="10D10BA1" w14:textId="788193D9" w:rsidR="00615E2D" w:rsidRDefault="00C83E46">
            <w:pPr>
              <w:pStyle w:val="P68B1DB1-Normal15"/>
              <w:spacing w:line="240" w:lineRule="auto"/>
              <w:rPr>
                <w:noProof/>
                <w:highlight w:val="yellow"/>
              </w:rPr>
            </w:pPr>
            <w:r>
              <w:rPr>
                <w:noProof/>
              </w:rPr>
              <w:t>Akcijski plan uključuje mjere kojima se osigurava da plaćanja krajnjim primateljima, ugovarateljima i podugovarateljima u okviru plana podliježu prethodnim kontrolama provjere sukoba interesa sve do razine stvarnih vlasnika kako su definirani u članku 3. točki 6. Direktive (EU) 2015/849 Europskog parlamenta i Vijeća.</w:t>
            </w:r>
          </w:p>
        </w:tc>
      </w:tr>
      <w:tr w:rsidR="00615E2D" w14:paraId="26998C6F"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30BA1626" w14:textId="77777777" w:rsidR="00615E2D" w:rsidRDefault="00C83E46">
            <w:pPr>
              <w:pStyle w:val="P68B1DB1-Normal16"/>
              <w:spacing w:line="259" w:lineRule="auto"/>
              <w:jc w:val="center"/>
              <w:rPr>
                <w:noProof/>
                <w:highlight w:val="yellow"/>
              </w:rPr>
            </w:pPr>
            <w:r>
              <w:rPr>
                <w:noProof/>
              </w:rPr>
              <w:t>209</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6DF07EED" w14:textId="77777777" w:rsidR="00615E2D" w:rsidRDefault="00C83E46">
            <w:pPr>
              <w:pStyle w:val="P68B1DB1-Normal15"/>
              <w:spacing w:line="240" w:lineRule="auto"/>
              <w:rPr>
                <w:noProof/>
                <w:highlight w:val="yellow"/>
              </w:rPr>
            </w:pPr>
            <w:r>
              <w:rPr>
                <w:noProof/>
              </w:rPr>
              <w:t>Reforma br. 5: Kontrola i revizija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E42431B" w14:textId="77777777" w:rsidR="00615E2D" w:rsidRDefault="00C83E46">
            <w:pPr>
              <w:pStyle w:val="P68B1DB1-Normal15"/>
              <w:spacing w:line="240" w:lineRule="auto"/>
              <w:rPr>
                <w:noProof/>
                <w:highlight w:val="yellow"/>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0F154A23" w14:textId="77777777" w:rsidR="00615E2D" w:rsidRDefault="00C83E46">
            <w:pPr>
              <w:pStyle w:val="P68B1DB1-Normal15"/>
              <w:spacing w:line="240" w:lineRule="auto"/>
              <w:rPr>
                <w:noProof/>
                <w:highlight w:val="yellow"/>
              </w:rPr>
            </w:pPr>
            <w:r>
              <w:rPr>
                <w:noProof/>
              </w:rPr>
              <w:t>Mjere za sprečavanje sukoba interesa koje provodi koordinacijsko tijelo.</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3EC9E6B3" w14:textId="77777777" w:rsidR="00615E2D" w:rsidRDefault="00C83E46">
            <w:pPr>
              <w:pStyle w:val="P68B1DB1-Normal15"/>
              <w:spacing w:line="240" w:lineRule="auto"/>
              <w:rPr>
                <w:noProof/>
                <w:highlight w:val="yellow"/>
              </w:rPr>
            </w:pPr>
            <w:r>
              <w:rPr>
                <w:noProof/>
              </w:rPr>
              <w:t>Izvješće o reviziji kojim se potvrđuje djelotvorna provedba akcijskog plana.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2A42D87" w14:textId="77777777" w:rsidR="00615E2D" w:rsidRDefault="00615E2D">
            <w:pPr>
              <w:spacing w:line="240" w:lineRule="auto"/>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F737F57" w14:textId="77777777" w:rsidR="00615E2D" w:rsidRDefault="00615E2D">
            <w:pPr>
              <w:spacing w:line="240" w:lineRule="auto"/>
              <w:jc w:val="center"/>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CE90AA5" w14:textId="77777777" w:rsidR="00615E2D" w:rsidRDefault="00615E2D">
            <w:pPr>
              <w:spacing w:line="240" w:lineRule="auto"/>
              <w:jc w:val="center"/>
              <w:rPr>
                <w:rFonts w:eastAsia="Times New Roman"/>
                <w:noProof/>
                <w:color w:val="004300"/>
                <w:sz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334A0DD8" w14:textId="77777777" w:rsidR="00615E2D" w:rsidRDefault="00C83E46">
            <w:pPr>
              <w:pStyle w:val="P68B1DB1-Normal15"/>
              <w:spacing w:line="240" w:lineRule="auto"/>
              <w:jc w:val="center"/>
              <w:rPr>
                <w:noProof/>
                <w:highlight w:val="yellow"/>
              </w:rPr>
            </w:pPr>
            <w:r>
              <w:rPr>
                <w:noProof/>
              </w:rPr>
              <w:t>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3B01F042" w14:textId="77777777" w:rsidR="00615E2D" w:rsidRDefault="00C83E46">
            <w:pPr>
              <w:pStyle w:val="P68B1DB1-Normal15"/>
              <w:spacing w:line="240" w:lineRule="auto"/>
              <w:jc w:val="center"/>
              <w:rPr>
                <w:noProof/>
                <w:highlight w:val="yellow"/>
              </w:rPr>
            </w:pPr>
            <w:r>
              <w:rPr>
                <w:noProof/>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46AF72E" w14:textId="77777777" w:rsidR="00615E2D" w:rsidRDefault="00C83E46">
            <w:pPr>
              <w:pStyle w:val="P68B1DB1-Normal15"/>
              <w:spacing w:line="240" w:lineRule="auto"/>
              <w:rPr>
                <w:noProof/>
                <w:highlight w:val="yellow"/>
              </w:rPr>
            </w:pPr>
            <w:r>
              <w:rPr>
                <w:noProof/>
              </w:rPr>
              <w:t>Reviziju praćenja provodi revizorsko tijelo kako bi potvrdilo provedbu akcijskog plana.</w:t>
            </w:r>
          </w:p>
        </w:tc>
      </w:tr>
      <w:tr w:rsidR="00615E2D" w14:paraId="0040C46B"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BAD474D" w14:textId="77777777" w:rsidR="00615E2D" w:rsidRDefault="00C83E46">
            <w:pPr>
              <w:pStyle w:val="P68B1DB1-Normal16"/>
              <w:spacing w:line="259" w:lineRule="auto"/>
              <w:jc w:val="center"/>
              <w:rPr>
                <w:noProof/>
                <w:highlight w:val="yellow"/>
              </w:rPr>
            </w:pPr>
            <w:r>
              <w:rPr>
                <w:noProof/>
              </w:rPr>
              <w:t>210</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71955206" w14:textId="77777777" w:rsidR="00615E2D" w:rsidRDefault="00C83E46">
            <w:pPr>
              <w:pStyle w:val="P68B1DB1-Normal15"/>
              <w:spacing w:line="240" w:lineRule="auto"/>
              <w:rPr>
                <w:noProof/>
                <w:highlight w:val="yellow"/>
              </w:rPr>
            </w:pPr>
            <w:r>
              <w:rPr>
                <w:noProof/>
              </w:rPr>
              <w:t>Reforma br. 5: Kontrola i revizija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878B688" w14:textId="77777777" w:rsidR="00615E2D" w:rsidRDefault="00C83E46">
            <w:pPr>
              <w:pStyle w:val="P68B1DB1-Normal15"/>
              <w:spacing w:line="240" w:lineRule="auto"/>
              <w:rPr>
                <w:noProof/>
                <w:highlight w:val="yellow"/>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9FF26BF" w14:textId="77777777" w:rsidR="00615E2D" w:rsidRDefault="00C83E46">
            <w:pPr>
              <w:pStyle w:val="P68B1DB1-Normal15"/>
              <w:spacing w:line="240" w:lineRule="auto"/>
              <w:rPr>
                <w:noProof/>
                <w:highlight w:val="yellow"/>
              </w:rPr>
            </w:pPr>
            <w:r>
              <w:rPr>
                <w:noProof/>
              </w:rPr>
              <w:t>Repozitorijski sustav</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6C7E2EB9" w14:textId="77777777" w:rsidR="00615E2D" w:rsidRDefault="00C83E46">
            <w:pPr>
              <w:pStyle w:val="P68B1DB1-Normal15"/>
              <w:spacing w:line="240" w:lineRule="auto"/>
              <w:rPr>
                <w:noProof/>
                <w:highlight w:val="yellow"/>
              </w:rPr>
            </w:pPr>
            <w:r>
              <w:rPr>
                <w:noProof/>
              </w:rPr>
              <w:t>Izvješće o reviziji kojim se potvrđuju funkcije repozitorijskog sustava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FD35808" w14:textId="77777777" w:rsidR="00615E2D" w:rsidRDefault="00615E2D">
            <w:pPr>
              <w:spacing w:line="240" w:lineRule="auto"/>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9E5093E" w14:textId="77777777" w:rsidR="00615E2D" w:rsidRDefault="00615E2D">
            <w:pPr>
              <w:spacing w:line="240" w:lineRule="auto"/>
              <w:jc w:val="center"/>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2A05D4C" w14:textId="77777777" w:rsidR="00615E2D" w:rsidRDefault="00615E2D">
            <w:pPr>
              <w:spacing w:line="240" w:lineRule="auto"/>
              <w:jc w:val="center"/>
              <w:rPr>
                <w:rFonts w:eastAsia="Times New Roman"/>
                <w:noProof/>
                <w:color w:val="004300"/>
                <w:sz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6D281B47" w14:textId="77777777" w:rsidR="00615E2D" w:rsidRDefault="00C83E46">
            <w:pPr>
              <w:pStyle w:val="P68B1DB1-Normal15"/>
              <w:spacing w:line="240" w:lineRule="auto"/>
              <w:jc w:val="center"/>
              <w:rPr>
                <w:noProof/>
                <w:highlight w:val="yellow"/>
              </w:rPr>
            </w:pPr>
            <w:r>
              <w:rPr>
                <w:noProof/>
              </w:rPr>
              <w:t>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36AB577F" w14:textId="77777777" w:rsidR="00615E2D" w:rsidRDefault="00C83E46">
            <w:pPr>
              <w:pStyle w:val="P68B1DB1-Normal15"/>
              <w:spacing w:line="240" w:lineRule="auto"/>
              <w:jc w:val="center"/>
              <w:rPr>
                <w:noProof/>
                <w:highlight w:val="yellow"/>
              </w:rPr>
            </w:pPr>
            <w:r>
              <w:rPr>
                <w:noProof/>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664881C5" w14:textId="77777777" w:rsidR="00615E2D" w:rsidRDefault="00C83E46">
            <w:pPr>
              <w:pStyle w:val="P68B1DB1-Normal15"/>
              <w:spacing w:line="240" w:lineRule="auto"/>
              <w:rPr>
                <w:noProof/>
              </w:rPr>
            </w:pPr>
            <w:r>
              <w:rPr>
                <w:noProof/>
              </w:rPr>
              <w:t xml:space="preserve">Uspostavit će se repozitorijski sustav za praćenje provedbe Mehanizma za oporavak i otpornost koji će biti operativan. </w:t>
            </w:r>
          </w:p>
          <w:p w14:paraId="06A74C38" w14:textId="77777777" w:rsidR="00615E2D" w:rsidRDefault="00C83E46">
            <w:pPr>
              <w:pStyle w:val="P68B1DB1-Normal15"/>
              <w:spacing w:line="240" w:lineRule="auto"/>
              <w:rPr>
                <w:noProof/>
              </w:rPr>
            </w:pPr>
            <w:r>
              <w:rPr>
                <w:noProof/>
              </w:rPr>
              <w:t xml:space="preserve">Sustav uključuje barem sljedeće funkcionalnosti: </w:t>
            </w:r>
          </w:p>
          <w:p w14:paraId="5B23B82A" w14:textId="77777777" w:rsidR="00615E2D" w:rsidRDefault="00C83E46">
            <w:pPr>
              <w:pStyle w:val="P68B1DB1-Normal15"/>
              <w:spacing w:line="240" w:lineRule="auto"/>
              <w:rPr>
                <w:noProof/>
              </w:rPr>
            </w:pPr>
            <w:r>
              <w:rPr>
                <w:noProof/>
              </w:rPr>
              <w:t xml:space="preserve">(a) prikupljanje podataka i praćenje ostvarenja ključnih etapa i ciljnih vrijednosti; </w:t>
            </w:r>
          </w:p>
          <w:p w14:paraId="045D0977" w14:textId="77777777" w:rsidR="00615E2D" w:rsidRDefault="00C83E46">
            <w:pPr>
              <w:pStyle w:val="P68B1DB1-Normal15"/>
              <w:spacing w:line="240" w:lineRule="auto"/>
              <w:rPr>
                <w:noProof/>
                <w:highlight w:val="yellow"/>
              </w:rPr>
            </w:pPr>
            <w:r>
              <w:rPr>
                <w:noProof/>
              </w:rPr>
              <w:t>(b) prikupljanje i pohrana podataka koji se zahtijevaju člankom 22. stavkom 2. točkom (d) podtočkama od i. do iii. Uredbe o Mehanizmu za oporavak i otpornost te osiguravanje pristupa tim podacima.</w:t>
            </w:r>
          </w:p>
        </w:tc>
      </w:tr>
      <w:tr w:rsidR="00615E2D" w14:paraId="03C87FD3"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FBBFA76" w14:textId="77777777" w:rsidR="00615E2D" w:rsidRDefault="00C83E46">
            <w:pPr>
              <w:pStyle w:val="P68B1DB1-Normal16"/>
              <w:spacing w:line="259" w:lineRule="auto"/>
              <w:jc w:val="center"/>
              <w:rPr>
                <w:noProof/>
                <w:highlight w:val="yellow"/>
              </w:rPr>
            </w:pPr>
            <w:r>
              <w:rPr>
                <w:noProof/>
              </w:rPr>
              <w:t>211</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7984668B" w14:textId="77777777" w:rsidR="00615E2D" w:rsidRDefault="00C83E46">
            <w:pPr>
              <w:pStyle w:val="P68B1DB1-Normal15"/>
              <w:spacing w:line="240" w:lineRule="auto"/>
              <w:rPr>
                <w:noProof/>
                <w:highlight w:val="yellow"/>
              </w:rPr>
            </w:pPr>
            <w:r>
              <w:rPr>
                <w:noProof/>
              </w:rPr>
              <w:t>Reforma br. 5: Kontrola i revizija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675EDD60" w14:textId="77777777" w:rsidR="00615E2D" w:rsidRDefault="00C83E46">
            <w:pPr>
              <w:pStyle w:val="P68B1DB1-Normal15"/>
              <w:spacing w:line="240" w:lineRule="auto"/>
              <w:rPr>
                <w:noProof/>
                <w:highlight w:val="yellow"/>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3D5FA7E2" w14:textId="77777777" w:rsidR="00615E2D" w:rsidRDefault="00C83E46">
            <w:pPr>
              <w:pStyle w:val="P68B1DB1-Normal15"/>
              <w:spacing w:line="240" w:lineRule="auto"/>
              <w:rPr>
                <w:noProof/>
                <w:highlight w:val="yellow"/>
              </w:rPr>
            </w:pPr>
            <w:r>
              <w:rPr>
                <w:noProof/>
              </w:rPr>
              <w:t>Revizijska strategija kojom se osigurava neovisna i djelotvorna revizija provedbe Mehanizma za oporavak i otpornost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19B8542F" w14:textId="77777777" w:rsidR="00615E2D" w:rsidRDefault="00C83E46">
            <w:pPr>
              <w:pStyle w:val="P68B1DB1-Normal15"/>
              <w:spacing w:line="240" w:lineRule="auto"/>
              <w:rPr>
                <w:noProof/>
                <w:highlight w:val="yellow"/>
              </w:rPr>
            </w:pPr>
            <w:r>
              <w:rPr>
                <w:noProof/>
              </w:rPr>
              <w:t>Revizijska strategija koju je odobrio voditelj revizorskog tijela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F8242B3" w14:textId="77777777" w:rsidR="00615E2D" w:rsidRDefault="00615E2D">
            <w:pPr>
              <w:spacing w:line="240" w:lineRule="auto"/>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345ACA3" w14:textId="77777777" w:rsidR="00615E2D" w:rsidRDefault="00615E2D">
            <w:pPr>
              <w:spacing w:line="240" w:lineRule="auto"/>
              <w:jc w:val="center"/>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2FCBA5D" w14:textId="77777777" w:rsidR="00615E2D" w:rsidRDefault="00615E2D">
            <w:pPr>
              <w:spacing w:line="240" w:lineRule="auto"/>
              <w:jc w:val="center"/>
              <w:rPr>
                <w:rFonts w:eastAsia="Times New Roman"/>
                <w:noProof/>
                <w:color w:val="004300"/>
                <w:sz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248650C3" w14:textId="77777777" w:rsidR="00615E2D" w:rsidRDefault="00C83E46">
            <w:pPr>
              <w:pStyle w:val="P68B1DB1-Normal15"/>
              <w:spacing w:line="240" w:lineRule="auto"/>
              <w:jc w:val="center"/>
              <w:rPr>
                <w:noProof/>
                <w:highlight w:val="yellow"/>
              </w:rPr>
            </w:pPr>
            <w:r>
              <w:rPr>
                <w:noProof/>
              </w:rPr>
              <w:t>ČETVRTO 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4FD50D8C" w14:textId="77777777" w:rsidR="00615E2D" w:rsidRDefault="00C83E46">
            <w:pPr>
              <w:pStyle w:val="P68B1DB1-Normal15"/>
              <w:spacing w:line="240" w:lineRule="auto"/>
              <w:jc w:val="center"/>
              <w:rPr>
                <w:noProof/>
                <w:highlight w:val="yellow"/>
              </w:rPr>
            </w:pPr>
            <w:r>
              <w:rPr>
                <w:noProof/>
              </w:rPr>
              <w:t>2021</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3B75A35A" w14:textId="77777777" w:rsidR="00615E2D" w:rsidRDefault="00C83E46">
            <w:pPr>
              <w:pStyle w:val="P68B1DB1-Normal15"/>
              <w:spacing w:line="240" w:lineRule="auto"/>
              <w:rPr>
                <w:noProof/>
              </w:rPr>
            </w:pPr>
            <w:r>
              <w:rPr>
                <w:noProof/>
              </w:rPr>
              <w:t xml:space="preserve">Donošenje i stupanje na snagu revizijske strategije za revizorsko tijelo, čime se osigurava neovisna i djelotvorna revizija provedbe Mehanizma za oporavak i otpornost u skladu s međunarodno prihvaćenim revizijskim standardima.  </w:t>
            </w:r>
          </w:p>
          <w:p w14:paraId="2B089853" w14:textId="77777777" w:rsidR="00615E2D" w:rsidRDefault="00C83E46">
            <w:pPr>
              <w:pStyle w:val="P68B1DB1-Normal15"/>
              <w:spacing w:line="240" w:lineRule="auto"/>
              <w:rPr>
                <w:noProof/>
                <w:highlight w:val="yellow"/>
              </w:rPr>
            </w:pPr>
            <w:r>
              <w:rPr>
                <w:noProof/>
              </w:rPr>
              <w:t>U strategiji se utvrđuju barem metodologija i pristup procjeni rizika, učestalost i vrsta revizija (kao što su revizije sustava i projekata, na temelju dokumentacije i na licu mjesta) koje se provode u različitim fazama provedbe reformi i ulaganja provedenih u okviru plana, kao i pouzdanost podataka kojima se podupire postizanje ključnih etapa i ciljnih vrijednosti.</w:t>
            </w:r>
          </w:p>
        </w:tc>
      </w:tr>
      <w:tr w:rsidR="00615E2D" w14:paraId="190761CB"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3DDC62B2" w14:textId="77777777" w:rsidR="00615E2D" w:rsidRDefault="00C83E46">
            <w:pPr>
              <w:pStyle w:val="P68B1DB1-Normal16"/>
              <w:spacing w:line="259" w:lineRule="auto"/>
              <w:jc w:val="center"/>
              <w:rPr>
                <w:noProof/>
                <w:highlight w:val="yellow"/>
              </w:rPr>
            </w:pPr>
            <w:r>
              <w:rPr>
                <w:noProof/>
              </w:rPr>
              <w:t>212</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4AC32479" w14:textId="77777777" w:rsidR="00615E2D" w:rsidRDefault="00C83E46">
            <w:pPr>
              <w:pStyle w:val="P68B1DB1-Normal15"/>
              <w:spacing w:line="240" w:lineRule="auto"/>
              <w:rPr>
                <w:noProof/>
                <w:highlight w:val="yellow"/>
              </w:rPr>
            </w:pPr>
            <w:r>
              <w:rPr>
                <w:noProof/>
              </w:rPr>
              <w:t>Reforma br. 5: Kontrola i revizija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B5B1FAE" w14:textId="77777777" w:rsidR="00615E2D" w:rsidRDefault="00C83E46">
            <w:pPr>
              <w:pStyle w:val="P68B1DB1-Normal15"/>
              <w:spacing w:line="240" w:lineRule="auto"/>
              <w:rPr>
                <w:noProof/>
                <w:highlight w:val="yellow"/>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31DB3B5E" w14:textId="77777777" w:rsidR="00615E2D" w:rsidRDefault="00C83E46">
            <w:pPr>
              <w:pStyle w:val="P68B1DB1-Normal15"/>
              <w:spacing w:line="240" w:lineRule="auto"/>
              <w:rPr>
                <w:noProof/>
                <w:highlight w:val="yellow"/>
              </w:rPr>
            </w:pPr>
            <w:r>
              <w:rPr>
                <w:noProof/>
              </w:rPr>
              <w:t>Preispitivanje definicije stvarnog vlasništva u odnosu na sustav kontrole Mehanizma za oporavak i otpornost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428140DE" w14:textId="77777777" w:rsidR="00615E2D" w:rsidRDefault="00C83E46">
            <w:pPr>
              <w:pStyle w:val="P68B1DB1-Normal15"/>
              <w:spacing w:line="240" w:lineRule="auto"/>
              <w:rPr>
                <w:noProof/>
                <w:highlight w:val="yellow"/>
              </w:rPr>
            </w:pPr>
            <w:r>
              <w:rPr>
                <w:noProof/>
              </w:rPr>
              <w:t>Izvješće iz preispitivanja usklađenosti, uključujući prijedloge o mogućim daljnjim mjerama.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3A25591" w14:textId="77777777" w:rsidR="00615E2D" w:rsidRDefault="00615E2D">
            <w:pPr>
              <w:spacing w:line="240" w:lineRule="auto"/>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5B9A279" w14:textId="77777777" w:rsidR="00615E2D" w:rsidRDefault="00615E2D">
            <w:pPr>
              <w:spacing w:line="240" w:lineRule="auto"/>
              <w:jc w:val="center"/>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D9ACD1B" w14:textId="77777777" w:rsidR="00615E2D" w:rsidRDefault="00615E2D">
            <w:pPr>
              <w:spacing w:line="240" w:lineRule="auto"/>
              <w:jc w:val="center"/>
              <w:rPr>
                <w:rFonts w:eastAsia="Times New Roman"/>
                <w:noProof/>
                <w:color w:val="004300"/>
                <w:sz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26BB53C9" w14:textId="77777777" w:rsidR="00615E2D" w:rsidRDefault="00C83E46">
            <w:pPr>
              <w:pStyle w:val="P68B1DB1-Normal15"/>
              <w:spacing w:line="240" w:lineRule="auto"/>
              <w:jc w:val="center"/>
              <w:rPr>
                <w:noProof/>
                <w:highlight w:val="yellow"/>
              </w:rPr>
            </w:pPr>
            <w:r>
              <w:rPr>
                <w:noProof/>
              </w:rPr>
              <w:t>ČETVRTO 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7B8A0ABA" w14:textId="77777777" w:rsidR="00615E2D" w:rsidRDefault="00C83E46">
            <w:pPr>
              <w:pStyle w:val="P68B1DB1-Normal15"/>
              <w:spacing w:line="240" w:lineRule="auto"/>
              <w:jc w:val="center"/>
              <w:rPr>
                <w:noProof/>
                <w:highlight w:val="yellow"/>
              </w:rPr>
            </w:pPr>
            <w:r>
              <w:rPr>
                <w:noProof/>
              </w:rPr>
              <w:t>2021</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79CA710F" w14:textId="77777777" w:rsidR="00615E2D" w:rsidRDefault="00C83E46">
            <w:pPr>
              <w:pStyle w:val="P68B1DB1-Normal15"/>
              <w:spacing w:line="240" w:lineRule="auto"/>
              <w:rPr>
                <w:noProof/>
              </w:rPr>
            </w:pPr>
            <w:r>
              <w:rPr>
                <w:noProof/>
              </w:rPr>
              <w:t xml:space="preserve">Provodi se preispitivanje usklađenosti nacionalnih postupaka kako bi se osiguralo da je primjena stvarnog vlasništva u kontekstu sustava kontrole Mehanizma za oporavak i otpornost u potpunosti usklađena s definicijom „stvarnih vlasnika” kako su definirani u članku 3. točki 6. Direktive 2015/849, kako je izmijenjena Direktivom 2018/843. Preispitivanje obuhvaća zakonodavstvo i smjernice, uključujući priručnik za registar stvarnih vlasnika. Preispitivanjem se razmatraju i učinkovite, proporcionalne i odvraćajuće sankcije u slučaju kršenja obveze pribavljanja i čuvanja informacija o stvarnom vlasništvu, kako je predviđeno člankom 30. stavkom 1. Direktive 2015/849, kako je izmijenjena Direktivom 2018/843. </w:t>
            </w:r>
          </w:p>
          <w:p w14:paraId="66605770" w14:textId="77777777" w:rsidR="00615E2D" w:rsidRDefault="00C83E46">
            <w:pPr>
              <w:pStyle w:val="P68B1DB1-Normal15"/>
              <w:spacing w:line="240" w:lineRule="auto"/>
              <w:rPr>
                <w:noProof/>
                <w:highlight w:val="yellow"/>
              </w:rPr>
            </w:pPr>
            <w:r>
              <w:rPr>
                <w:noProof/>
              </w:rPr>
              <w:t>Nakon preispitivanja potrebno je ispraviti utvrđene potencijalne nedostatke.</w:t>
            </w:r>
          </w:p>
        </w:tc>
      </w:tr>
      <w:tr w:rsidR="00615E2D" w14:paraId="54CABBD8"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B3F771F" w14:textId="77777777" w:rsidR="00615E2D" w:rsidRDefault="00C83E46">
            <w:pPr>
              <w:pStyle w:val="P68B1DB1-Normal16"/>
              <w:spacing w:line="259" w:lineRule="auto"/>
              <w:jc w:val="center"/>
              <w:rPr>
                <w:noProof/>
                <w:highlight w:val="yellow"/>
              </w:rPr>
            </w:pPr>
            <w:r>
              <w:rPr>
                <w:noProof/>
              </w:rPr>
              <w:t>213</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5CC9B9F3" w14:textId="77777777" w:rsidR="00615E2D" w:rsidRDefault="00C83E46">
            <w:pPr>
              <w:pStyle w:val="P68B1DB1-Normal15"/>
              <w:spacing w:line="240" w:lineRule="auto"/>
              <w:rPr>
                <w:noProof/>
                <w:highlight w:val="yellow"/>
              </w:rPr>
            </w:pPr>
            <w:r>
              <w:rPr>
                <w:noProof/>
              </w:rPr>
              <w:t>Reforma br. 5: Kontrola i revizija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1EF8960" w14:textId="77777777" w:rsidR="00615E2D" w:rsidRDefault="00C83E46">
            <w:pPr>
              <w:pStyle w:val="P68B1DB1-Normal15"/>
              <w:spacing w:line="240" w:lineRule="auto"/>
              <w:rPr>
                <w:noProof/>
                <w:highlight w:val="yellow"/>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D760982" w14:textId="77777777" w:rsidR="00615E2D" w:rsidRDefault="00C83E46">
            <w:pPr>
              <w:pStyle w:val="P68B1DB1-Normal15"/>
              <w:spacing w:line="240" w:lineRule="auto"/>
              <w:rPr>
                <w:noProof/>
              </w:rPr>
            </w:pPr>
            <w:r>
              <w:rPr>
                <w:noProof/>
              </w:rPr>
              <w:t>Smjernice o izbjegavanju sukoba interesa i upravljanju njime</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54578DB4" w14:textId="77777777" w:rsidR="00615E2D" w:rsidRDefault="00C83E46">
            <w:pPr>
              <w:pStyle w:val="P68B1DB1-Normal15"/>
              <w:spacing w:line="240" w:lineRule="auto"/>
              <w:rPr>
                <w:noProof/>
                <w:highlight w:val="yellow"/>
              </w:rPr>
            </w:pPr>
            <w:r>
              <w:rPr>
                <w:noProof/>
              </w:rPr>
              <w:t>Smjernice o izbjegavanju i upravljanju sukobom interesa koje izdaje odjel za isporuku koordinacijskog tijela. Revizija koju provodi tijelo za reviziju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DE40530" w14:textId="77777777" w:rsidR="00615E2D" w:rsidRDefault="00615E2D">
            <w:pPr>
              <w:spacing w:line="240" w:lineRule="auto"/>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FA7D142" w14:textId="77777777" w:rsidR="00615E2D" w:rsidRDefault="00615E2D">
            <w:pPr>
              <w:spacing w:line="240" w:lineRule="auto"/>
              <w:jc w:val="center"/>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413D47B" w14:textId="77777777" w:rsidR="00615E2D" w:rsidRDefault="00615E2D">
            <w:pPr>
              <w:spacing w:line="240" w:lineRule="auto"/>
              <w:jc w:val="center"/>
              <w:rPr>
                <w:rFonts w:eastAsia="Times New Roman"/>
                <w:noProof/>
                <w:color w:val="004300"/>
                <w:sz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57CB1DC4" w14:textId="77777777" w:rsidR="00615E2D" w:rsidRDefault="00C83E46">
            <w:pPr>
              <w:pStyle w:val="P68B1DB1-Normal15"/>
              <w:spacing w:line="240" w:lineRule="auto"/>
              <w:jc w:val="center"/>
              <w:rPr>
                <w:noProof/>
                <w:highlight w:val="yellow"/>
              </w:rPr>
            </w:pPr>
            <w:r>
              <w:rPr>
                <w:noProof/>
              </w:rPr>
              <w:t>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2641D30E" w14:textId="77777777" w:rsidR="00615E2D" w:rsidRDefault="00C83E46">
            <w:pPr>
              <w:pStyle w:val="P68B1DB1-Normal15"/>
              <w:spacing w:line="240" w:lineRule="auto"/>
              <w:jc w:val="center"/>
              <w:rPr>
                <w:noProof/>
                <w:highlight w:val="yellow"/>
              </w:rPr>
            </w:pPr>
            <w:r>
              <w:rPr>
                <w:noProof/>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64A7450" w14:textId="77777777" w:rsidR="00615E2D" w:rsidRDefault="00C83E46">
            <w:pPr>
              <w:pStyle w:val="P68B1DB1-Normal15"/>
              <w:spacing w:line="240" w:lineRule="auto"/>
              <w:rPr>
                <w:noProof/>
              </w:rPr>
            </w:pPr>
            <w:r>
              <w:rPr>
                <w:noProof/>
              </w:rPr>
              <w:t xml:space="preserve">Odjel za isporuku donosi smjernice koordinacijskog tijela kako bi se osiguralo da vlasnici komponenata i drugi subjekti koji provode reforme i ulaganja u okviru plana za oporavak i otpornost izbjegavaju sukob interesa i upravljaju njime. Smjernice odražavaju puni opseg potrebnih mjera za zaštitu proračuna EU-a od prijevara i nepravilnosti. Ove se smjernice temelje na Obavijesti Komisije – Smjernice o izbjegavanju sukoba interesa i upravljanju njima u skladu s Financijskom uredbom (SL C 121, 9.4.2021., str. 1.). </w:t>
            </w:r>
          </w:p>
          <w:p w14:paraId="315CEBB1" w14:textId="77777777" w:rsidR="00615E2D" w:rsidRDefault="00C83E46">
            <w:pPr>
              <w:pStyle w:val="P68B1DB1-Normal15"/>
              <w:spacing w:line="240" w:lineRule="auto"/>
              <w:rPr>
                <w:noProof/>
                <w:highlight w:val="yellow"/>
              </w:rPr>
            </w:pPr>
            <w:r>
              <w:rPr>
                <w:noProof/>
              </w:rPr>
              <w:t>Smjernicama se usklađuju mjere koje trebaju poduzeti vlasnici komponenata i drugi subjekti koji provode reforme i ulaganja u okviru plana za oporavak i otpornost (ministarstva, druga javna tijela, državna sredstva itd.).</w:t>
            </w:r>
          </w:p>
        </w:tc>
      </w:tr>
      <w:tr w:rsidR="00615E2D" w14:paraId="3CDA569C"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00951F72" w14:textId="77777777" w:rsidR="00615E2D" w:rsidRDefault="00C83E46">
            <w:pPr>
              <w:pStyle w:val="P68B1DB1-Normal16"/>
              <w:spacing w:line="259" w:lineRule="auto"/>
              <w:jc w:val="center"/>
              <w:rPr>
                <w:noProof/>
                <w:highlight w:val="yellow"/>
              </w:rPr>
            </w:pPr>
            <w:r>
              <w:rPr>
                <w:noProof/>
              </w:rPr>
              <w:t>214</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73E400F3" w14:textId="77777777" w:rsidR="00615E2D" w:rsidRDefault="00C83E46">
            <w:pPr>
              <w:pStyle w:val="P68B1DB1-Normal15"/>
              <w:spacing w:line="240" w:lineRule="auto"/>
              <w:rPr>
                <w:noProof/>
                <w:highlight w:val="yellow"/>
              </w:rPr>
            </w:pPr>
            <w:r>
              <w:rPr>
                <w:noProof/>
              </w:rPr>
              <w:t>Reforma br. 5: Kontrola i revizija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D054E63" w14:textId="77777777" w:rsidR="00615E2D" w:rsidRDefault="00C83E46">
            <w:pPr>
              <w:pStyle w:val="P68B1DB1-Normal15"/>
              <w:spacing w:line="240" w:lineRule="auto"/>
              <w:rPr>
                <w:noProof/>
                <w:highlight w:val="yellow"/>
              </w:rPr>
            </w:pPr>
            <w:r>
              <w:rPr>
                <w:noProof/>
              </w:rPr>
              <w:t>Prekretnica</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F9CDE65" w14:textId="77777777" w:rsidR="00615E2D" w:rsidRDefault="00C83E46">
            <w:pPr>
              <w:pStyle w:val="P68B1DB1-Normal15"/>
              <w:spacing w:line="240" w:lineRule="auto"/>
              <w:rPr>
                <w:noProof/>
                <w:highlight w:val="yellow"/>
              </w:rPr>
            </w:pPr>
            <w:r>
              <w:rPr>
                <w:noProof/>
              </w:rPr>
              <w:t>Postupci za izbjegavanje sukoba interesa u skladu s člankom 61. Financijske uredbe</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600C8588" w14:textId="77777777" w:rsidR="00615E2D" w:rsidRDefault="00C83E46">
            <w:pPr>
              <w:pStyle w:val="P68B1DB1-Normal15"/>
              <w:spacing w:line="240" w:lineRule="auto"/>
              <w:rPr>
                <w:noProof/>
                <w:highlight w:val="yellow"/>
              </w:rPr>
            </w:pPr>
            <w:r>
              <w:rPr>
                <w:noProof/>
              </w:rPr>
              <w:t>Revizijsko izvješće s nekvalificiranim revizorskim mišljenjem o djelotvornosti sustava unutarnje kontrole Mehanizma za oporavak i otpornost u sprečavanju, otkrivanju i ispravljanju situacija sukoba interesa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B6B9F20" w14:textId="77777777" w:rsidR="00615E2D" w:rsidRDefault="00615E2D">
            <w:pPr>
              <w:spacing w:line="240" w:lineRule="auto"/>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AC47DF8" w14:textId="77777777" w:rsidR="00615E2D" w:rsidRDefault="00615E2D">
            <w:pPr>
              <w:spacing w:line="240" w:lineRule="auto"/>
              <w:jc w:val="center"/>
              <w:rPr>
                <w:rFonts w:eastAsia="Times New Roman"/>
                <w:noProof/>
                <w:color w:val="004300"/>
                <w:sz w:val="18"/>
                <w:highlight w:val="yellow"/>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F2169C9" w14:textId="77777777" w:rsidR="00615E2D" w:rsidRDefault="00615E2D">
            <w:pPr>
              <w:spacing w:line="240" w:lineRule="auto"/>
              <w:jc w:val="center"/>
              <w:rPr>
                <w:rFonts w:eastAsia="Times New Roman"/>
                <w:noProof/>
                <w:color w:val="004300"/>
                <w:sz w:val="18"/>
                <w:highlight w:val="yellow"/>
              </w:rPr>
            </w:pPr>
          </w:p>
        </w:tc>
        <w:tc>
          <w:tcPr>
            <w:tcW w:w="851" w:type="dxa"/>
            <w:tcBorders>
              <w:top w:val="single" w:sz="8" w:space="0" w:color="auto"/>
              <w:left w:val="single" w:sz="8" w:space="0" w:color="auto"/>
              <w:bottom w:val="single" w:sz="8" w:space="0" w:color="auto"/>
              <w:right w:val="single" w:sz="8" w:space="0" w:color="auto"/>
            </w:tcBorders>
            <w:shd w:val="clear" w:color="auto" w:fill="C6EFCE"/>
            <w:vAlign w:val="center"/>
          </w:tcPr>
          <w:p w14:paraId="6FE423ED" w14:textId="77777777" w:rsidR="00615E2D" w:rsidRDefault="00C83E46">
            <w:pPr>
              <w:pStyle w:val="P68B1DB1-Normal15"/>
              <w:spacing w:line="240" w:lineRule="auto"/>
              <w:jc w:val="center"/>
              <w:rPr>
                <w:noProof/>
                <w:highlight w:val="yellow"/>
              </w:rPr>
            </w:pPr>
            <w:r>
              <w:rPr>
                <w:noProof/>
              </w:rPr>
              <w:t>TROMJESEČJE</w:t>
            </w:r>
          </w:p>
        </w:tc>
        <w:tc>
          <w:tcPr>
            <w:tcW w:w="891" w:type="dxa"/>
            <w:tcBorders>
              <w:top w:val="single" w:sz="8" w:space="0" w:color="auto"/>
              <w:left w:val="single" w:sz="8" w:space="0" w:color="auto"/>
              <w:bottom w:val="single" w:sz="8" w:space="0" w:color="auto"/>
              <w:right w:val="single" w:sz="8" w:space="0" w:color="auto"/>
            </w:tcBorders>
            <w:shd w:val="clear" w:color="auto" w:fill="C6EFCE"/>
            <w:vAlign w:val="center"/>
          </w:tcPr>
          <w:p w14:paraId="1E43281F" w14:textId="77777777" w:rsidR="00615E2D" w:rsidRDefault="00C83E46">
            <w:pPr>
              <w:pStyle w:val="P68B1DB1-Normal15"/>
              <w:spacing w:line="240" w:lineRule="auto"/>
              <w:jc w:val="center"/>
              <w:rPr>
                <w:noProof/>
                <w:highlight w:val="yellow"/>
              </w:rPr>
            </w:pPr>
            <w:r>
              <w:rPr>
                <w:noProof/>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1166EBD4" w14:textId="126CFF79" w:rsidR="00615E2D" w:rsidRDefault="00C83E46">
            <w:pPr>
              <w:pStyle w:val="P68B1DB1-Normal15"/>
              <w:spacing w:line="240" w:lineRule="auto"/>
              <w:rPr>
                <w:noProof/>
              </w:rPr>
            </w:pPr>
            <w:r>
              <w:rPr>
                <w:noProof/>
              </w:rPr>
              <w:t xml:space="preserve">Sustav unutarnje kontrole Mehanizma za oporavak i otpornost radi izbjegavanja sukoba interesa djelotvoran je, a njime se posebno osigurava sljedeće: </w:t>
            </w:r>
          </w:p>
          <w:p w14:paraId="3471F131" w14:textId="77777777" w:rsidR="00615E2D" w:rsidRDefault="00C83E46">
            <w:pPr>
              <w:pStyle w:val="P68B1DB1-Normal15"/>
              <w:spacing w:line="240" w:lineRule="auto"/>
              <w:rPr>
                <w:noProof/>
              </w:rPr>
            </w:pPr>
            <w:r>
              <w:rPr>
                <w:noProof/>
              </w:rPr>
              <w:t xml:space="preserve">(a)prikupljanje, pohrana i obrada podataka u vezi sa svim krajnjim primateljima, uključujući sve stvarne vlasnike kako je utvrđeno člankom 3. točkom 6. Direktive (EU) 2015/849; </w:t>
            </w:r>
          </w:p>
          <w:p w14:paraId="123EC217" w14:textId="68FD97FF" w:rsidR="00615E2D" w:rsidRDefault="00C83E46">
            <w:pPr>
              <w:pStyle w:val="P68B1DB1-Normal15"/>
              <w:spacing w:line="240" w:lineRule="auto"/>
              <w:rPr>
                <w:noProof/>
              </w:rPr>
            </w:pPr>
            <w:r>
              <w:rPr>
                <w:noProof/>
              </w:rPr>
              <w:t xml:space="preserve">(b)sustav unutarnje kontrole za sprečavanje, otkrivanje i ispravljanje situacija sukoba interesa u skladu je s člankom 61. Financijske uredbe; and </w:t>
            </w:r>
          </w:p>
          <w:p w14:paraId="0CA8A54E" w14:textId="0C9C6C98" w:rsidR="00615E2D" w:rsidRDefault="00C83E46">
            <w:pPr>
              <w:pStyle w:val="P68B1DB1-Normal15"/>
              <w:spacing w:line="240" w:lineRule="auto"/>
              <w:rPr>
                <w:noProof/>
                <w:highlight w:val="yellow"/>
              </w:rPr>
            </w:pPr>
            <w:r>
              <w:rPr>
                <w:noProof/>
              </w:rPr>
              <w:t>(C) djelotvorni su nacionalni postupci kontrole kako bi se izbjegle situacije sukoba interesa za sve stvarne vlasnike.</w:t>
            </w:r>
          </w:p>
        </w:tc>
      </w:tr>
    </w:tbl>
    <w:p w14:paraId="1F397E22" w14:textId="77777777" w:rsidR="00615E2D" w:rsidRDefault="00615E2D">
      <w:pPr>
        <w:pBdr>
          <w:top w:val="nil"/>
          <w:left w:val="nil"/>
          <w:bottom w:val="nil"/>
          <w:right w:val="nil"/>
          <w:between w:val="nil"/>
        </w:pBdr>
        <w:spacing w:line="240" w:lineRule="auto"/>
        <w:jc w:val="both"/>
        <w:rPr>
          <w:rFonts w:eastAsia="Times New Roman"/>
          <w:noProof/>
          <w:color w:val="000000"/>
          <w:highlight w:val="yellow"/>
        </w:rPr>
        <w:sectPr w:rsidR="00615E2D" w:rsidSect="003C3F81">
          <w:headerReference w:type="even" r:id="rId348"/>
          <w:headerReference w:type="default" r:id="rId349"/>
          <w:footerReference w:type="even" r:id="rId350"/>
          <w:footerReference w:type="default" r:id="rId351"/>
          <w:headerReference w:type="first" r:id="rId352"/>
          <w:footerReference w:type="first" r:id="rId353"/>
          <w:pgSz w:w="16839" w:h="11907" w:orient="landscape"/>
          <w:pgMar w:top="1134" w:right="1134" w:bottom="1134" w:left="1134" w:header="567" w:footer="567" w:gutter="0"/>
          <w:cols w:space="708"/>
          <w:docGrid w:linePitch="326"/>
        </w:sectPr>
      </w:pPr>
    </w:p>
    <w:p w14:paraId="7BA8A18F" w14:textId="287F6A0E" w:rsidR="00615E2D" w:rsidRDefault="00C83E46">
      <w:pPr>
        <w:keepNext/>
        <w:tabs>
          <w:tab w:val="left" w:pos="850"/>
        </w:tabs>
        <w:spacing w:line="240" w:lineRule="auto"/>
        <w:ind w:left="850" w:hanging="850"/>
        <w:jc w:val="both"/>
        <w:outlineLvl w:val="0"/>
        <w:rPr>
          <w:b/>
          <w:smallCaps/>
          <w:noProof/>
        </w:rPr>
      </w:pPr>
      <w:r>
        <w:rPr>
          <w:b/>
          <w:smallCaps/>
          <w:noProof/>
        </w:rPr>
        <w:t>X. SASTAVNI DIO 4.4.</w:t>
      </w:r>
      <w:r>
        <w:rPr>
          <w:noProof/>
        </w:rPr>
        <w:t xml:space="preserve">: </w:t>
      </w:r>
      <w:r>
        <w:rPr>
          <w:b/>
          <w:smallCaps/>
          <w:noProof/>
        </w:rPr>
        <w:t>Povećanje učinkovitosti javne uprave</w:t>
      </w:r>
    </w:p>
    <w:p w14:paraId="0F4AE888" w14:textId="77777777" w:rsidR="00615E2D" w:rsidRDefault="00C83E46">
      <w:pPr>
        <w:spacing w:line="240" w:lineRule="auto"/>
        <w:jc w:val="both"/>
        <w:rPr>
          <w:noProof/>
        </w:rPr>
      </w:pPr>
      <w:r>
        <w:rPr>
          <w:noProof/>
        </w:rPr>
        <w:t xml:space="preserve">Ta komponenta češkog plana za oporavak i otpornost bavi se izazovom jačanja primjene pristupa donošenju javnih politika koji se temelji na dokazima, uz istodobno jačanje koordinacije između različitih razina (središnje i regionalne) javne uprave. Njime se nastoji riješiti problem nedostatka </w:t>
      </w:r>
      <w:r>
        <w:rPr>
          <w:rFonts w:eastAsia="Times New Roman"/>
          <w:noProof/>
        </w:rPr>
        <w:t>dostatnih analitičkih kapaciteta u</w:t>
      </w:r>
      <w:r>
        <w:rPr>
          <w:noProof/>
        </w:rPr>
        <w:t xml:space="preserve"> javnoj upravi u Češkoj. </w:t>
      </w:r>
    </w:p>
    <w:p w14:paraId="47C76D5E" w14:textId="77777777" w:rsidR="00615E2D" w:rsidRDefault="00C83E46">
      <w:pPr>
        <w:pStyle w:val="P68B1DB1-Normal3"/>
        <w:spacing w:line="240" w:lineRule="auto"/>
        <w:jc w:val="both"/>
        <w:rPr>
          <w:noProof/>
          <w:color w:val="000000"/>
        </w:rPr>
      </w:pPr>
      <w:r>
        <w:rPr>
          <w:noProof/>
        </w:rPr>
        <w:t xml:space="preserve">Komponentom se podupire provedba preporuke za Češku, u skladu s kojom Češka nastoji smanjiti administrativno opterećenje i poboljšati e-upravu (preporuka za pojedinu zemlju br. 3 2019). </w:t>
      </w:r>
      <w:r>
        <w:rPr>
          <w:noProof/>
          <w:color w:val="000000"/>
        </w:rPr>
        <w:t xml:space="preserve"> </w:t>
      </w:r>
    </w:p>
    <w:p w14:paraId="1C05259D" w14:textId="77777777"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5C105443" w14:textId="3ADB7B90" w:rsidR="00615E2D" w:rsidRDefault="00615E2D">
      <w:pPr>
        <w:spacing w:line="240" w:lineRule="auto"/>
        <w:jc w:val="both"/>
        <w:rPr>
          <w:rFonts w:eastAsia="Times New Roman"/>
          <w:noProof/>
        </w:rPr>
      </w:pPr>
    </w:p>
    <w:p w14:paraId="797D889F" w14:textId="42A2295B" w:rsidR="00615E2D" w:rsidRDefault="00C83E46">
      <w:pPr>
        <w:pStyle w:val="P68B1DB1-Normal5"/>
        <w:spacing w:line="240" w:lineRule="auto"/>
        <w:jc w:val="both"/>
        <w:rPr>
          <w:i/>
          <w:noProof/>
        </w:rPr>
      </w:pPr>
      <w:r>
        <w:rPr>
          <w:noProof/>
        </w:rPr>
        <w:t>X.1. Opis reformi i ulaganja za programe bespovratne financijske potpore</w:t>
      </w:r>
    </w:p>
    <w:p w14:paraId="5FEF2662" w14:textId="77777777" w:rsidR="00615E2D" w:rsidRDefault="00C83E46">
      <w:pPr>
        <w:pBdr>
          <w:top w:val="nil"/>
          <w:left w:val="nil"/>
          <w:bottom w:val="nil"/>
          <w:right w:val="nil"/>
          <w:between w:val="nil"/>
        </w:pBdr>
        <w:spacing w:line="240" w:lineRule="auto"/>
        <w:jc w:val="both"/>
        <w:rPr>
          <w:b/>
          <w:noProof/>
        </w:rPr>
      </w:pPr>
      <w:bookmarkStart w:id="3" w:name="_Hlk138078734"/>
      <w:r>
        <w:rPr>
          <w:b/>
          <w:noProof/>
        </w:rPr>
        <w:t>Reforma 1.: Veća učinkovitost, usmjerenost na klijente i primjena načela donošenja odluka na temelju dokaza u javnoj upravi</w:t>
      </w:r>
      <w:r>
        <w:rPr>
          <w:noProof/>
        </w:rPr>
        <w:t>.</w:t>
      </w:r>
      <w:r>
        <w:rPr>
          <w:b/>
          <w:noProof/>
        </w:rPr>
        <w:t xml:space="preserve"> </w:t>
      </w:r>
    </w:p>
    <w:p w14:paraId="38FD3B88" w14:textId="5F605EC4" w:rsidR="00615E2D" w:rsidRDefault="00C83E46">
      <w:pPr>
        <w:pStyle w:val="P68B1DB1-Normal4"/>
        <w:spacing w:after="0" w:line="259" w:lineRule="auto"/>
        <w:jc w:val="both"/>
        <w:rPr>
          <w:noProof/>
          <w:color w:val="000000" w:themeColor="text1"/>
        </w:rPr>
      </w:pPr>
      <w:r>
        <w:rPr>
          <w:noProof/>
        </w:rPr>
        <w:t>Cilj je mjere povećati učinkovitost, usmjerenost na klijente i primjenu načela donošenja odluka na temelju dokaza u javnoj upravi</w:t>
      </w:r>
      <w:r>
        <w:rPr>
          <w:b/>
          <w:noProof/>
        </w:rPr>
        <w:t xml:space="preserve">. </w:t>
      </w:r>
      <w:r>
        <w:rPr>
          <w:noProof/>
        </w:rPr>
        <w:t>Temelji se na preporukama iz OECD-ove revizije javnog upravljanja, posebno u područjima poglavlja 2. (Poboljšanje koordinacije politika i strateškog planiranja u središtu vlade), poglavlja 3. (Promicanje donošenja odluka utemeljenih na dokazima), poglavlja 6. (Privlačenje i razvoj vještina u javnoj službi). Sljedeće mjere odgovaraju sljedećim odjeljcima:</w:t>
      </w:r>
    </w:p>
    <w:p w14:paraId="4C941BC7" w14:textId="1007209A" w:rsidR="00615E2D" w:rsidRDefault="00C83E46">
      <w:pPr>
        <w:pStyle w:val="P68B1DB1-Normal45"/>
        <w:spacing w:after="0" w:line="259" w:lineRule="auto"/>
        <w:ind w:left="708" w:hanging="708"/>
        <w:jc w:val="both"/>
        <w:rPr>
          <w:noProof/>
        </w:rPr>
      </w:pPr>
      <w:r>
        <w:rPr>
          <w:noProof/>
        </w:rPr>
        <w:t>Poboljšanje koordinacije politika i strateškog planiranja u središtu vlade:</w:t>
      </w:r>
    </w:p>
    <w:p w14:paraId="51089174" w14:textId="13805CDE" w:rsidR="00615E2D" w:rsidRDefault="00C83E46">
      <w:pPr>
        <w:pStyle w:val="P68B1DB1-ListParagraph39"/>
        <w:numPr>
          <w:ilvl w:val="0"/>
          <w:numId w:val="338"/>
        </w:numPr>
        <w:spacing w:after="0"/>
        <w:jc w:val="both"/>
        <w:rPr>
          <w:noProof/>
        </w:rPr>
      </w:pPr>
      <w:r>
        <w:rPr>
          <w:noProof/>
        </w:rPr>
        <w:t>Donošenje sažetog izvješća o usklađenosti politika radi održivog razvoja, u kojem se utvrđuju potrebe za financiranjem strategija, kao i postojeći izvori financiranja.</w:t>
      </w:r>
    </w:p>
    <w:p w14:paraId="1EFECC12" w14:textId="0F206F28" w:rsidR="00615E2D" w:rsidRDefault="00C83E46">
      <w:pPr>
        <w:pStyle w:val="P68B1DB1-ListParagraph39"/>
        <w:numPr>
          <w:ilvl w:val="0"/>
          <w:numId w:val="338"/>
        </w:numPr>
        <w:spacing w:after="0"/>
        <w:jc w:val="both"/>
        <w:rPr>
          <w:noProof/>
        </w:rPr>
      </w:pPr>
      <w:r>
        <w:rPr>
          <w:noProof/>
        </w:rPr>
        <w:t>Početak rada informatičkog sustava za pokazatelje praćenja povezane s ciljevima održivog razvoja.</w:t>
      </w:r>
    </w:p>
    <w:p w14:paraId="42EF05BF" w14:textId="2CCD609C" w:rsidR="00615E2D" w:rsidRDefault="00C83E46">
      <w:pPr>
        <w:pStyle w:val="P68B1DB1-Normal45"/>
        <w:spacing w:after="0" w:line="259" w:lineRule="auto"/>
        <w:ind w:left="708" w:hanging="708"/>
        <w:jc w:val="both"/>
        <w:rPr>
          <w:noProof/>
        </w:rPr>
      </w:pPr>
      <w:r>
        <w:rPr>
          <w:noProof/>
        </w:rPr>
        <w:t>Promicanje donošenja odluka na temelju dokaza:</w:t>
      </w:r>
    </w:p>
    <w:p w14:paraId="4904BC2B" w14:textId="77777777" w:rsidR="00615E2D" w:rsidRDefault="00C83E46">
      <w:pPr>
        <w:pStyle w:val="P68B1DB1-ListParagraph39"/>
        <w:numPr>
          <w:ilvl w:val="0"/>
          <w:numId w:val="338"/>
        </w:numPr>
        <w:spacing w:after="0"/>
        <w:jc w:val="both"/>
        <w:rPr>
          <w:noProof/>
        </w:rPr>
      </w:pPr>
      <w:r>
        <w:rPr>
          <w:noProof/>
        </w:rPr>
        <w:t>Osnivanje središnjeg tima za analizu kako bi se podigla svijest o važnosti načela donošenja politika utemeljenih na dokazima među svim relevantnim dionicima u javnoj upravi, uz istodobno pružanje potpore relevantnim službama u ispravnoj primjeni kvalitativnih i kvantitativnih analitičkih metoda.</w:t>
      </w:r>
    </w:p>
    <w:p w14:paraId="40A104EF" w14:textId="04912242" w:rsidR="00615E2D" w:rsidRDefault="00C83E46">
      <w:pPr>
        <w:pStyle w:val="P68B1DB1-ListParagraph39"/>
        <w:numPr>
          <w:ilvl w:val="0"/>
          <w:numId w:val="338"/>
        </w:numPr>
        <w:spacing w:after="0"/>
        <w:jc w:val="both"/>
        <w:rPr>
          <w:noProof/>
        </w:rPr>
      </w:pPr>
      <w:r>
        <w:rPr>
          <w:noProof/>
        </w:rPr>
        <w:t xml:space="preserve">Donošenje nove verzije metodologije analize regulatornog učinka. </w:t>
      </w:r>
    </w:p>
    <w:p w14:paraId="55B38F11" w14:textId="59C23A00" w:rsidR="00615E2D" w:rsidRDefault="00C83E46">
      <w:pPr>
        <w:pStyle w:val="P68B1DB1-ListParagraph46"/>
        <w:numPr>
          <w:ilvl w:val="0"/>
          <w:numId w:val="338"/>
        </w:numPr>
        <w:spacing w:after="0"/>
        <w:jc w:val="both"/>
        <w:rPr>
          <w:noProof/>
        </w:rPr>
      </w:pPr>
      <w:r>
        <w:rPr>
          <w:noProof/>
        </w:rPr>
        <w:t>Ažuriranje klimatskog i energetskog modela kojim su obuhvaćeni svi važni klimatski i energetski procesi za Češku.</w:t>
      </w:r>
    </w:p>
    <w:p w14:paraId="0CE50548" w14:textId="679978A5" w:rsidR="00615E2D" w:rsidRDefault="00C83E46">
      <w:pPr>
        <w:pStyle w:val="P68B1DB1-ListParagraph39"/>
        <w:numPr>
          <w:ilvl w:val="0"/>
          <w:numId w:val="338"/>
        </w:numPr>
        <w:spacing w:after="0"/>
        <w:jc w:val="both"/>
        <w:rPr>
          <w:noProof/>
        </w:rPr>
      </w:pPr>
      <w:r>
        <w:rPr>
          <w:noProof/>
        </w:rPr>
        <w:t>Stvaranje baze podataka s relevantnim podacima iz odabranih izvora informacija, otvorenih podataka i podataka dobivenih s pomoću novostvorenog elektroničkog alata za prikupljanje podataka o aktivnostima nadležnih tijela.</w:t>
      </w:r>
    </w:p>
    <w:p w14:paraId="6E81420F" w14:textId="3F061905" w:rsidR="00615E2D" w:rsidRDefault="00C83E46">
      <w:pPr>
        <w:pStyle w:val="P68B1DB1-Normal45"/>
        <w:spacing w:after="0" w:line="259" w:lineRule="auto"/>
        <w:ind w:left="708" w:hanging="708"/>
        <w:jc w:val="both"/>
        <w:rPr>
          <w:noProof/>
        </w:rPr>
      </w:pPr>
      <w:r>
        <w:rPr>
          <w:noProof/>
        </w:rPr>
        <w:t>Privlačenje i razvoj vještina u javnoj službi</w:t>
      </w:r>
    </w:p>
    <w:p w14:paraId="759BF37A" w14:textId="3AF94F77" w:rsidR="00615E2D" w:rsidRDefault="00C83E46">
      <w:pPr>
        <w:pStyle w:val="P68B1DB1-ListParagraph39"/>
        <w:numPr>
          <w:ilvl w:val="0"/>
          <w:numId w:val="338"/>
        </w:numPr>
        <w:spacing w:after="0"/>
        <w:jc w:val="both"/>
        <w:rPr>
          <w:noProof/>
        </w:rPr>
      </w:pPr>
      <w:r>
        <w:rPr>
          <w:noProof/>
        </w:rPr>
        <w:t>Uspostava početka rada sustava ljudskih resursa koji omogućuje digitalno provođenje odabranih postupaka u području ljudskih resursa i popunjavanje obrazaca za odabrane procese u području ljudskih resursa i Akcijskog plana za ljudske resurse za javne službe.</w:t>
      </w:r>
    </w:p>
    <w:p w14:paraId="6D32D157" w14:textId="5B6B62BE" w:rsidR="00615E2D" w:rsidRDefault="00C83E46">
      <w:pPr>
        <w:pStyle w:val="P68B1DB1-ListParagraph39"/>
        <w:numPr>
          <w:ilvl w:val="0"/>
          <w:numId w:val="338"/>
        </w:numPr>
        <w:spacing w:after="0"/>
        <w:jc w:val="both"/>
        <w:rPr>
          <w:noProof/>
        </w:rPr>
      </w:pPr>
      <w:r>
        <w:rPr>
          <w:noProof/>
        </w:rPr>
        <w:t>Provedba ciljanih programa osposobljavanja za klijente za najmanje 1000 službenika izvršnog ureda.</w:t>
      </w:r>
    </w:p>
    <w:p w14:paraId="447591FF" w14:textId="4D845C26" w:rsidR="00615E2D" w:rsidRDefault="00C83E46">
      <w:pPr>
        <w:spacing w:line="240" w:lineRule="auto"/>
        <w:rPr>
          <w:noProof/>
        </w:rPr>
      </w:pPr>
      <w:r>
        <w:rPr>
          <w:noProof/>
        </w:rPr>
        <w:t>Reforma mora biti dovršena do 31. prosinca 2025.</w:t>
      </w:r>
      <w:bookmarkEnd w:id="3"/>
      <w:r>
        <w:rPr>
          <w:noProof/>
        </w:rPr>
        <w:t xml:space="preserve"> </w:t>
      </w:r>
    </w:p>
    <w:p w14:paraId="3F66F876" w14:textId="77777777" w:rsidR="00615E2D" w:rsidRDefault="00615E2D">
      <w:pPr>
        <w:rPr>
          <w:noProof/>
        </w:rPr>
        <w:sectPr w:rsidR="00615E2D" w:rsidSect="00997F50">
          <w:headerReference w:type="even" r:id="rId354"/>
          <w:headerReference w:type="default" r:id="rId355"/>
          <w:footerReference w:type="even" r:id="rId356"/>
          <w:footerReference w:type="default" r:id="rId357"/>
          <w:headerReference w:type="first" r:id="rId358"/>
          <w:footerReference w:type="first" r:id="rId359"/>
          <w:pgSz w:w="11907" w:h="16839"/>
          <w:pgMar w:top="1134" w:right="1134" w:bottom="1134" w:left="1134" w:header="567" w:footer="567" w:gutter="0"/>
          <w:cols w:space="720"/>
          <w:docGrid w:linePitch="326"/>
        </w:sectPr>
      </w:pPr>
    </w:p>
    <w:p w14:paraId="54A6A178" w14:textId="4710BC0D" w:rsidR="00615E2D" w:rsidRDefault="00C83E46">
      <w:pPr>
        <w:pStyle w:val="P68B1DB1-Normal5"/>
        <w:spacing w:line="240" w:lineRule="auto"/>
        <w:jc w:val="both"/>
        <w:rPr>
          <w:noProof/>
        </w:rPr>
      </w:pPr>
      <w:r>
        <w:rPr>
          <w:noProof/>
        </w:rPr>
        <w:t>X.2. Ključne etape, ciljne vrijednosti i vremenski raspored za praćenje i provedbu programa bespovratne financijske potpore</w:t>
      </w:r>
    </w:p>
    <w:tbl>
      <w:tblPr>
        <w:tblW w:w="14711" w:type="dxa"/>
        <w:tblInd w:w="-147" w:type="dxa"/>
        <w:tblLayout w:type="fixed"/>
        <w:tblLook w:val="0400" w:firstRow="0" w:lastRow="0" w:firstColumn="0" w:lastColumn="0" w:noHBand="0" w:noVBand="1"/>
      </w:tblPr>
      <w:tblGrid>
        <w:gridCol w:w="726"/>
        <w:gridCol w:w="1264"/>
        <w:gridCol w:w="1074"/>
        <w:gridCol w:w="1339"/>
        <w:gridCol w:w="1339"/>
        <w:gridCol w:w="1021"/>
        <w:gridCol w:w="1021"/>
        <w:gridCol w:w="678"/>
        <w:gridCol w:w="964"/>
        <w:gridCol w:w="707"/>
        <w:gridCol w:w="4578"/>
      </w:tblGrid>
      <w:tr w:rsidR="00615E2D" w14:paraId="1EC73E9D" w14:textId="77777777">
        <w:trPr>
          <w:trHeight w:val="75"/>
          <w:tblHeader/>
        </w:trPr>
        <w:tc>
          <w:tcPr>
            <w:tcW w:w="72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178D5CB3" w14:textId="77777777" w:rsidR="00615E2D" w:rsidRDefault="00C83E46">
            <w:pPr>
              <w:pStyle w:val="P68B1DB1-Normal9"/>
              <w:spacing w:line="240" w:lineRule="auto"/>
              <w:jc w:val="center"/>
              <w:rPr>
                <w:noProof/>
              </w:rPr>
            </w:pPr>
            <w:r>
              <w:rPr>
                <w:noProof/>
              </w:rPr>
              <w:t xml:space="preserve">Sljedeće NUM. </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52A0C48" w14:textId="77777777" w:rsidR="00615E2D" w:rsidRDefault="00C83E46">
            <w:pPr>
              <w:pStyle w:val="P68B1DB1-Normal9"/>
              <w:spacing w:line="240" w:lineRule="auto"/>
              <w:jc w:val="center"/>
              <w:rPr>
                <w:noProof/>
              </w:rPr>
            </w:pPr>
            <w:r>
              <w:rPr>
                <w:noProof/>
              </w:rPr>
              <w:t xml:space="preserve">Povezana mjera (reforma ili ulaganje) </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5925E40C" w14:textId="77777777" w:rsidR="00615E2D" w:rsidRDefault="00C83E46">
            <w:pPr>
              <w:pStyle w:val="P68B1DB1-Normal9"/>
              <w:spacing w:line="240" w:lineRule="auto"/>
              <w:jc w:val="center"/>
              <w:rPr>
                <w:noProof/>
              </w:rPr>
            </w:pPr>
            <w:r>
              <w:rPr>
                <w:noProof/>
              </w:rPr>
              <w:t xml:space="preserve">Ključna etapa/ciljna vrijednost </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1DAA7B8D" w14:textId="77777777" w:rsidR="00615E2D" w:rsidRDefault="00C83E46">
            <w:pPr>
              <w:pStyle w:val="P68B1DB1-Normal9"/>
              <w:spacing w:line="240" w:lineRule="auto"/>
              <w:jc w:val="center"/>
              <w:rPr>
                <w:noProof/>
              </w:rPr>
            </w:pPr>
            <w:r>
              <w:rPr>
                <w:noProof/>
              </w:rPr>
              <w:t xml:space="preserve">Ime </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05285DF" w14:textId="77777777" w:rsidR="00615E2D" w:rsidRDefault="00C83E46">
            <w:pPr>
              <w:pStyle w:val="P68B1DB1-Normal12"/>
              <w:spacing w:line="240" w:lineRule="auto"/>
              <w:jc w:val="center"/>
              <w:rPr>
                <w:rFonts w:eastAsia="Times New Roman"/>
                <w:noProof/>
              </w:rPr>
            </w:pPr>
            <w:r>
              <w:rPr>
                <w:rFonts w:eastAsia="Times New Roman"/>
                <w:b/>
                <w:noProof/>
              </w:rPr>
              <w:t>Kvalitativni pokazatelji</w:t>
            </w:r>
            <w:r>
              <w:rPr>
                <w:rFonts w:ascii="Calibri" w:hAnsi="Calibri"/>
                <w:noProof/>
              </w:rPr>
              <w:br/>
            </w:r>
            <w:r>
              <w:rPr>
                <w:rFonts w:eastAsia="Times New Roman"/>
                <w:b/>
                <w:noProof/>
              </w:rPr>
              <w:t xml:space="preserve"> (za ključne etape) </w:t>
            </w:r>
          </w:p>
        </w:tc>
        <w:tc>
          <w:tcPr>
            <w:tcW w:w="2720" w:type="dxa"/>
            <w:gridSpan w:val="3"/>
            <w:tcBorders>
              <w:top w:val="single" w:sz="8" w:space="0" w:color="000000" w:themeColor="text1"/>
              <w:left w:val="single" w:sz="4" w:space="0" w:color="auto"/>
              <w:bottom w:val="single" w:sz="8" w:space="0" w:color="000000" w:themeColor="text1"/>
              <w:right w:val="single" w:sz="8" w:space="0" w:color="000000" w:themeColor="text1"/>
            </w:tcBorders>
            <w:shd w:val="clear" w:color="auto" w:fill="BDD7EE"/>
            <w:vAlign w:val="center"/>
          </w:tcPr>
          <w:p w14:paraId="68E697F2" w14:textId="77777777" w:rsidR="00615E2D" w:rsidRDefault="00C83E46">
            <w:pPr>
              <w:pStyle w:val="P68B1DB1-Normal12"/>
              <w:spacing w:line="240" w:lineRule="auto"/>
              <w:jc w:val="center"/>
              <w:rPr>
                <w:rFonts w:eastAsia="Times New Roman"/>
                <w:noProof/>
              </w:rPr>
            </w:pPr>
            <w:r>
              <w:rPr>
                <w:rFonts w:eastAsia="Times New Roman"/>
                <w:b/>
                <w:noProof/>
              </w:rPr>
              <w:t>Kvantitativni pokazatelji</w:t>
            </w:r>
            <w:r>
              <w:rPr>
                <w:rFonts w:ascii="Calibri" w:hAnsi="Calibri"/>
                <w:noProof/>
              </w:rPr>
              <w:br/>
            </w:r>
            <w:r>
              <w:rPr>
                <w:rFonts w:eastAsia="Times New Roman"/>
                <w:b/>
                <w:noProof/>
              </w:rPr>
              <w:t xml:space="preserve"> (za ciljeve)</w:t>
            </w:r>
          </w:p>
        </w:tc>
        <w:tc>
          <w:tcPr>
            <w:tcW w:w="1671" w:type="dxa"/>
            <w:gridSpan w:val="2"/>
            <w:tcBorders>
              <w:top w:val="single" w:sz="8" w:space="0" w:color="000000" w:themeColor="text1"/>
              <w:left w:val="nil"/>
              <w:bottom w:val="single" w:sz="8" w:space="0" w:color="000000" w:themeColor="text1"/>
              <w:right w:val="single" w:sz="4" w:space="0" w:color="auto"/>
            </w:tcBorders>
            <w:shd w:val="clear" w:color="auto" w:fill="BDD7EE"/>
            <w:vAlign w:val="center"/>
          </w:tcPr>
          <w:p w14:paraId="71601A3E" w14:textId="77777777" w:rsidR="00615E2D" w:rsidRDefault="00C83E46">
            <w:pPr>
              <w:pStyle w:val="P68B1DB1-Normal9"/>
              <w:spacing w:line="240" w:lineRule="auto"/>
              <w:jc w:val="center"/>
              <w:rPr>
                <w:noProof/>
              </w:rPr>
            </w:pPr>
            <w:r>
              <w:rPr>
                <w:noProof/>
              </w:rPr>
              <w:t xml:space="preserve">Okvirni vremenski okvir za dovršetak </w:t>
            </w:r>
          </w:p>
        </w:tc>
        <w:tc>
          <w:tcPr>
            <w:tcW w:w="4578"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0EDBBBFB" w14:textId="77777777" w:rsidR="00615E2D" w:rsidRDefault="00C83E46">
            <w:pPr>
              <w:pStyle w:val="P68B1DB1-Normal9"/>
              <w:spacing w:line="240" w:lineRule="auto"/>
              <w:jc w:val="center"/>
              <w:rPr>
                <w:noProof/>
              </w:rPr>
            </w:pPr>
            <w:r>
              <w:rPr>
                <w:noProof/>
              </w:rPr>
              <w:t xml:space="preserve">Opis i jasna definicija svake ključne etape i ciljne vrijednosti </w:t>
            </w:r>
          </w:p>
        </w:tc>
      </w:tr>
      <w:tr w:rsidR="00615E2D" w14:paraId="78DB23F1" w14:textId="77777777">
        <w:trPr>
          <w:trHeight w:val="75"/>
          <w:tblHeader/>
        </w:trPr>
        <w:tc>
          <w:tcPr>
            <w:tcW w:w="726" w:type="dxa"/>
            <w:vMerge/>
            <w:tcBorders>
              <w:top w:val="single" w:sz="4" w:space="0" w:color="auto"/>
              <w:left w:val="single" w:sz="4" w:space="0" w:color="auto"/>
              <w:bottom w:val="single" w:sz="4" w:space="0" w:color="auto"/>
              <w:right w:val="single" w:sz="4" w:space="0" w:color="auto"/>
            </w:tcBorders>
            <w:vAlign w:val="center"/>
          </w:tcPr>
          <w:p w14:paraId="5CB9C9E0"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264" w:type="dxa"/>
            <w:vMerge/>
            <w:tcBorders>
              <w:top w:val="single" w:sz="4" w:space="0" w:color="auto"/>
              <w:left w:val="single" w:sz="4" w:space="0" w:color="auto"/>
              <w:bottom w:val="single" w:sz="4" w:space="0" w:color="auto"/>
              <w:right w:val="single" w:sz="4" w:space="0" w:color="auto"/>
            </w:tcBorders>
            <w:vAlign w:val="center"/>
          </w:tcPr>
          <w:p w14:paraId="5E828318"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074" w:type="dxa"/>
            <w:vMerge/>
            <w:tcBorders>
              <w:top w:val="single" w:sz="4" w:space="0" w:color="auto"/>
              <w:left w:val="single" w:sz="4" w:space="0" w:color="auto"/>
              <w:bottom w:val="single" w:sz="4" w:space="0" w:color="auto"/>
              <w:right w:val="single" w:sz="4" w:space="0" w:color="auto"/>
            </w:tcBorders>
            <w:vAlign w:val="center"/>
          </w:tcPr>
          <w:p w14:paraId="4FEC1F10"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30707F81"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66D857C5"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c>
          <w:tcPr>
            <w:tcW w:w="1021"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BDD7EE"/>
            <w:vAlign w:val="center"/>
          </w:tcPr>
          <w:p w14:paraId="14AC0D97" w14:textId="77777777" w:rsidR="00615E2D" w:rsidRDefault="00C83E46">
            <w:pPr>
              <w:pStyle w:val="P68B1DB1-Normal9"/>
              <w:spacing w:line="240" w:lineRule="auto"/>
              <w:jc w:val="center"/>
              <w:rPr>
                <w:noProof/>
              </w:rPr>
            </w:pPr>
            <w:r>
              <w:rPr>
                <w:noProof/>
              </w:rPr>
              <w:t>Jedinica mjere</w:t>
            </w:r>
          </w:p>
        </w:tc>
        <w:tc>
          <w:tcPr>
            <w:tcW w:w="1021"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27921859" w14:textId="77777777" w:rsidR="00615E2D" w:rsidRDefault="00C83E46">
            <w:pPr>
              <w:pStyle w:val="P68B1DB1-Normal9"/>
              <w:spacing w:line="240" w:lineRule="auto"/>
              <w:jc w:val="center"/>
              <w:rPr>
                <w:noProof/>
              </w:rPr>
            </w:pPr>
            <w:r>
              <w:rPr>
                <w:noProof/>
              </w:rPr>
              <w:t>Osnovna vrijednost</w:t>
            </w:r>
          </w:p>
        </w:tc>
        <w:tc>
          <w:tcPr>
            <w:tcW w:w="678" w:type="dxa"/>
            <w:tcBorders>
              <w:top w:val="nil"/>
              <w:left w:val="single" w:sz="8" w:space="0" w:color="000000" w:themeColor="text1"/>
              <w:bottom w:val="single" w:sz="8" w:space="0" w:color="000000" w:themeColor="text1"/>
              <w:right w:val="single" w:sz="8" w:space="0" w:color="000000" w:themeColor="text1"/>
            </w:tcBorders>
            <w:shd w:val="clear" w:color="auto" w:fill="BDD7EE"/>
            <w:vAlign w:val="center"/>
          </w:tcPr>
          <w:p w14:paraId="2ABCD48B" w14:textId="77777777" w:rsidR="00615E2D" w:rsidRDefault="00C83E46">
            <w:pPr>
              <w:pStyle w:val="P68B1DB1-Normal9"/>
              <w:spacing w:line="240" w:lineRule="auto"/>
              <w:jc w:val="center"/>
              <w:rPr>
                <w:noProof/>
              </w:rPr>
            </w:pPr>
            <w:r>
              <w:rPr>
                <w:noProof/>
              </w:rPr>
              <w:t>Cilj</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vAlign w:val="center"/>
          </w:tcPr>
          <w:p w14:paraId="2932938B" w14:textId="77777777" w:rsidR="00615E2D" w:rsidRDefault="00C83E46">
            <w:pPr>
              <w:pStyle w:val="P68B1DB1-Normal9"/>
              <w:spacing w:line="240" w:lineRule="auto"/>
              <w:jc w:val="center"/>
              <w:rPr>
                <w:noProof/>
              </w:rPr>
            </w:pPr>
            <w:r>
              <w:rPr>
                <w:noProof/>
              </w:rPr>
              <w:t>Tromjesečje</w:t>
            </w:r>
          </w:p>
        </w:tc>
        <w:tc>
          <w:tcPr>
            <w:tcW w:w="611" w:type="dxa"/>
            <w:tcBorders>
              <w:top w:val="nil"/>
              <w:left w:val="single" w:sz="8" w:space="0" w:color="000000" w:themeColor="text1"/>
              <w:bottom w:val="single" w:sz="8" w:space="0" w:color="000000" w:themeColor="text1"/>
              <w:right w:val="single" w:sz="4" w:space="0" w:color="auto"/>
            </w:tcBorders>
            <w:shd w:val="clear" w:color="auto" w:fill="BDD7EE"/>
            <w:vAlign w:val="center"/>
          </w:tcPr>
          <w:p w14:paraId="1452F412" w14:textId="77777777" w:rsidR="00615E2D" w:rsidRDefault="00C83E46">
            <w:pPr>
              <w:pStyle w:val="P68B1DB1-Normal9"/>
              <w:spacing w:line="240" w:lineRule="auto"/>
              <w:jc w:val="center"/>
              <w:rPr>
                <w:noProof/>
              </w:rPr>
            </w:pPr>
            <w:r>
              <w:rPr>
                <w:noProof/>
              </w:rPr>
              <w:t>Godina</w:t>
            </w:r>
          </w:p>
        </w:tc>
        <w:tc>
          <w:tcPr>
            <w:tcW w:w="4578" w:type="dxa"/>
            <w:vMerge/>
            <w:tcBorders>
              <w:bottom w:val="single" w:sz="4" w:space="0" w:color="auto"/>
              <w:right w:val="single" w:sz="4" w:space="0" w:color="auto"/>
            </w:tcBorders>
            <w:vAlign w:val="center"/>
          </w:tcPr>
          <w:p w14:paraId="4D6A0F56" w14:textId="77777777" w:rsidR="00615E2D" w:rsidRDefault="00615E2D">
            <w:pPr>
              <w:widowControl w:val="0"/>
              <w:pBdr>
                <w:top w:val="nil"/>
                <w:left w:val="nil"/>
                <w:bottom w:val="nil"/>
                <w:right w:val="nil"/>
                <w:between w:val="nil"/>
              </w:pBdr>
              <w:spacing w:before="0" w:after="0" w:line="276" w:lineRule="auto"/>
              <w:rPr>
                <w:rFonts w:eastAsia="Times New Roman"/>
                <w:noProof/>
                <w:sz w:val="18"/>
              </w:rPr>
            </w:pPr>
          </w:p>
        </w:tc>
      </w:tr>
      <w:tr w:rsidR="00615E2D" w14:paraId="6E0AE46B" w14:textId="77777777">
        <w:trPr>
          <w:trHeight w:val="1171"/>
        </w:trPr>
        <w:tc>
          <w:tcPr>
            <w:tcW w:w="72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09FEBC41" w14:textId="77777777" w:rsidR="00615E2D" w:rsidRDefault="00C83E46">
            <w:pPr>
              <w:pStyle w:val="P68B1DB1-Normal11"/>
              <w:spacing w:line="240" w:lineRule="auto"/>
              <w:jc w:val="center"/>
              <w:rPr>
                <w:noProof/>
                <w:highlight w:val="yellow"/>
              </w:rPr>
            </w:pPr>
            <w:r>
              <w:rPr>
                <w:noProof/>
              </w:rPr>
              <w:t>215</w:t>
            </w:r>
          </w:p>
        </w:tc>
        <w:tc>
          <w:tcPr>
            <w:tcW w:w="126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0C88CC14" w14:textId="77777777" w:rsidR="00615E2D" w:rsidRDefault="00C83E46">
            <w:pPr>
              <w:pStyle w:val="P68B1DB1-Normal11"/>
              <w:spacing w:line="240" w:lineRule="auto"/>
              <w:rPr>
                <w:noProof/>
              </w:rPr>
            </w:pPr>
            <w:r>
              <w:rPr>
                <w:noProof/>
              </w:rPr>
              <w:t>Reforma 1.: Povećanje učinkovitosti, usmjerenosti na klijente i primjene načela donošenja odluka na temelju dokaza u javnoj upravi</w:t>
            </w:r>
          </w:p>
        </w:tc>
        <w:tc>
          <w:tcPr>
            <w:tcW w:w="107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7709D329" w14:textId="26EF1F82" w:rsidR="00615E2D" w:rsidRDefault="00C83E46">
            <w:pPr>
              <w:pStyle w:val="P68B1DB1-Normal11"/>
              <w:spacing w:line="240" w:lineRule="auto"/>
              <w:rPr>
                <w:noProof/>
              </w:rPr>
            </w:pPr>
            <w:r>
              <w:rPr>
                <w:noProof/>
              </w:rPr>
              <w:t xml:space="preserve"> Ciljna</w:t>
            </w:r>
          </w:p>
        </w:tc>
        <w:tc>
          <w:tcPr>
            <w:tcW w:w="133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4EF6B911" w14:textId="7ECEF96E" w:rsidR="00615E2D" w:rsidRDefault="00C83E46">
            <w:pPr>
              <w:pStyle w:val="P68B1DB1-Normal11"/>
              <w:pBdr>
                <w:top w:val="nil"/>
                <w:left w:val="nil"/>
                <w:bottom w:val="nil"/>
                <w:right w:val="nil"/>
                <w:between w:val="nil"/>
              </w:pBdr>
              <w:spacing w:line="240" w:lineRule="auto"/>
              <w:rPr>
                <w:noProof/>
              </w:rPr>
            </w:pPr>
            <w:r>
              <w:rPr>
                <w:noProof/>
              </w:rPr>
              <w:t>Završetak pet mjera kojima se promiče donošenje odluka na temelju dokaza i poboljšanje koordinacije politika i strateškog planiranja u središtu vlade</w:t>
            </w:r>
          </w:p>
        </w:tc>
        <w:tc>
          <w:tcPr>
            <w:tcW w:w="133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6A268DAD" w14:textId="7DD3ED32" w:rsidR="00615E2D" w:rsidRDefault="00C83E46">
            <w:pPr>
              <w:pStyle w:val="P68B1DB1-Normal11"/>
              <w:pBdr>
                <w:top w:val="nil"/>
                <w:left w:val="nil"/>
                <w:bottom w:val="nil"/>
                <w:right w:val="nil"/>
                <w:between w:val="nil"/>
              </w:pBdr>
              <w:spacing w:line="240" w:lineRule="auto"/>
              <w:rPr>
                <w:noProof/>
              </w:rPr>
            </w:pPr>
            <w:r>
              <w:rPr>
                <w:noProof/>
              </w:rPr>
              <w:t xml:space="preserve"> </w:t>
            </w:r>
          </w:p>
        </w:tc>
        <w:tc>
          <w:tcPr>
            <w:tcW w:w="10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161125" w14:textId="31F36E24" w:rsidR="00615E2D" w:rsidRDefault="00C83E46">
            <w:pPr>
              <w:pStyle w:val="P68B1DB1-Normal11"/>
              <w:spacing w:line="240" w:lineRule="auto"/>
              <w:rPr>
                <w:noProof/>
              </w:rPr>
            </w:pPr>
            <w:r>
              <w:rPr>
                <w:noProof/>
              </w:rPr>
              <w:t>Dovršene mjere</w:t>
            </w:r>
          </w:p>
        </w:tc>
        <w:tc>
          <w:tcPr>
            <w:tcW w:w="10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D9C967A" w14:textId="759241C0" w:rsidR="00615E2D" w:rsidRDefault="00C83E46">
            <w:pPr>
              <w:pStyle w:val="P68B1DB1-Normal11"/>
              <w:spacing w:line="240" w:lineRule="auto"/>
              <w:jc w:val="center"/>
              <w:rPr>
                <w:noProof/>
              </w:rPr>
            </w:pPr>
            <w:r>
              <w:rPr>
                <w:noProof/>
              </w:rPr>
              <w:t>0</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B459E96" w14:textId="5A19BE19" w:rsidR="00615E2D" w:rsidRDefault="00C83E46">
            <w:pPr>
              <w:pStyle w:val="P68B1DB1-Normal11"/>
              <w:spacing w:line="240" w:lineRule="auto"/>
              <w:jc w:val="center"/>
              <w:rPr>
                <w:noProof/>
              </w:rPr>
            </w:pPr>
            <w:r>
              <w:rPr>
                <w:noProof/>
              </w:rPr>
              <w:t>5</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8E1B947" w14:textId="74C6CAE7" w:rsidR="00615E2D" w:rsidRDefault="00C83E46">
            <w:pPr>
              <w:pStyle w:val="P68B1DB1-Normal11"/>
              <w:spacing w:line="240" w:lineRule="auto"/>
              <w:jc w:val="center"/>
              <w:rPr>
                <w:noProof/>
              </w:rPr>
            </w:pPr>
            <w:r>
              <w:rPr>
                <w:noProof/>
              </w:rPr>
              <w:t>ČETVRTO TROMJESEČJE</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68DE25D" w14:textId="19DF0203" w:rsidR="00615E2D" w:rsidRDefault="00C83E46">
            <w:pPr>
              <w:pStyle w:val="P68B1DB1-Normal11"/>
              <w:spacing w:line="240" w:lineRule="auto"/>
              <w:jc w:val="center"/>
              <w:rPr>
                <w:noProof/>
              </w:rPr>
            </w:pPr>
            <w:r>
              <w:rPr>
                <w:noProof/>
              </w:rPr>
              <w:t>2025</w:t>
            </w:r>
          </w:p>
        </w:tc>
        <w:tc>
          <w:tcPr>
            <w:tcW w:w="457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165DEBC7" w14:textId="1E85A894" w:rsidR="00615E2D" w:rsidRDefault="00C83E46">
            <w:pPr>
              <w:pStyle w:val="P68B1DB1-Normal11"/>
              <w:pBdr>
                <w:top w:val="nil"/>
                <w:left w:val="nil"/>
                <w:bottom w:val="nil"/>
                <w:right w:val="nil"/>
                <w:between w:val="nil"/>
              </w:pBdr>
              <w:spacing w:line="240" w:lineRule="auto"/>
              <w:rPr>
                <w:noProof/>
              </w:rPr>
            </w:pPr>
            <w:r>
              <w:rPr>
                <w:noProof/>
              </w:rPr>
              <w:t>Provode se sljedeće mjere:</w:t>
            </w:r>
          </w:p>
          <w:p w14:paraId="51D20EAC" w14:textId="005759A8" w:rsidR="00615E2D" w:rsidRDefault="00C83E46">
            <w:pPr>
              <w:pBdr>
                <w:top w:val="nil"/>
                <w:left w:val="nil"/>
                <w:bottom w:val="nil"/>
                <w:right w:val="nil"/>
                <w:between w:val="nil"/>
              </w:pBdr>
              <w:spacing w:line="240" w:lineRule="auto"/>
              <w:contextualSpacing/>
              <w:rPr>
                <w:rFonts w:eastAsia="Times New Roman"/>
                <w:noProof/>
                <w:color w:val="006100"/>
                <w:sz w:val="18"/>
              </w:rPr>
            </w:pPr>
            <w:r>
              <w:rPr>
                <w:rFonts w:eastAsia="Times New Roman"/>
                <w:noProof/>
                <w:color w:val="006100"/>
                <w:sz w:val="18"/>
              </w:rPr>
              <w:t>1.Uspostavlja se i radi za javnu upravu posebno skladište podataka koje sadržava dostupne pojedinačne podatke iz odabranih izvora informacija, otvorene podatke i podatke dobivene s pomoću novostvorenog elektroničkog alata za prikupljanje podataka o aktivnostima nadležnih tijela. Bazu podataka popunjava Ministarstvo unutarnjih poslova.</w:t>
            </w:r>
            <w:r>
              <w:rPr>
                <w:noProof/>
              </w:rPr>
              <w:br/>
            </w:r>
          </w:p>
          <w:p w14:paraId="53934223" w14:textId="3BF051CD" w:rsidR="00615E2D" w:rsidRDefault="00C83E46">
            <w:pPr>
              <w:pStyle w:val="P68B1DB1-Normal11"/>
              <w:pBdr>
                <w:top w:val="nil"/>
                <w:left w:val="nil"/>
                <w:bottom w:val="nil"/>
                <w:right w:val="nil"/>
                <w:between w:val="nil"/>
              </w:pBdr>
              <w:spacing w:line="240" w:lineRule="auto"/>
              <w:contextualSpacing/>
              <w:rPr>
                <w:noProof/>
              </w:rPr>
            </w:pPr>
            <w:r>
              <w:rPr>
                <w:noProof/>
              </w:rPr>
              <w:t>2. Dovršava se ažurirani klimatski i energetski model kojim se simuliraju svi važni klimatski i energetski procesi, uključujući cjelokupnu energetsku bilancu za Češku, i upotrebljavaju se ažurirani ulazni podaci za model. Model i ulazne podatke ocjenjuje priznato međunarodno tijelo u području klimatskih promjena i/ili energetske politike u skladu s najboljom međunarodnom praksom. Rezultati modela upotrebljavaju se za izradu barem jedne nacionalne strategije.</w:t>
            </w:r>
          </w:p>
          <w:p w14:paraId="537D5E10" w14:textId="78F1D0DD" w:rsidR="00615E2D" w:rsidRDefault="00C83E46">
            <w:pPr>
              <w:pStyle w:val="P68B1DB1-Normal11"/>
              <w:spacing w:line="240" w:lineRule="auto"/>
              <w:contextualSpacing/>
              <w:rPr>
                <w:noProof/>
              </w:rPr>
            </w:pPr>
            <w:r>
              <w:rPr>
                <w:noProof/>
              </w:rPr>
              <w:t xml:space="preserve"> </w:t>
            </w:r>
          </w:p>
          <w:p w14:paraId="2D332137" w14:textId="69B9DC67" w:rsidR="00615E2D" w:rsidRDefault="00C83E46">
            <w:pPr>
              <w:pStyle w:val="P68B1DB1-Normal11"/>
              <w:spacing w:line="240" w:lineRule="auto"/>
              <w:contextualSpacing/>
              <w:rPr>
                <w:noProof/>
              </w:rPr>
            </w:pPr>
            <w:r>
              <w:rPr>
                <w:noProof/>
              </w:rPr>
              <w:t xml:space="preserve">3. Vlada odobrava izvješće o preispitivanju postojećih strategija za postizanje ciljeva održivog razvoja. Cilj je izvješća poboljšati usklađenost politika radi održivog razvoja. U izvješću se utvrđuju strategije za napuštanje i predlažu konkretni koraci za rješavanje utvrđenih preklapanja i nedosljednosti. Navode se konkretni akteri i rokovi za rješavanje utvrđenih problema. Nadalje, u izvješću se utvrđuju potrebe za financiranjem strategija, kao i postojeći izvori financiranja. </w:t>
            </w:r>
          </w:p>
          <w:p w14:paraId="1FFBD0D8" w14:textId="5FC889B0" w:rsidR="00615E2D" w:rsidRDefault="00C83E46">
            <w:pPr>
              <w:pStyle w:val="P68B1DB1-Normal11"/>
              <w:spacing w:line="240" w:lineRule="auto"/>
              <w:contextualSpacing/>
              <w:rPr>
                <w:noProof/>
              </w:rPr>
            </w:pPr>
            <w:r>
              <w:rPr>
                <w:noProof/>
              </w:rPr>
              <w:t xml:space="preserve"> </w:t>
            </w:r>
          </w:p>
          <w:p w14:paraId="23EE31F8" w14:textId="338E011D" w:rsidR="00615E2D" w:rsidRDefault="00C83E46">
            <w:pPr>
              <w:pStyle w:val="P68B1DB1-Normal11"/>
              <w:spacing w:line="240" w:lineRule="auto"/>
              <w:contextualSpacing/>
              <w:rPr>
                <w:noProof/>
              </w:rPr>
            </w:pPr>
            <w:r>
              <w:rPr>
                <w:noProof/>
              </w:rPr>
              <w:t>4. Uspostavlja se IT sustav za pokazatelje praćenja povezane s ciljevima održivog razvoja. Sustav se sastoji barem od repozitorija podataka, internetske aplikacije za uvoz skupova podataka i sučelja za skrbničke agencije. Podaci iz sustava dostupni su kao otvoreni podaci.</w:t>
            </w:r>
          </w:p>
          <w:p w14:paraId="141EBDB5" w14:textId="5FC889B0" w:rsidR="00615E2D" w:rsidRDefault="00C83E46">
            <w:pPr>
              <w:pStyle w:val="P68B1DB1-Normal11"/>
              <w:spacing w:line="240" w:lineRule="auto"/>
              <w:contextualSpacing/>
              <w:rPr>
                <w:noProof/>
              </w:rPr>
            </w:pPr>
            <w:r>
              <w:rPr>
                <w:noProof/>
              </w:rPr>
              <w:t xml:space="preserve"> </w:t>
            </w:r>
          </w:p>
          <w:p w14:paraId="0C31D025" w14:textId="626FFFB7" w:rsidR="00615E2D" w:rsidRDefault="00C83E46">
            <w:pPr>
              <w:pStyle w:val="P68B1DB1-Normal11"/>
              <w:spacing w:line="240" w:lineRule="auto"/>
              <w:contextualSpacing/>
              <w:rPr>
                <w:noProof/>
              </w:rPr>
            </w:pPr>
            <w:r>
              <w:rPr>
                <w:noProof/>
              </w:rPr>
              <w:t>5. Vlada odobrava novu verziju metodologije analize regulatornog učinka koja se temelji na pilot-projektima za najmanje tri zakonodavna prijedloga.</w:t>
            </w:r>
          </w:p>
        </w:tc>
      </w:tr>
      <w:tr w:rsidR="00615E2D" w14:paraId="306705F5" w14:textId="77777777">
        <w:trPr>
          <w:trHeight w:val="2175"/>
        </w:trPr>
        <w:tc>
          <w:tcPr>
            <w:tcW w:w="72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33449E93" w14:textId="3B0767B0" w:rsidR="00615E2D" w:rsidRDefault="00C83E46">
            <w:pPr>
              <w:pStyle w:val="P68B1DB1-Normal11"/>
              <w:spacing w:line="240" w:lineRule="auto"/>
              <w:jc w:val="center"/>
              <w:rPr>
                <w:noProof/>
              </w:rPr>
            </w:pPr>
            <w:r>
              <w:rPr>
                <w:noProof/>
              </w:rPr>
              <w:t>289</w:t>
            </w:r>
          </w:p>
        </w:tc>
        <w:tc>
          <w:tcPr>
            <w:tcW w:w="126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1CCFD167" w14:textId="746FD790" w:rsidR="00615E2D" w:rsidRDefault="00C83E46">
            <w:pPr>
              <w:pStyle w:val="P68B1DB1-Normal11"/>
              <w:spacing w:line="240" w:lineRule="auto"/>
              <w:rPr>
                <w:noProof/>
              </w:rPr>
            </w:pPr>
            <w:r>
              <w:rPr>
                <w:noProof/>
              </w:rPr>
              <w:t>Reforma 1.: Povećanje učinkovitosti, usmjerenosti na klijente i primjene načela donošenja odluka na temelju dokaza u javnoj upravi</w:t>
            </w:r>
          </w:p>
        </w:tc>
        <w:tc>
          <w:tcPr>
            <w:tcW w:w="107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309BFB9A" w14:textId="4F0A27C7" w:rsidR="00615E2D" w:rsidRDefault="00C83E46">
            <w:pPr>
              <w:pStyle w:val="P68B1DB1-Normal11"/>
              <w:spacing w:line="240" w:lineRule="auto"/>
              <w:rPr>
                <w:noProof/>
              </w:rPr>
            </w:pPr>
            <w:r>
              <w:rPr>
                <w:noProof/>
              </w:rPr>
              <w:t>Prekretnica</w:t>
            </w:r>
          </w:p>
        </w:tc>
        <w:tc>
          <w:tcPr>
            <w:tcW w:w="133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08266E1C" w14:textId="25CB70DD" w:rsidR="00615E2D" w:rsidRDefault="00C83E46">
            <w:pPr>
              <w:pStyle w:val="P68B1DB1-Normal11"/>
              <w:spacing w:line="240" w:lineRule="auto"/>
              <w:rPr>
                <w:noProof/>
              </w:rPr>
            </w:pPr>
            <w:r>
              <w:rPr>
                <w:noProof/>
              </w:rPr>
              <w:t>IT sustav i akcijski plan za bolje ljudske resurse u javnoj upravi</w:t>
            </w:r>
          </w:p>
        </w:tc>
        <w:tc>
          <w:tcPr>
            <w:tcW w:w="133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186BB5AB" w14:textId="1597561A" w:rsidR="00615E2D" w:rsidRDefault="00C83E46">
            <w:pPr>
              <w:pStyle w:val="P68B1DB1-Normal11"/>
              <w:spacing w:line="240" w:lineRule="auto"/>
              <w:rPr>
                <w:noProof/>
              </w:rPr>
            </w:pPr>
            <w:r>
              <w:rPr>
                <w:noProof/>
              </w:rPr>
              <w:t>Uspostavlja se i upotrebljava IT sustav, vlada donosi akcijski plan za ljudske resurse</w:t>
            </w:r>
          </w:p>
        </w:tc>
        <w:tc>
          <w:tcPr>
            <w:tcW w:w="10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2A89666" w14:textId="5B9124DB" w:rsidR="00615E2D" w:rsidRDefault="00615E2D">
            <w:pPr>
              <w:spacing w:line="240" w:lineRule="auto"/>
              <w:rPr>
                <w:rFonts w:eastAsia="Times New Roman"/>
                <w:noProof/>
                <w:color w:val="006100"/>
                <w:sz w:val="18"/>
              </w:rPr>
            </w:pPr>
          </w:p>
        </w:tc>
        <w:tc>
          <w:tcPr>
            <w:tcW w:w="10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B4C7142" w14:textId="5702225B" w:rsidR="00615E2D" w:rsidRDefault="00615E2D">
            <w:pPr>
              <w:spacing w:line="240" w:lineRule="auto"/>
              <w:jc w:val="center"/>
              <w:rPr>
                <w:rFonts w:eastAsia="Times New Roman"/>
                <w:noProof/>
                <w:color w:val="006100"/>
                <w:sz w:val="18"/>
              </w:rPr>
            </w:pP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2211BD6" w14:textId="01C9007C" w:rsidR="00615E2D" w:rsidRDefault="00615E2D">
            <w:pPr>
              <w:spacing w:line="240" w:lineRule="auto"/>
              <w:jc w:val="center"/>
              <w:rPr>
                <w:rFonts w:eastAsia="Times New Roman"/>
                <w:noProof/>
                <w:color w:val="006100"/>
                <w:sz w:val="18"/>
              </w:rPr>
            </w:pP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3473458" w14:textId="124E3CD2" w:rsidR="00615E2D" w:rsidRDefault="00C83E46">
            <w:pPr>
              <w:pStyle w:val="P68B1DB1-Normal11"/>
              <w:spacing w:line="240" w:lineRule="auto"/>
              <w:jc w:val="center"/>
              <w:rPr>
                <w:noProof/>
              </w:rPr>
            </w:pPr>
            <w:r>
              <w:rPr>
                <w:noProof/>
              </w:rPr>
              <w:t>TROMJESEČJE</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5404C0A" w14:textId="707662AC" w:rsidR="00615E2D" w:rsidRDefault="00C83E46">
            <w:pPr>
              <w:pStyle w:val="P68B1DB1-Normal11"/>
              <w:spacing w:line="240" w:lineRule="auto"/>
              <w:jc w:val="center"/>
              <w:rPr>
                <w:noProof/>
              </w:rPr>
            </w:pPr>
            <w:r>
              <w:rPr>
                <w:noProof/>
              </w:rPr>
              <w:t>2026</w:t>
            </w:r>
          </w:p>
        </w:tc>
        <w:tc>
          <w:tcPr>
            <w:tcW w:w="457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tcPr>
          <w:p w14:paraId="73932C10" w14:textId="61E53002" w:rsidR="00615E2D" w:rsidRDefault="00C83E46">
            <w:pPr>
              <w:pStyle w:val="P68B1DB1-Normal11"/>
              <w:spacing w:line="240" w:lineRule="auto"/>
              <w:rPr>
                <w:noProof/>
              </w:rPr>
            </w:pPr>
            <w:r>
              <w:rPr>
                <w:noProof/>
              </w:rPr>
              <w:t>Uspostavlja se IT sustav za ljudske resurse koji se koristi u tri ili više središnjih državnih tijela ili pomoćnih organizacija središnjih državnih tijela, od kojih je najmanje jedno središnje tijelo državne uprave. Sustav mora omogućiti barem digitalnu provedbu odabranih procesa u području ljudskih resursa i omogućiti ispunjavanje obrazaca za odabrane procese u području ljudskih resursa.</w:t>
            </w:r>
          </w:p>
          <w:p w14:paraId="7F185FB0" w14:textId="45BED587" w:rsidR="00615E2D" w:rsidRDefault="00C83E46">
            <w:pPr>
              <w:spacing w:line="240" w:lineRule="auto"/>
              <w:rPr>
                <w:rFonts w:eastAsia="Times New Roman"/>
                <w:noProof/>
                <w:color w:val="006100"/>
                <w:sz w:val="18"/>
              </w:rPr>
            </w:pPr>
            <w:r>
              <w:rPr>
                <w:rFonts w:eastAsia="Times New Roman"/>
                <w:noProof/>
                <w:color w:val="006100"/>
                <w:sz w:val="18"/>
              </w:rPr>
              <w:t>Vlada donosi Akcijski plan za ljudske resurse za javne službe („Služební úřady”) koji se temelji barem na:</w:t>
            </w:r>
            <w:r>
              <w:rPr>
                <w:noProof/>
              </w:rPr>
              <w:br/>
            </w:r>
            <w:r>
              <w:rPr>
                <w:rFonts w:eastAsia="Times New Roman"/>
                <w:noProof/>
                <w:color w:val="006100"/>
                <w:sz w:val="18"/>
              </w:rPr>
              <w:t xml:space="preserve">Pilot-projekti, najmanje tri tijela središnje državne uprave, o poboljšanim postupcima zapošljavanja i razvoja rukovoditelja i stručnjaka; and </w:t>
            </w:r>
            <w:r>
              <w:rPr>
                <w:noProof/>
              </w:rPr>
              <w:br/>
            </w:r>
            <w:r>
              <w:rPr>
                <w:rFonts w:eastAsia="Times New Roman"/>
                <w:noProof/>
                <w:color w:val="006100"/>
                <w:sz w:val="18"/>
              </w:rPr>
              <w:t>2) empirijska procjena češke javne službe i modeliranje mogućih scenarija za njezinu reformu i/ili razvoj.</w:t>
            </w:r>
          </w:p>
        </w:tc>
      </w:tr>
      <w:tr w:rsidR="00615E2D" w14:paraId="297B5590" w14:textId="77777777">
        <w:trPr>
          <w:trHeight w:val="945"/>
        </w:trPr>
        <w:tc>
          <w:tcPr>
            <w:tcW w:w="7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2E9D9ED" w14:textId="77777777" w:rsidR="00615E2D" w:rsidRDefault="00C83E46">
            <w:pPr>
              <w:pStyle w:val="P68B1DB1-Normal11"/>
              <w:spacing w:line="240" w:lineRule="auto"/>
              <w:jc w:val="center"/>
              <w:rPr>
                <w:noProof/>
              </w:rPr>
            </w:pPr>
            <w:r>
              <w:rPr>
                <w:noProof/>
              </w:rPr>
              <w:t>216</w:t>
            </w:r>
          </w:p>
        </w:tc>
        <w:tc>
          <w:tcPr>
            <w:tcW w:w="1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505A3915" w14:textId="77777777" w:rsidR="00615E2D" w:rsidRDefault="00C83E46">
            <w:pPr>
              <w:pStyle w:val="P68B1DB1-Normal11"/>
              <w:spacing w:line="240" w:lineRule="auto"/>
              <w:rPr>
                <w:noProof/>
              </w:rPr>
            </w:pPr>
            <w:r>
              <w:rPr>
                <w:noProof/>
              </w:rPr>
              <w:t>Reforma 1.: Povećanje učinkovitosti, usmjerenosti na klijente i primjene načela donošenja odluka na temelju dokaza u javnoj upravi</w:t>
            </w:r>
          </w:p>
        </w:tc>
        <w:tc>
          <w:tcPr>
            <w:tcW w:w="10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04CA842" w14:textId="77777777" w:rsidR="00615E2D" w:rsidRDefault="00C83E46">
            <w:pPr>
              <w:pStyle w:val="P68B1DB1-Normal11"/>
              <w:spacing w:line="240" w:lineRule="auto"/>
              <w:rPr>
                <w:noProof/>
              </w:rPr>
            </w:pPr>
            <w:r>
              <w:rPr>
                <w:noProof/>
              </w:rPr>
              <w:t>Ciljna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7DFA659" w14:textId="77777777" w:rsidR="00615E2D" w:rsidRDefault="00C83E46">
            <w:pPr>
              <w:pStyle w:val="P68B1DB1-Normal11"/>
              <w:spacing w:line="240" w:lineRule="auto"/>
              <w:rPr>
                <w:noProof/>
              </w:rPr>
            </w:pPr>
            <w:r>
              <w:rPr>
                <w:noProof/>
              </w:rPr>
              <w:t xml:space="preserve">Završeno osposobljavanje koje je akreditiralo Ministarstvo unutarnjih poslova o pristupima usmjerenima na klijente za osoblje središnjih, regionalnih ili lokalnih tijela </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9FD6AEB" w14:textId="77777777" w:rsidR="00615E2D" w:rsidRDefault="00615E2D">
            <w:pPr>
              <w:spacing w:line="240" w:lineRule="auto"/>
              <w:rPr>
                <w:rFonts w:eastAsia="Times New Roman"/>
                <w:noProof/>
                <w:color w:val="006100"/>
                <w:sz w:val="18"/>
              </w:rPr>
            </w:pPr>
          </w:p>
        </w:tc>
        <w:tc>
          <w:tcPr>
            <w:tcW w:w="10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9FB70E4" w14:textId="77777777" w:rsidR="00615E2D" w:rsidRDefault="00C83E46">
            <w:pPr>
              <w:pStyle w:val="P68B1DB1-Normal11"/>
              <w:spacing w:line="240" w:lineRule="auto"/>
              <w:rPr>
                <w:noProof/>
              </w:rPr>
            </w:pPr>
            <w:r>
              <w:rPr>
                <w:noProof/>
              </w:rPr>
              <w:t xml:space="preserve">Broj </w:t>
            </w:r>
          </w:p>
        </w:tc>
        <w:tc>
          <w:tcPr>
            <w:tcW w:w="10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E26CB85" w14:textId="77777777" w:rsidR="00615E2D" w:rsidRDefault="00C83E46">
            <w:pPr>
              <w:pStyle w:val="P68B1DB1-Normal11"/>
              <w:spacing w:line="240" w:lineRule="auto"/>
              <w:jc w:val="center"/>
              <w:rPr>
                <w:noProof/>
              </w:rPr>
            </w:pPr>
            <w:r>
              <w:rPr>
                <w:noProof/>
              </w:rPr>
              <w:t>0</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5A8E59" w14:textId="77777777" w:rsidR="00615E2D" w:rsidRDefault="00C83E46">
            <w:pPr>
              <w:pStyle w:val="P68B1DB1-Normal11"/>
              <w:spacing w:line="240" w:lineRule="auto"/>
              <w:jc w:val="center"/>
              <w:rPr>
                <w:noProof/>
              </w:rPr>
            </w:pPr>
            <w:r>
              <w:rPr>
                <w:noProof/>
              </w:rPr>
              <w:t>1000</w:t>
            </w:r>
          </w:p>
        </w:tc>
        <w:tc>
          <w:tcPr>
            <w:tcW w:w="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A13CECA" w14:textId="77777777" w:rsidR="00615E2D" w:rsidRDefault="00C83E46">
            <w:pPr>
              <w:pStyle w:val="P68B1DB1-Normal11"/>
              <w:spacing w:line="240" w:lineRule="auto"/>
              <w:jc w:val="center"/>
              <w:rPr>
                <w:noProof/>
              </w:rPr>
            </w:pPr>
            <w:r>
              <w:rPr>
                <w:noProof/>
              </w:rPr>
              <w:t>ČETVRTO TROMJESEČJE</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4F0E8F0" w14:textId="77777777" w:rsidR="00615E2D" w:rsidRDefault="00C83E46">
            <w:pPr>
              <w:pStyle w:val="P68B1DB1-Normal11"/>
              <w:spacing w:line="240" w:lineRule="auto"/>
              <w:jc w:val="center"/>
              <w:rPr>
                <w:noProof/>
              </w:rPr>
            </w:pPr>
            <w:r>
              <w:rPr>
                <w:noProof/>
              </w:rPr>
              <w:t>2025</w:t>
            </w:r>
          </w:p>
        </w:tc>
        <w:tc>
          <w:tcPr>
            <w:tcW w:w="45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924F297" w14:textId="47734CB8" w:rsidR="00615E2D" w:rsidRDefault="00C83E46">
            <w:pPr>
              <w:pStyle w:val="P68B1DB1-Normal11"/>
              <w:spacing w:line="240" w:lineRule="auto"/>
              <w:rPr>
                <w:noProof/>
              </w:rPr>
            </w:pPr>
            <w:r>
              <w:rPr>
                <w:noProof/>
              </w:rPr>
              <w:t>Dovršava se ciljani program osposobljavanja za osoblje izvršnih ureda središnjih, regionalnih ili lokalnih tijela u pogledu pristupa usmjerenog na klijente. Program osposobljavanja provodi se na razini okruga u malim skupinama od najviše 20 službenika i usmjeren je na stjecanje vještina u oglednim situacijama. Program osposobljavanja akreditira Ministarstvo unutarnjih poslova i besplatan je za sve sudionike.</w:t>
            </w:r>
          </w:p>
        </w:tc>
      </w:tr>
    </w:tbl>
    <w:p w14:paraId="7B8E2C75" w14:textId="77777777" w:rsidR="00615E2D" w:rsidRDefault="00615E2D">
      <w:pPr>
        <w:spacing w:line="240" w:lineRule="auto"/>
        <w:jc w:val="both"/>
        <w:rPr>
          <w:b/>
          <w:noProof/>
          <w:u w:val="single"/>
        </w:rPr>
      </w:pPr>
    </w:p>
    <w:p w14:paraId="184C78B8" w14:textId="77777777" w:rsidR="00615E2D" w:rsidRDefault="00615E2D">
      <w:pPr>
        <w:keepNext/>
        <w:tabs>
          <w:tab w:val="left" w:pos="850"/>
        </w:tabs>
        <w:spacing w:before="360" w:line="240" w:lineRule="auto"/>
        <w:jc w:val="both"/>
        <w:outlineLvl w:val="0"/>
        <w:rPr>
          <w:b/>
          <w:smallCaps/>
          <w:noProof/>
        </w:rPr>
        <w:sectPr w:rsidR="00615E2D" w:rsidSect="00997F50">
          <w:headerReference w:type="even" r:id="rId360"/>
          <w:headerReference w:type="default" r:id="rId361"/>
          <w:footerReference w:type="even" r:id="rId362"/>
          <w:footerReference w:type="default" r:id="rId363"/>
          <w:headerReference w:type="first" r:id="rId364"/>
          <w:footerReference w:type="first" r:id="rId365"/>
          <w:pgSz w:w="16839" w:h="11907" w:orient="landscape"/>
          <w:pgMar w:top="1134" w:right="1134" w:bottom="1134" w:left="1134" w:header="567" w:footer="567" w:gutter="0"/>
          <w:cols w:space="720"/>
          <w:docGrid w:linePitch="326"/>
        </w:sectPr>
      </w:pPr>
    </w:p>
    <w:p w14:paraId="48BFFA31" w14:textId="5AF191B9" w:rsidR="00615E2D" w:rsidRDefault="00C83E46">
      <w:pPr>
        <w:pStyle w:val="P68B1DB1-Normal2"/>
        <w:keepNext/>
        <w:tabs>
          <w:tab w:val="left" w:pos="850"/>
        </w:tabs>
        <w:spacing w:line="240" w:lineRule="auto"/>
        <w:jc w:val="both"/>
        <w:outlineLvl w:val="0"/>
        <w:rPr>
          <w:rFonts w:eastAsia="Times New Roman"/>
          <w:noProof/>
        </w:rPr>
      </w:pPr>
      <w:r>
        <w:rPr>
          <w:noProof/>
        </w:rPr>
        <w:t xml:space="preserve">Y. SASTAVNI DIO 4.5.: Razvoj kulturnog i kreativnog sektora </w:t>
      </w:r>
    </w:p>
    <w:p w14:paraId="07EE115B" w14:textId="77777777" w:rsidR="00615E2D" w:rsidRDefault="00C83E46">
      <w:pPr>
        <w:pStyle w:val="P68B1DB1-Normal3"/>
        <w:spacing w:line="240" w:lineRule="auto"/>
        <w:jc w:val="both"/>
        <w:rPr>
          <w:noProof/>
          <w:color w:val="000000"/>
          <w:highlight w:val="white"/>
        </w:rPr>
      </w:pPr>
      <w:r>
        <w:rPr>
          <w:noProof/>
        </w:rPr>
        <w:t xml:space="preserve">Tom komponentom češkog plana za oporavak i otpornost nastoji se poduprijeti oporavak kulturnog i kreativnog sektora, koji su teško pogođeni pandemijom bolesti COVID-19, a istodobno ga učiniti čvrstim dijelom ukupnog gospodarskog i socijalnog oporavka Češke. Komponentom se također potiče digitalna transformacija u </w:t>
      </w:r>
      <w:r>
        <w:rPr>
          <w:noProof/>
          <w:color w:val="000000"/>
          <w:highlight w:val="white"/>
        </w:rPr>
        <w:t>kulturnom i kreativnom sektoru te njihova učinkovita integracija u češki inovacijski ekosustav. Nadalje, cilj</w:t>
      </w:r>
      <w:r>
        <w:rPr>
          <w:noProof/>
        </w:rPr>
        <w:t>mu je ojačati otpornost kulturnog i kreativnog sektora uvođenjem statusa „umjetnika” u zakonodavstvo i ulaganjem u vještine umjetnika i kulturnih djelatnika kako bi se potaknula njihova prilagodljivost novim, posebno digitalnim, radnim okruženjima. Komponenta uključuje mjere usmjerene na ponovno pokretanje aktivnosti povezanih s kulturom i turizmom u regijama, čime se doprinosi regionalnoj koheziji.</w:t>
      </w:r>
    </w:p>
    <w:p w14:paraId="531C8495" w14:textId="77777777" w:rsidR="00615E2D" w:rsidRDefault="00C83E46">
      <w:pPr>
        <w:pStyle w:val="P68B1DB1-Normal3"/>
        <w:spacing w:line="240" w:lineRule="auto"/>
        <w:jc w:val="both"/>
        <w:rPr>
          <w:noProof/>
        </w:rPr>
      </w:pPr>
      <w:r>
        <w:rPr>
          <w:noProof/>
        </w:rPr>
        <w:t>Komponentom se podupire odgovor na 3. preporuku iz 2019., u skladu s kojom će Češka ukloniti prepreke razvoju potpuno funkcionalnog inovacijskog ekosustava, i 2. preporuke za pojedinu zemlju, u skladu s kojom će Češka podupirati zapošljavanje aktivnim politikama tržišta rada, pružanjem vještina, uključujući digitalne vještine, i pristupom digitalnom učenju.</w:t>
      </w:r>
    </w:p>
    <w:p w14:paraId="7C64C2E8" w14:textId="372BDF6F" w:rsidR="00615E2D" w:rsidRDefault="00C83E46">
      <w:pPr>
        <w:pStyle w:val="P68B1DB1-Normal3"/>
        <w:spacing w:line="240" w:lineRule="auto"/>
        <w:jc w:val="both"/>
        <w:rPr>
          <w:noProof/>
        </w:rPr>
      </w:pPr>
      <w:r>
        <w:rPr>
          <w:noProof/>
        </w:rPr>
        <w:t>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w:t>
      </w:r>
    </w:p>
    <w:p w14:paraId="4096381D" w14:textId="4C594F9C" w:rsidR="00615E2D" w:rsidRDefault="00C83E46">
      <w:pPr>
        <w:pStyle w:val="P68B1DB1-Normal32"/>
        <w:spacing w:line="240" w:lineRule="auto"/>
        <w:jc w:val="both"/>
        <w:rPr>
          <w:noProof/>
        </w:rPr>
      </w:pPr>
      <w:r>
        <w:rPr>
          <w:noProof/>
        </w:rPr>
        <w:t>Y.1. Opis reformi i ulaganja za programe bespovratne financijske potpore</w:t>
      </w:r>
    </w:p>
    <w:p w14:paraId="5DF397DC" w14:textId="77777777" w:rsidR="00615E2D" w:rsidRDefault="00C83E46">
      <w:pPr>
        <w:pStyle w:val="P68B1DB1-Normal26"/>
        <w:spacing w:line="240" w:lineRule="auto"/>
        <w:jc w:val="both"/>
        <w:rPr>
          <w:noProof/>
        </w:rPr>
      </w:pPr>
      <w:r>
        <w:rPr>
          <w:noProof/>
        </w:rPr>
        <w:t>Reforma 1.: Status umjetnika</w:t>
      </w:r>
    </w:p>
    <w:p w14:paraId="6515BF44" w14:textId="77777777" w:rsidR="00615E2D" w:rsidRDefault="00C83E46">
      <w:pPr>
        <w:pStyle w:val="P68B1DB1-Normal3"/>
        <w:spacing w:line="240" w:lineRule="auto"/>
        <w:jc w:val="both"/>
        <w:rPr>
          <w:noProof/>
        </w:rPr>
      </w:pPr>
      <w:r>
        <w:rPr>
          <w:noProof/>
        </w:rPr>
        <w:t xml:space="preserve">Reformom će se riješiti pitanje nepostojanja odgovarajućeg regulatornog okruženja za umjetnike: to je pogoršalo negativan učinak pandemije bolesti COVID-19 na kulturne i kreativne djelatnike koji su poslovali u nesigurnim radnim uvjetima, izvan mreže socijalne sigurnosti. Novim zakonodavstvom uvodi se status „umjetnika” s ciljem poboljšanja i stabilizacije radnih uvjeta umjetnika i kulturnih djelatnika te povećanja otpornosti sektora. Zakonodavstvo se dopunjuje metodološkim smjernicama usmjerenima na postupanje sa stručnjacima s nesigurnim radnim uvjetima, pravednom uporabom intelektualnog vlasništva i potporom umjetnicima u ranoj karijeri. </w:t>
      </w:r>
    </w:p>
    <w:p w14:paraId="0E578692" w14:textId="77777777" w:rsidR="00615E2D" w:rsidRDefault="00C83E46">
      <w:pPr>
        <w:pStyle w:val="P68B1DB1-Normal3"/>
        <w:spacing w:line="240" w:lineRule="auto"/>
        <w:jc w:val="both"/>
        <w:rPr>
          <w:noProof/>
        </w:rPr>
      </w:pPr>
      <w:r>
        <w:rPr>
          <w:noProof/>
        </w:rPr>
        <w:t xml:space="preserve">Reforma uključuje i uspostavu sveobuhvatnog programa za potporu vještinama kulturnih i kreativnih stručnjaka, posebno digitalnih vještina, financijske pismenosti, upravljačkih vještina, povezivanja kulture i kreativnosti s obrazovanjem te promicanja mobilnosti. Očekuje se da će se programom povećati otpornost kulturnih i kreativnih sektora, potaknuti prilagodljivost kulturnih i kreativnih stručnjaka digitalnim tehnologijama i novim radnim okruženjima te pomoći u obnovi poremećenih mreža suradnje u kulturnom i kreativnom sektoru. </w:t>
      </w:r>
    </w:p>
    <w:p w14:paraId="4ED253F9" w14:textId="77777777" w:rsidR="00615E2D" w:rsidRDefault="00C83E46">
      <w:pPr>
        <w:pStyle w:val="P68B1DB1-Normal3"/>
        <w:spacing w:line="240" w:lineRule="auto"/>
        <w:jc w:val="both"/>
        <w:rPr>
          <w:noProof/>
        </w:rPr>
      </w:pPr>
      <w:r>
        <w:rPr>
          <w:noProof/>
        </w:rPr>
        <w:t>Reforma mora biti dovršena do 31. prosinca 2025.</w:t>
      </w:r>
    </w:p>
    <w:p w14:paraId="75EC557D" w14:textId="77777777" w:rsidR="00615E2D" w:rsidRDefault="00C83E46">
      <w:pPr>
        <w:pStyle w:val="P68B1DB1-Normal3"/>
        <w:spacing w:line="240" w:lineRule="auto"/>
        <w:jc w:val="both"/>
        <w:rPr>
          <w:b/>
          <w:noProof/>
        </w:rPr>
      </w:pPr>
      <w:r>
        <w:rPr>
          <w:b/>
          <w:noProof/>
        </w:rPr>
        <w:t>Reforma br. 2: Zakonodavna reforma kojom se uvodi financiranje kulturnih institucija iz više izvora</w:t>
      </w:r>
      <w:r>
        <w:rPr>
          <w:noProof/>
        </w:rPr>
        <w:t xml:space="preserve"> </w:t>
      </w:r>
    </w:p>
    <w:p w14:paraId="06989B0B" w14:textId="27DA7947" w:rsidR="00615E2D" w:rsidRDefault="00C83E46">
      <w:pPr>
        <w:pStyle w:val="P68B1DB1-Normal3"/>
        <w:spacing w:line="240" w:lineRule="auto"/>
        <w:jc w:val="both"/>
        <w:rPr>
          <w:noProof/>
        </w:rPr>
      </w:pPr>
      <w:r>
        <w:rPr>
          <w:noProof/>
        </w:rPr>
        <w:t>Cilj je te reforme potaknuti financijsku stabilnost i održivost kulturnih institucija. Sastoji se od zakonodavne reforme kojom će se uvesti kooperativno financiranje kulturnih institucija iz više izvora, čime se povećava njihova financijska otpornost. Reformom se pojednostavnjuje suradnja između gradova, regija i države u financiranju kulturnih institucija u Češkoj te se utvrđuju uvjeti za uključivanje privatnog financiranja. Reforma uključuje i regionalno i nacionalno mapiranje kulturnih i kreativnih sektora.</w:t>
      </w:r>
    </w:p>
    <w:p w14:paraId="2780A793" w14:textId="77777777" w:rsidR="00615E2D" w:rsidRDefault="00C83E46">
      <w:pPr>
        <w:pStyle w:val="P68B1DB1-Normal3"/>
        <w:spacing w:line="240" w:lineRule="auto"/>
        <w:jc w:val="both"/>
        <w:rPr>
          <w:noProof/>
        </w:rPr>
      </w:pPr>
      <w:r>
        <w:rPr>
          <w:noProof/>
        </w:rPr>
        <w:t xml:space="preserve">Reforma mora biti dovršena do 31. prosinca 2024. </w:t>
      </w:r>
    </w:p>
    <w:p w14:paraId="0DA97D2F" w14:textId="77777777" w:rsidR="00615E2D" w:rsidRDefault="00C83E46">
      <w:pPr>
        <w:pStyle w:val="P68B1DB1-Normal26"/>
        <w:spacing w:line="240" w:lineRule="auto"/>
        <w:jc w:val="both"/>
        <w:rPr>
          <w:noProof/>
        </w:rPr>
      </w:pPr>
      <w:r>
        <w:rPr>
          <w:noProof/>
        </w:rPr>
        <w:t>Ulaganje 1: Razvoj regionalnih kulturnih i kreativnih sektora</w:t>
      </w:r>
    </w:p>
    <w:p w14:paraId="3A343231" w14:textId="77777777" w:rsidR="00615E2D" w:rsidRDefault="00C83E46">
      <w:pPr>
        <w:pStyle w:val="P68B1DB1-Normal3"/>
        <w:spacing w:line="240" w:lineRule="auto"/>
        <w:jc w:val="both"/>
        <w:rPr>
          <w:noProof/>
        </w:rPr>
      </w:pPr>
      <w:r>
        <w:rPr>
          <w:noProof/>
        </w:rPr>
        <w:t xml:space="preserve">Glavni je cilj osigurati pravedan razvoj kulturnih i kreativnih sektora na cijelom državnom području Češke. Cilj je ulaganja stvaranje 15 kulturnih i kreativnih centara koji promiču veze između kulture, kreativnih industrija i regionalnih inovacijskih ekosustava. Ulaganja koriste regijama i područjima u strukturno nepovoljnom položaju koja su pogođena nedostatkom kulturne infrastrukture, čime se potiče teritorijalna kohezija. Prednost se daje projektima kojima se revitaliziraju postojeći predmeti, doprinosi obnovi kulturne baštine ili proširuju funkcije postojećih kulturnih institucija. Ulaganje uključuje potporu pripremi projekata i razvoju regionalnih strateških dokumenata u vezi s kulturnim i kreativnim sektorima.  </w:t>
      </w:r>
    </w:p>
    <w:p w14:paraId="7F764B87" w14:textId="77777777" w:rsidR="00615E2D" w:rsidRDefault="00C83E46">
      <w:pPr>
        <w:pStyle w:val="P68B1DB1-Normal3"/>
        <w:spacing w:line="240" w:lineRule="auto"/>
        <w:jc w:val="both"/>
        <w:rPr>
          <w:noProof/>
        </w:rPr>
      </w:pPr>
      <w:r>
        <w:rPr>
          <w:noProof/>
        </w:rPr>
        <w:t>Ulaganje mora biti dovršeno do 31. prosinca 2025.</w:t>
      </w:r>
    </w:p>
    <w:p w14:paraId="783C700D" w14:textId="77777777" w:rsidR="00615E2D" w:rsidRDefault="00C83E46">
      <w:pPr>
        <w:pStyle w:val="P68B1DB1-Normal26"/>
        <w:spacing w:line="240" w:lineRule="auto"/>
        <w:jc w:val="both"/>
        <w:rPr>
          <w:noProof/>
        </w:rPr>
      </w:pPr>
      <w:r>
        <w:rPr>
          <w:noProof/>
        </w:rPr>
        <w:t>Ulaganje 2: Digitalizacija kulturnog i kreativnog sektora</w:t>
      </w:r>
    </w:p>
    <w:p w14:paraId="41A3A639" w14:textId="77777777" w:rsidR="00615E2D" w:rsidRDefault="00C83E46">
      <w:pPr>
        <w:pStyle w:val="P68B1DB1-Normal3"/>
        <w:spacing w:line="240" w:lineRule="auto"/>
        <w:jc w:val="both"/>
        <w:rPr>
          <w:noProof/>
        </w:rPr>
      </w:pPr>
      <w:r>
        <w:rPr>
          <w:noProof/>
        </w:rPr>
        <w:t xml:space="preserve">Cilj je poduprijeti digitalizaciju kulturnog sadržaja kako bi se osiguralo njegovo očuvanje i poboljšala njegova dostupnost. Ulaganje se odnosi na nisku razinu digitalizacije kulturnog sadržaja u Češkoj i nedostatak sveobuhvatne metodologije i razmjene dobre prakse u tom području. To se postiže: </w:t>
      </w:r>
    </w:p>
    <w:p w14:paraId="3E2CAA28" w14:textId="77777777" w:rsidR="00615E2D" w:rsidRDefault="00C83E46">
      <w:pPr>
        <w:pStyle w:val="P68B1DB1-Normal4"/>
        <w:numPr>
          <w:ilvl w:val="0"/>
          <w:numId w:val="171"/>
        </w:numPr>
        <w:pBdr>
          <w:top w:val="nil"/>
          <w:left w:val="nil"/>
          <w:bottom w:val="nil"/>
          <w:right w:val="nil"/>
          <w:between w:val="nil"/>
        </w:pBdr>
        <w:spacing w:line="259" w:lineRule="auto"/>
        <w:ind w:left="360"/>
        <w:jc w:val="both"/>
        <w:rPr>
          <w:noProof/>
        </w:rPr>
      </w:pPr>
      <w:r>
        <w:rPr>
          <w:noProof/>
        </w:rPr>
        <w:t>program bespovratnih sredstava za potporu najmanje 80 projekata digitalizacije kulturnog sadržaja, pri čemu se prednost daje projektima kojima se omogućuje dijeljenje opreme i kapaciteta;</w:t>
      </w:r>
    </w:p>
    <w:p w14:paraId="52888504" w14:textId="77777777" w:rsidR="00615E2D" w:rsidRDefault="00C83E46">
      <w:pPr>
        <w:pStyle w:val="P68B1DB1-Normal4"/>
        <w:numPr>
          <w:ilvl w:val="0"/>
          <w:numId w:val="171"/>
        </w:numPr>
        <w:pBdr>
          <w:top w:val="nil"/>
          <w:left w:val="nil"/>
          <w:bottom w:val="nil"/>
          <w:right w:val="nil"/>
          <w:between w:val="nil"/>
        </w:pBdr>
        <w:spacing w:line="259" w:lineRule="auto"/>
        <w:ind w:left="360"/>
        <w:jc w:val="both"/>
        <w:rPr>
          <w:noProof/>
        </w:rPr>
      </w:pPr>
      <w:r>
        <w:rPr>
          <w:noProof/>
        </w:rPr>
        <w:t>razvoj metodologije za olakšavanje digitalizacije kulturnog sadržaja u knjižnicama, muzejima i drugim kulturnim institucijama;</w:t>
      </w:r>
    </w:p>
    <w:p w14:paraId="5A63C50A" w14:textId="77777777" w:rsidR="00615E2D" w:rsidRDefault="00C83E46">
      <w:pPr>
        <w:pStyle w:val="P68B1DB1-Normal4"/>
        <w:numPr>
          <w:ilvl w:val="0"/>
          <w:numId w:val="171"/>
        </w:numPr>
        <w:pBdr>
          <w:top w:val="nil"/>
          <w:left w:val="nil"/>
          <w:bottom w:val="nil"/>
          <w:right w:val="nil"/>
          <w:between w:val="nil"/>
        </w:pBdr>
        <w:spacing w:line="259" w:lineRule="auto"/>
        <w:ind w:left="360"/>
        <w:jc w:val="both"/>
        <w:rPr>
          <w:noProof/>
        </w:rPr>
      </w:pPr>
      <w:r>
        <w:rPr>
          <w:noProof/>
        </w:rPr>
        <w:t xml:space="preserve">digitalizacija sustava dodjele bespovratnih sredstava Ministarstva kulture, čime će se omogućiti učinkovito upravljanje zahtjevima. </w:t>
      </w:r>
    </w:p>
    <w:p w14:paraId="408B01A0" w14:textId="77777777" w:rsidR="00615E2D" w:rsidRDefault="00C83E46">
      <w:pPr>
        <w:pStyle w:val="P68B1DB1-Normal3"/>
        <w:spacing w:line="240" w:lineRule="auto"/>
        <w:jc w:val="both"/>
        <w:rPr>
          <w:noProof/>
        </w:rPr>
      </w:pPr>
      <w:r>
        <w:rPr>
          <w:noProof/>
        </w:rPr>
        <w:t>Ulaganje mora biti dovršeno do 31. prosinca 2025.</w:t>
      </w:r>
    </w:p>
    <w:p w14:paraId="2FCA2DAB" w14:textId="77777777" w:rsidR="00615E2D" w:rsidRDefault="00C83E46">
      <w:pPr>
        <w:pStyle w:val="P68B1DB1-Normal26"/>
        <w:spacing w:line="240" w:lineRule="auto"/>
        <w:jc w:val="both"/>
        <w:rPr>
          <w:noProof/>
        </w:rPr>
      </w:pPr>
      <w:r>
        <w:rPr>
          <w:noProof/>
        </w:rPr>
        <w:t>Ulaganje 3: Kreativni vaučeri</w:t>
      </w:r>
    </w:p>
    <w:p w14:paraId="7A46CB17" w14:textId="77777777" w:rsidR="00615E2D" w:rsidRDefault="00C83E46">
      <w:pPr>
        <w:pStyle w:val="P68B1DB1-Normal3"/>
        <w:spacing w:line="240" w:lineRule="auto"/>
        <w:jc w:val="both"/>
        <w:rPr>
          <w:noProof/>
        </w:rPr>
      </w:pPr>
      <w:r>
        <w:rPr>
          <w:noProof/>
        </w:rPr>
        <w:t xml:space="preserve">Cilj je ulaganja promicanje inovacija povezivanjem MSP-ova i novih kreativnih sektora. Vanjske usluge kreativnih stručnjaka mogu pomoći MSP-ovima da inoviraju svoje postprodukcijske usluge i brzo odgovore na zahtjeve tržišta, čime se podupire njihova konkurentnost. Ulaganje se ostvaruje s pomoću programa vaučera za potporu neobvezujućim inovacijama u MSP-ovima, kao što su dizajn internetskih stranica, dizajn proizvoda i usluga, grafički dizajn ili marketinške strategije. MSP-ovima se dodjeljuje najmanje 3000 kreativnih vaučera u tri uzastopna poziva (2022. – 2024.). Osim toga, najmanje 300 projektnih kredita dodjeljuje se MSP-ovima u okviru dopunskog programa kojim se podupiru aktivnosti promicanja izvoza i savjetovanja u osmišljavanju. Dodjela vaučera MSP-ovima usmjerena je na jednaku raspodjelu među regijama, a kreativni stručnjaci ograničeni su na pružanje usluga najviše trima MSP-ovima kako bi se izbjegla koncentracija u velikim kreativnim i oglašivačkim poduzećima. Ulaganje uključuje uspostavu kreativne galerije koja služi provedbi i upravljanju programom vaučera te kao šira komunikacijska platforma za kulturni i kreativni sektor. Program vaučera temelji se na uspješnom lokalnom programu organiziranom u južnoj Moraviji. </w:t>
      </w:r>
    </w:p>
    <w:p w14:paraId="08EA269F" w14:textId="77777777" w:rsidR="00615E2D" w:rsidRDefault="00C83E46">
      <w:pPr>
        <w:pStyle w:val="P68B1DB1-Normal3"/>
        <w:spacing w:line="240" w:lineRule="auto"/>
        <w:jc w:val="both"/>
        <w:rPr>
          <w:noProof/>
        </w:rPr>
      </w:pPr>
      <w:r>
        <w:rPr>
          <w:noProof/>
        </w:rPr>
        <w:t>Ulaganje mora biti dovršeno do 31. prosinca 2025.</w:t>
      </w:r>
    </w:p>
    <w:p w14:paraId="19D85F95" w14:textId="77777777" w:rsidR="00615E2D" w:rsidRDefault="00615E2D">
      <w:pPr>
        <w:spacing w:line="240" w:lineRule="auto"/>
        <w:jc w:val="both"/>
        <w:rPr>
          <w:rFonts w:eastAsia="Times New Roman"/>
          <w:noProof/>
        </w:rPr>
        <w:sectPr w:rsidR="00615E2D" w:rsidSect="00997F50">
          <w:headerReference w:type="even" r:id="rId366"/>
          <w:headerReference w:type="default" r:id="rId367"/>
          <w:footerReference w:type="even" r:id="rId368"/>
          <w:footerReference w:type="default" r:id="rId369"/>
          <w:headerReference w:type="first" r:id="rId370"/>
          <w:footerReference w:type="first" r:id="rId371"/>
          <w:pgSz w:w="11907" w:h="16839"/>
          <w:pgMar w:top="1134" w:right="1134" w:bottom="1134" w:left="1134" w:header="567" w:footer="567" w:gutter="0"/>
          <w:cols w:space="720"/>
          <w:docGrid w:linePitch="326"/>
        </w:sectPr>
      </w:pPr>
    </w:p>
    <w:p w14:paraId="131597AF" w14:textId="32A5A487" w:rsidR="00615E2D" w:rsidRDefault="00C83E46">
      <w:pPr>
        <w:pStyle w:val="P68B1DB1-Normal33"/>
        <w:pBdr>
          <w:top w:val="nil"/>
          <w:left w:val="nil"/>
          <w:bottom w:val="nil"/>
          <w:right w:val="nil"/>
          <w:between w:val="nil"/>
        </w:pBdr>
        <w:tabs>
          <w:tab w:val="left" w:pos="993"/>
        </w:tabs>
        <w:spacing w:line="240" w:lineRule="auto"/>
        <w:jc w:val="both"/>
        <w:rPr>
          <w:noProof/>
          <w:color w:val="000000"/>
        </w:rPr>
      </w:pPr>
      <w:r>
        <w:rPr>
          <w:noProof/>
        </w:rPr>
        <w:t xml:space="preserve">Y.2. Ključne etape, ciljne vrijednosti i vremenski raspored za praćenje i provedbu programa bespovratne financijske potpore </w:t>
      </w:r>
    </w:p>
    <w:tbl>
      <w:tblPr>
        <w:tblW w:w="0" w:type="auto"/>
        <w:jc w:val="center"/>
        <w:tblLayout w:type="fixed"/>
        <w:tblLook w:val="04A0" w:firstRow="1" w:lastRow="0" w:firstColumn="1" w:lastColumn="0" w:noHBand="0" w:noVBand="1"/>
      </w:tblPr>
      <w:tblGrid>
        <w:gridCol w:w="675"/>
        <w:gridCol w:w="1165"/>
        <w:gridCol w:w="1077"/>
        <w:gridCol w:w="1560"/>
        <w:gridCol w:w="1559"/>
        <w:gridCol w:w="1077"/>
        <w:gridCol w:w="1077"/>
        <w:gridCol w:w="709"/>
        <w:gridCol w:w="850"/>
        <w:gridCol w:w="608"/>
        <w:gridCol w:w="4745"/>
      </w:tblGrid>
      <w:tr w:rsidR="00615E2D" w14:paraId="669931F3" w14:textId="77777777">
        <w:trPr>
          <w:trHeight w:val="107"/>
          <w:tblHeader/>
          <w:jc w:val="center"/>
        </w:trPr>
        <w:tc>
          <w:tcPr>
            <w:tcW w:w="675" w:type="dxa"/>
            <w:vMerge w:val="restart"/>
            <w:tcBorders>
              <w:top w:val="single" w:sz="4" w:space="0" w:color="auto"/>
              <w:left w:val="single" w:sz="4" w:space="0" w:color="auto"/>
              <w:bottom w:val="single" w:sz="4" w:space="0" w:color="auto"/>
              <w:right w:val="single" w:sz="8" w:space="0" w:color="auto"/>
            </w:tcBorders>
            <w:shd w:val="clear" w:color="auto" w:fill="BDD7EE"/>
            <w:vAlign w:val="center"/>
          </w:tcPr>
          <w:p w14:paraId="3E68C9C6" w14:textId="77777777" w:rsidR="00615E2D" w:rsidRDefault="00C83E46">
            <w:pPr>
              <w:pStyle w:val="P68B1DB1-Normal27"/>
              <w:spacing w:line="240" w:lineRule="auto"/>
              <w:jc w:val="center"/>
              <w:rPr>
                <w:noProof/>
              </w:rPr>
            </w:pPr>
            <w:r>
              <w:rPr>
                <w:noProof/>
              </w:rPr>
              <w:t>Sljedeće NUM.</w:t>
            </w:r>
          </w:p>
        </w:tc>
        <w:tc>
          <w:tcPr>
            <w:tcW w:w="1165"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14:paraId="5511896B" w14:textId="77777777" w:rsidR="00615E2D" w:rsidRDefault="00C83E46">
            <w:pPr>
              <w:pStyle w:val="P68B1DB1-Normal9"/>
              <w:spacing w:line="240" w:lineRule="auto"/>
              <w:jc w:val="center"/>
              <w:rPr>
                <w:noProof/>
              </w:rPr>
            </w:pPr>
            <w:r>
              <w:rPr>
                <w:noProof/>
              </w:rPr>
              <w:t xml:space="preserve">Povezana mjera (reforma ili ulaganje) </w:t>
            </w:r>
          </w:p>
        </w:tc>
        <w:tc>
          <w:tcPr>
            <w:tcW w:w="1077"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14:paraId="1CD1BB92" w14:textId="77777777" w:rsidR="00615E2D" w:rsidRDefault="00C83E46">
            <w:pPr>
              <w:pStyle w:val="P68B1DB1-Normal9"/>
              <w:spacing w:line="240" w:lineRule="auto"/>
              <w:jc w:val="center"/>
              <w:rPr>
                <w:noProof/>
              </w:rPr>
            </w:pPr>
            <w:r>
              <w:rPr>
                <w:noProof/>
              </w:rPr>
              <w:t xml:space="preserve">Ključna etapa/ciljna vrijednost </w:t>
            </w:r>
          </w:p>
        </w:tc>
        <w:tc>
          <w:tcPr>
            <w:tcW w:w="1560" w:type="dxa"/>
            <w:vMerge w:val="restart"/>
            <w:tcBorders>
              <w:top w:val="single" w:sz="4" w:space="0" w:color="auto"/>
              <w:left w:val="single" w:sz="8" w:space="0" w:color="auto"/>
              <w:bottom w:val="single" w:sz="4" w:space="0" w:color="auto"/>
              <w:right w:val="single" w:sz="8" w:space="0" w:color="auto"/>
            </w:tcBorders>
            <w:shd w:val="clear" w:color="auto" w:fill="BDD7EE"/>
            <w:vAlign w:val="center"/>
          </w:tcPr>
          <w:p w14:paraId="35158085" w14:textId="77777777" w:rsidR="00615E2D" w:rsidRDefault="00C83E46">
            <w:pPr>
              <w:pStyle w:val="P68B1DB1-Normal9"/>
              <w:spacing w:line="240" w:lineRule="auto"/>
              <w:jc w:val="center"/>
              <w:rPr>
                <w:noProof/>
              </w:rPr>
            </w:pPr>
            <w:r>
              <w:rPr>
                <w:noProof/>
              </w:rPr>
              <w:t xml:space="preserve">Ime </w:t>
            </w:r>
          </w:p>
        </w:tc>
        <w:tc>
          <w:tcPr>
            <w:tcW w:w="1559" w:type="dxa"/>
            <w:vMerge w:val="restart"/>
            <w:tcBorders>
              <w:top w:val="single" w:sz="4" w:space="0" w:color="auto"/>
              <w:left w:val="single" w:sz="8" w:space="0" w:color="auto"/>
              <w:bottom w:val="single" w:sz="4" w:space="0" w:color="auto"/>
              <w:right w:val="single" w:sz="4" w:space="0" w:color="auto"/>
            </w:tcBorders>
            <w:shd w:val="clear" w:color="auto" w:fill="BDD7EE"/>
            <w:vAlign w:val="center"/>
          </w:tcPr>
          <w:p w14:paraId="14F035CD"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1077" w:type="dxa"/>
            <w:gridSpan w:val="3"/>
            <w:tcBorders>
              <w:top w:val="single" w:sz="8" w:space="0" w:color="auto"/>
              <w:left w:val="single" w:sz="4" w:space="0" w:color="auto"/>
              <w:bottom w:val="single" w:sz="8" w:space="0" w:color="auto"/>
              <w:right w:val="single" w:sz="8" w:space="0" w:color="000000"/>
            </w:tcBorders>
            <w:shd w:val="clear" w:color="auto" w:fill="BDD7EE"/>
            <w:vAlign w:val="center"/>
          </w:tcPr>
          <w:p w14:paraId="5E4CB7E3"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1458" w:type="dxa"/>
            <w:gridSpan w:val="2"/>
            <w:tcBorders>
              <w:top w:val="single" w:sz="8" w:space="0" w:color="auto"/>
              <w:left w:val="nil"/>
              <w:bottom w:val="single" w:sz="8" w:space="0" w:color="auto"/>
              <w:right w:val="single" w:sz="4" w:space="0" w:color="auto"/>
            </w:tcBorders>
            <w:shd w:val="clear" w:color="auto" w:fill="BDD7EE"/>
            <w:vAlign w:val="center"/>
          </w:tcPr>
          <w:p w14:paraId="40376511" w14:textId="77777777" w:rsidR="00615E2D" w:rsidRDefault="00C83E46">
            <w:pPr>
              <w:pStyle w:val="P68B1DB1-Normal9"/>
              <w:spacing w:line="240" w:lineRule="auto"/>
              <w:jc w:val="center"/>
              <w:rPr>
                <w:noProof/>
              </w:rPr>
            </w:pPr>
            <w:r>
              <w:rPr>
                <w:noProof/>
              </w:rPr>
              <w:t xml:space="preserve">Okvirni vremenski okvir za dovršetak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82D22B5"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34A53610" w14:textId="77777777">
        <w:trPr>
          <w:trHeight w:val="173"/>
          <w:tblHeader/>
          <w:jc w:val="center"/>
        </w:trPr>
        <w:tc>
          <w:tcPr>
            <w:tcW w:w="675" w:type="dxa"/>
            <w:vMerge/>
            <w:tcBorders>
              <w:top w:val="single" w:sz="8" w:space="0" w:color="auto"/>
              <w:left w:val="single" w:sz="4" w:space="0" w:color="auto"/>
              <w:bottom w:val="single" w:sz="4" w:space="0" w:color="auto"/>
              <w:right w:val="single" w:sz="8" w:space="0" w:color="auto"/>
            </w:tcBorders>
            <w:vAlign w:val="center"/>
          </w:tcPr>
          <w:p w14:paraId="1E1E19F6" w14:textId="77777777" w:rsidR="00615E2D" w:rsidRDefault="00615E2D">
            <w:pPr>
              <w:spacing w:line="240" w:lineRule="auto"/>
              <w:jc w:val="center"/>
              <w:rPr>
                <w:noProof/>
                <w:sz w:val="18"/>
              </w:rPr>
            </w:pPr>
          </w:p>
        </w:tc>
        <w:tc>
          <w:tcPr>
            <w:tcW w:w="1165" w:type="dxa"/>
            <w:vMerge/>
            <w:tcBorders>
              <w:top w:val="single" w:sz="8" w:space="0" w:color="auto"/>
              <w:left w:val="single" w:sz="8" w:space="0" w:color="auto"/>
              <w:bottom w:val="single" w:sz="4" w:space="0" w:color="auto"/>
              <w:right w:val="single" w:sz="8" w:space="0" w:color="auto"/>
            </w:tcBorders>
            <w:vAlign w:val="center"/>
          </w:tcPr>
          <w:p w14:paraId="03D6AE50" w14:textId="77777777" w:rsidR="00615E2D" w:rsidRDefault="00615E2D">
            <w:pPr>
              <w:spacing w:line="240" w:lineRule="auto"/>
              <w:jc w:val="center"/>
              <w:rPr>
                <w:noProof/>
                <w:sz w:val="18"/>
              </w:rPr>
            </w:pPr>
          </w:p>
        </w:tc>
        <w:tc>
          <w:tcPr>
            <w:tcW w:w="1077" w:type="dxa"/>
            <w:vMerge/>
            <w:tcBorders>
              <w:top w:val="single" w:sz="8" w:space="0" w:color="auto"/>
              <w:left w:val="single" w:sz="8" w:space="0" w:color="auto"/>
              <w:bottom w:val="single" w:sz="4" w:space="0" w:color="auto"/>
              <w:right w:val="single" w:sz="8" w:space="0" w:color="auto"/>
            </w:tcBorders>
            <w:vAlign w:val="center"/>
          </w:tcPr>
          <w:p w14:paraId="5DE9F286" w14:textId="77777777" w:rsidR="00615E2D" w:rsidRDefault="00615E2D">
            <w:pPr>
              <w:spacing w:line="240" w:lineRule="auto"/>
              <w:jc w:val="center"/>
              <w:rPr>
                <w:noProof/>
                <w:sz w:val="18"/>
              </w:rPr>
            </w:pPr>
          </w:p>
        </w:tc>
        <w:tc>
          <w:tcPr>
            <w:tcW w:w="1560" w:type="dxa"/>
            <w:vMerge/>
            <w:tcBorders>
              <w:top w:val="single" w:sz="8" w:space="0" w:color="auto"/>
              <w:left w:val="single" w:sz="8" w:space="0" w:color="auto"/>
              <w:bottom w:val="single" w:sz="4" w:space="0" w:color="auto"/>
              <w:right w:val="single" w:sz="8" w:space="0" w:color="auto"/>
            </w:tcBorders>
            <w:vAlign w:val="center"/>
          </w:tcPr>
          <w:p w14:paraId="7309F91C" w14:textId="77777777" w:rsidR="00615E2D" w:rsidRDefault="00615E2D">
            <w:pPr>
              <w:spacing w:line="240" w:lineRule="auto"/>
              <w:jc w:val="center"/>
              <w:rPr>
                <w:noProof/>
                <w:sz w:val="18"/>
              </w:rPr>
            </w:pPr>
          </w:p>
        </w:tc>
        <w:tc>
          <w:tcPr>
            <w:tcW w:w="1559" w:type="dxa"/>
            <w:vMerge/>
            <w:tcBorders>
              <w:top w:val="single" w:sz="8" w:space="0" w:color="auto"/>
              <w:left w:val="single" w:sz="8" w:space="0" w:color="auto"/>
              <w:bottom w:val="single" w:sz="4" w:space="0" w:color="auto"/>
              <w:right w:val="single" w:sz="4" w:space="0" w:color="auto"/>
            </w:tcBorders>
            <w:vAlign w:val="center"/>
          </w:tcPr>
          <w:p w14:paraId="60A69FBB" w14:textId="77777777" w:rsidR="00615E2D" w:rsidRDefault="00615E2D">
            <w:pPr>
              <w:spacing w:line="240" w:lineRule="auto"/>
              <w:jc w:val="center"/>
              <w:rPr>
                <w:noProof/>
                <w:sz w:val="18"/>
              </w:rPr>
            </w:pPr>
          </w:p>
        </w:tc>
        <w:tc>
          <w:tcPr>
            <w:tcW w:w="1077" w:type="dxa"/>
            <w:tcBorders>
              <w:top w:val="single" w:sz="8" w:space="0" w:color="auto"/>
              <w:left w:val="single" w:sz="4" w:space="0" w:color="auto"/>
              <w:bottom w:val="single" w:sz="8" w:space="0" w:color="auto"/>
              <w:right w:val="single" w:sz="8" w:space="0" w:color="000000"/>
            </w:tcBorders>
            <w:shd w:val="clear" w:color="auto" w:fill="BDD7EE"/>
            <w:vAlign w:val="center"/>
          </w:tcPr>
          <w:p w14:paraId="734AACCF" w14:textId="77777777" w:rsidR="00615E2D" w:rsidRDefault="00C83E46">
            <w:pPr>
              <w:pStyle w:val="P68B1DB1-Normal9"/>
              <w:spacing w:line="240" w:lineRule="auto"/>
              <w:jc w:val="center"/>
              <w:rPr>
                <w:noProof/>
              </w:rPr>
            </w:pPr>
            <w:r>
              <w:rPr>
                <w:noProof/>
              </w:rPr>
              <w:t>Jedinica mjere</w:t>
            </w:r>
          </w:p>
        </w:tc>
        <w:tc>
          <w:tcPr>
            <w:tcW w:w="1077" w:type="dxa"/>
            <w:tcBorders>
              <w:top w:val="nil"/>
              <w:left w:val="single" w:sz="8" w:space="0" w:color="auto"/>
              <w:bottom w:val="single" w:sz="8" w:space="0" w:color="auto"/>
              <w:right w:val="single" w:sz="8" w:space="0" w:color="auto"/>
            </w:tcBorders>
            <w:shd w:val="clear" w:color="auto" w:fill="BDD7EE"/>
            <w:vAlign w:val="center"/>
          </w:tcPr>
          <w:p w14:paraId="12D48646" w14:textId="77777777" w:rsidR="00615E2D" w:rsidRDefault="00C83E46">
            <w:pPr>
              <w:pStyle w:val="P68B1DB1-Normal9"/>
              <w:spacing w:line="240" w:lineRule="auto"/>
              <w:jc w:val="center"/>
              <w:rPr>
                <w:noProof/>
              </w:rPr>
            </w:pPr>
            <w:r>
              <w:rPr>
                <w:noProof/>
              </w:rPr>
              <w:t>Osnovna vrijednost</w:t>
            </w:r>
          </w:p>
        </w:tc>
        <w:tc>
          <w:tcPr>
            <w:tcW w:w="709" w:type="dxa"/>
            <w:tcBorders>
              <w:top w:val="nil"/>
              <w:left w:val="single" w:sz="8" w:space="0" w:color="auto"/>
              <w:bottom w:val="single" w:sz="8" w:space="0" w:color="auto"/>
              <w:right w:val="single" w:sz="8" w:space="0" w:color="000000"/>
            </w:tcBorders>
            <w:shd w:val="clear" w:color="auto" w:fill="BDD7EE"/>
            <w:vAlign w:val="center"/>
          </w:tcPr>
          <w:p w14:paraId="7E2FF5AE" w14:textId="77777777" w:rsidR="00615E2D" w:rsidRDefault="00C83E46">
            <w:pPr>
              <w:pStyle w:val="P68B1DB1-Normal9"/>
              <w:spacing w:line="240" w:lineRule="auto"/>
              <w:jc w:val="center"/>
              <w:rPr>
                <w:noProof/>
              </w:rPr>
            </w:pPr>
            <w:r>
              <w:rPr>
                <w:noProof/>
              </w:rPr>
              <w:t>Cilj</w:t>
            </w:r>
          </w:p>
        </w:tc>
        <w:tc>
          <w:tcPr>
            <w:tcW w:w="850" w:type="dxa"/>
            <w:tcBorders>
              <w:top w:val="single" w:sz="8" w:space="0" w:color="auto"/>
              <w:left w:val="single" w:sz="8" w:space="0" w:color="auto"/>
              <w:bottom w:val="single" w:sz="8" w:space="0" w:color="auto"/>
              <w:right w:val="single" w:sz="8" w:space="0" w:color="000000"/>
            </w:tcBorders>
            <w:shd w:val="clear" w:color="auto" w:fill="BDD7EE"/>
            <w:vAlign w:val="center"/>
          </w:tcPr>
          <w:p w14:paraId="10F114A4" w14:textId="77777777" w:rsidR="00615E2D" w:rsidRDefault="00C83E46">
            <w:pPr>
              <w:pStyle w:val="P68B1DB1-Normal9"/>
              <w:spacing w:line="240" w:lineRule="auto"/>
              <w:jc w:val="center"/>
              <w:rPr>
                <w:noProof/>
              </w:rPr>
            </w:pPr>
            <w:r>
              <w:rPr>
                <w:noProof/>
              </w:rPr>
              <w:t>Tromjesečje</w:t>
            </w:r>
          </w:p>
        </w:tc>
        <w:tc>
          <w:tcPr>
            <w:tcW w:w="608" w:type="dxa"/>
            <w:tcBorders>
              <w:top w:val="nil"/>
              <w:left w:val="single" w:sz="8" w:space="0" w:color="auto"/>
              <w:bottom w:val="single" w:sz="8" w:space="0" w:color="auto"/>
              <w:right w:val="single" w:sz="4" w:space="0" w:color="auto"/>
            </w:tcBorders>
            <w:shd w:val="clear" w:color="auto" w:fill="BDD7EE"/>
            <w:vAlign w:val="center"/>
          </w:tcPr>
          <w:p w14:paraId="0BB197F2" w14:textId="77777777" w:rsidR="00615E2D" w:rsidRDefault="00C83E46">
            <w:pPr>
              <w:pStyle w:val="P68B1DB1-Normal9"/>
              <w:spacing w:line="240" w:lineRule="auto"/>
              <w:jc w:val="center"/>
              <w:rPr>
                <w:noProof/>
              </w:rPr>
            </w:pPr>
            <w:r>
              <w:rPr>
                <w:noProof/>
              </w:rPr>
              <w:t>Godina</w:t>
            </w:r>
          </w:p>
        </w:tc>
        <w:tc>
          <w:tcPr>
            <w:tcW w:w="4745" w:type="dxa"/>
            <w:vMerge/>
            <w:tcBorders>
              <w:left w:val="single" w:sz="4" w:space="0" w:color="auto"/>
              <w:bottom w:val="single" w:sz="4" w:space="0" w:color="auto"/>
              <w:right w:val="single" w:sz="4" w:space="0" w:color="auto"/>
            </w:tcBorders>
            <w:vAlign w:val="center"/>
          </w:tcPr>
          <w:p w14:paraId="371ED384" w14:textId="77777777" w:rsidR="00615E2D" w:rsidRDefault="00615E2D">
            <w:pPr>
              <w:spacing w:line="240" w:lineRule="auto"/>
              <w:jc w:val="center"/>
              <w:rPr>
                <w:noProof/>
                <w:sz w:val="18"/>
              </w:rPr>
            </w:pPr>
          </w:p>
        </w:tc>
      </w:tr>
      <w:tr w:rsidR="00615E2D" w14:paraId="2CD14BE4" w14:textId="77777777">
        <w:trPr>
          <w:trHeight w:val="9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14:paraId="4117C5C0" w14:textId="77777777" w:rsidR="00615E2D" w:rsidRDefault="00C83E46">
            <w:pPr>
              <w:pStyle w:val="P68B1DB1-Normal16"/>
              <w:spacing w:line="240" w:lineRule="auto"/>
              <w:jc w:val="center"/>
              <w:rPr>
                <w:noProof/>
              </w:rPr>
            </w:pPr>
            <w:r>
              <w:rPr>
                <w:noProof/>
              </w:rPr>
              <w:t>217</w:t>
            </w:r>
          </w:p>
        </w:tc>
        <w:tc>
          <w:tcPr>
            <w:tcW w:w="1165" w:type="dxa"/>
            <w:tcBorders>
              <w:top w:val="single" w:sz="4" w:space="0" w:color="auto"/>
              <w:left w:val="single" w:sz="8" w:space="0" w:color="auto"/>
              <w:bottom w:val="single" w:sz="8" w:space="0" w:color="auto"/>
              <w:right w:val="single" w:sz="8" w:space="0" w:color="auto"/>
            </w:tcBorders>
            <w:shd w:val="clear" w:color="auto" w:fill="C6EFCE"/>
            <w:vAlign w:val="center"/>
          </w:tcPr>
          <w:p w14:paraId="480A2A98" w14:textId="77777777" w:rsidR="00615E2D" w:rsidRDefault="00C83E46">
            <w:pPr>
              <w:pStyle w:val="P68B1DB1-Normal16"/>
              <w:spacing w:line="240" w:lineRule="auto"/>
              <w:rPr>
                <w:noProof/>
              </w:rPr>
            </w:pPr>
            <w:r>
              <w:rPr>
                <w:noProof/>
              </w:rPr>
              <w:t xml:space="preserve">Reforma 1.: Status umjetnika </w:t>
            </w:r>
          </w:p>
        </w:tc>
        <w:tc>
          <w:tcPr>
            <w:tcW w:w="1077" w:type="dxa"/>
            <w:tcBorders>
              <w:top w:val="single" w:sz="4" w:space="0" w:color="auto"/>
              <w:left w:val="single" w:sz="8" w:space="0" w:color="auto"/>
              <w:bottom w:val="single" w:sz="8" w:space="0" w:color="auto"/>
              <w:right w:val="single" w:sz="8" w:space="0" w:color="auto"/>
            </w:tcBorders>
            <w:shd w:val="clear" w:color="auto" w:fill="C6EFCE"/>
            <w:vAlign w:val="center"/>
          </w:tcPr>
          <w:p w14:paraId="4910ECE0" w14:textId="77777777" w:rsidR="00615E2D" w:rsidRDefault="00C83E46">
            <w:pPr>
              <w:pStyle w:val="P68B1DB1-Normal16"/>
              <w:spacing w:line="240" w:lineRule="auto"/>
              <w:rPr>
                <w:noProof/>
              </w:rPr>
            </w:pPr>
            <w:r>
              <w:rPr>
                <w:noProof/>
              </w:rPr>
              <w:t>Prekretnica</w:t>
            </w:r>
          </w:p>
        </w:tc>
        <w:tc>
          <w:tcPr>
            <w:tcW w:w="1560" w:type="dxa"/>
            <w:tcBorders>
              <w:top w:val="single" w:sz="4" w:space="0" w:color="auto"/>
              <w:left w:val="single" w:sz="8" w:space="0" w:color="auto"/>
              <w:bottom w:val="single" w:sz="8" w:space="0" w:color="auto"/>
              <w:right w:val="single" w:sz="8" w:space="0" w:color="auto"/>
            </w:tcBorders>
            <w:shd w:val="clear" w:color="auto" w:fill="C6EFCE"/>
            <w:vAlign w:val="center"/>
          </w:tcPr>
          <w:p w14:paraId="295C172E" w14:textId="77777777" w:rsidR="00615E2D" w:rsidRDefault="00C83E46">
            <w:pPr>
              <w:pStyle w:val="P68B1DB1-Normal16"/>
              <w:spacing w:line="240" w:lineRule="auto"/>
              <w:rPr>
                <w:noProof/>
              </w:rPr>
            </w:pPr>
            <w:r>
              <w:rPr>
                <w:noProof/>
              </w:rPr>
              <w:t>Stupanje na snagu zakona o statusu umjetnika</w:t>
            </w:r>
          </w:p>
        </w:tc>
        <w:tc>
          <w:tcPr>
            <w:tcW w:w="1559" w:type="dxa"/>
            <w:tcBorders>
              <w:top w:val="single" w:sz="4" w:space="0" w:color="auto"/>
              <w:left w:val="single" w:sz="8" w:space="0" w:color="auto"/>
              <w:bottom w:val="single" w:sz="8" w:space="0" w:color="auto"/>
              <w:right w:val="single" w:sz="8" w:space="0" w:color="auto"/>
            </w:tcBorders>
            <w:shd w:val="clear" w:color="auto" w:fill="C6EFCE"/>
            <w:vAlign w:val="center"/>
          </w:tcPr>
          <w:p w14:paraId="4CF21654" w14:textId="77777777" w:rsidR="00615E2D" w:rsidRDefault="00C83E46">
            <w:pPr>
              <w:pStyle w:val="P68B1DB1-Normal16"/>
              <w:spacing w:line="240" w:lineRule="auto"/>
              <w:rPr>
                <w:noProof/>
              </w:rPr>
            </w:pPr>
            <w:r>
              <w:rPr>
                <w:noProof/>
              </w:rPr>
              <w:t>Odredba u zakonu o statusu umjetnika u kojoj se navodi stupanje na snagu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E4F6D74"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826EC48" w14:textId="77777777" w:rsidR="00615E2D" w:rsidRDefault="00615E2D">
            <w:pPr>
              <w:spacing w:line="240" w:lineRule="auto"/>
              <w:jc w:val="center"/>
              <w:rPr>
                <w:noProof/>
                <w:color w:val="004300"/>
                <w:sz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18436ACA" w14:textId="77777777" w:rsidR="00615E2D" w:rsidRDefault="00615E2D">
            <w:pPr>
              <w:spacing w:line="240" w:lineRule="auto"/>
              <w:jc w:val="center"/>
              <w:rPr>
                <w:noProof/>
                <w:color w:val="0043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6D6478AF" w14:textId="77777777" w:rsidR="00615E2D" w:rsidRDefault="00C83E46">
            <w:pPr>
              <w:pStyle w:val="P68B1DB1-Normal16"/>
              <w:spacing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4276BF58" w14:textId="77777777" w:rsidR="00615E2D" w:rsidRDefault="00C83E46">
            <w:pPr>
              <w:pStyle w:val="P68B1DB1-Normal16"/>
              <w:spacing w:line="240" w:lineRule="auto"/>
              <w:jc w:val="center"/>
              <w:rPr>
                <w:noProof/>
              </w:rPr>
            </w:pPr>
            <w:r>
              <w:rPr>
                <w:noProof/>
              </w:rPr>
              <w:t>2025</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14:paraId="609770DA" w14:textId="77777777" w:rsidR="00615E2D" w:rsidRDefault="00C83E46">
            <w:pPr>
              <w:pStyle w:val="P68B1DB1-Normal16"/>
              <w:spacing w:after="0" w:line="259" w:lineRule="auto"/>
              <w:contextualSpacing/>
              <w:rPr>
                <w:noProof/>
              </w:rPr>
            </w:pPr>
            <w:r>
              <w:rPr>
                <w:noProof/>
              </w:rPr>
              <w:t>Zakonom o statusu umjetnika osiguravaju se stabilni radni uvjeti umjetnika i kreativnih djelatnika. Zakonodavstvo se dopunjuje metodološkim materijalima o postupanju sa stručnjacima s nesigurnim radnim uvjetima, pravednom uporabom intelektualnog vlasništva i potporom umjetnicima u prvim fazama njihove karijere.</w:t>
            </w:r>
          </w:p>
        </w:tc>
      </w:tr>
      <w:tr w:rsidR="00615E2D" w14:paraId="715EE866" w14:textId="77777777">
        <w:trPr>
          <w:trHeight w:val="1369"/>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7459247E" w14:textId="77777777" w:rsidR="00615E2D" w:rsidRDefault="00C83E46">
            <w:pPr>
              <w:pStyle w:val="P68B1DB1-Normal16"/>
              <w:spacing w:line="240" w:lineRule="auto"/>
              <w:jc w:val="center"/>
              <w:rPr>
                <w:noProof/>
              </w:rPr>
            </w:pPr>
            <w:r>
              <w:rPr>
                <w:noProof/>
              </w:rPr>
              <w:t>218</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14:paraId="1AD9FE98" w14:textId="77777777" w:rsidR="00615E2D" w:rsidRDefault="00C83E46">
            <w:pPr>
              <w:pStyle w:val="P68B1DB1-Normal16"/>
              <w:spacing w:line="240" w:lineRule="auto"/>
              <w:rPr>
                <w:noProof/>
              </w:rPr>
            </w:pPr>
            <w:r>
              <w:rPr>
                <w:noProof/>
              </w:rPr>
              <w:t>Reforma 1.: Status umjetnika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808DAC5" w14:textId="77777777" w:rsidR="00615E2D" w:rsidRDefault="00C83E46">
            <w:pPr>
              <w:pStyle w:val="P68B1DB1-Normal16"/>
              <w:spacing w:line="240" w:lineRule="auto"/>
              <w:rPr>
                <w:noProof/>
              </w:rPr>
            </w:pPr>
            <w:r>
              <w:rPr>
                <w:noProof/>
              </w:rPr>
              <w:t>Ciljna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46BD9155" w14:textId="77777777" w:rsidR="00615E2D" w:rsidRDefault="00C83E46">
            <w:pPr>
              <w:pStyle w:val="P68B1DB1-Normal16"/>
              <w:spacing w:line="240" w:lineRule="auto"/>
              <w:rPr>
                <w:noProof/>
              </w:rPr>
            </w:pPr>
            <w:r>
              <w:rPr>
                <w:noProof/>
              </w:rPr>
              <w:t>Broj stručnjaka u području kulture i kreativnosti kojima se pruža potpora pružanjem vještina</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717D3494"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B5715A3" w14:textId="77777777" w:rsidR="00615E2D" w:rsidRDefault="00C83E46">
            <w:pPr>
              <w:pStyle w:val="P68B1DB1-Normal16"/>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6E6026F" w14:textId="77777777" w:rsidR="00615E2D" w:rsidRDefault="00C83E46">
            <w:pPr>
              <w:pStyle w:val="P68B1DB1-Normal16"/>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40F8054F" w14:textId="77777777" w:rsidR="00615E2D" w:rsidRDefault="00C83E46">
            <w:pPr>
              <w:pStyle w:val="P68B1DB1-Normal16"/>
              <w:spacing w:line="240" w:lineRule="auto"/>
              <w:jc w:val="center"/>
              <w:rPr>
                <w:noProof/>
              </w:rPr>
            </w:pPr>
            <w:r>
              <w:rPr>
                <w:noProof/>
              </w:rPr>
              <w:t>2000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05F08F41" w14:textId="77777777" w:rsidR="00615E2D" w:rsidRDefault="00C83E46">
            <w:pPr>
              <w:pStyle w:val="P68B1DB1-Normal16"/>
              <w:spacing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78B46523" w14:textId="77777777" w:rsidR="00615E2D" w:rsidRDefault="00C83E46">
            <w:pPr>
              <w:pStyle w:val="P68B1DB1-Normal16"/>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3B98D638" w14:textId="77777777" w:rsidR="00615E2D" w:rsidRDefault="00C83E46">
            <w:pPr>
              <w:pStyle w:val="P68B1DB1-Normal16"/>
              <w:spacing w:before="0" w:after="0" w:line="240" w:lineRule="auto"/>
              <w:rPr>
                <w:noProof/>
              </w:rPr>
            </w:pPr>
            <w:r>
              <w:rPr>
                <w:noProof/>
              </w:rPr>
              <w:t xml:space="preserve">Potpora se usmjerava putem programa bespovratnih sredstava s ukupnim dodijeljenim sredstvima u iznosu od 27 100 000 EUR. Razvoj vještina usmjeren je na digitalne, financijske i upravljačke vještine, kulturne inovacije, internacionalizaciju i promicanje povezanosti umjetnosti i kulture s obrazovnim sektorom.  </w:t>
            </w:r>
          </w:p>
        </w:tc>
      </w:tr>
      <w:tr w:rsidR="00615E2D" w14:paraId="5264F7ED"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1068AE3" w14:textId="77777777" w:rsidR="00615E2D" w:rsidRDefault="00C83E46">
            <w:pPr>
              <w:pStyle w:val="P68B1DB1-Normal16"/>
              <w:spacing w:line="240" w:lineRule="auto"/>
              <w:jc w:val="center"/>
              <w:rPr>
                <w:noProof/>
              </w:rPr>
            </w:pPr>
            <w:r>
              <w:rPr>
                <w:noProof/>
              </w:rPr>
              <w:t>219</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14:paraId="530B0DCA" w14:textId="77777777" w:rsidR="00615E2D" w:rsidRDefault="00C83E46">
            <w:pPr>
              <w:pStyle w:val="P68B1DB1-Normal16"/>
              <w:spacing w:line="240" w:lineRule="auto"/>
              <w:rPr>
                <w:noProof/>
              </w:rPr>
            </w:pPr>
            <w:r>
              <w:rPr>
                <w:noProof/>
              </w:rPr>
              <w:t>Ulaganje 1: Razvoj regionalnih kulturnih i kreativnih sektora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A1CEABA" w14:textId="77777777" w:rsidR="00615E2D" w:rsidRDefault="00C83E46">
            <w:pPr>
              <w:pStyle w:val="P68B1DB1-Normal16"/>
              <w:spacing w:line="240" w:lineRule="auto"/>
              <w:rPr>
                <w:noProof/>
              </w:rPr>
            </w:pPr>
            <w:r>
              <w:rPr>
                <w:noProof/>
              </w:rPr>
              <w:t>Ciljna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7265D46F" w14:textId="77777777" w:rsidR="00615E2D" w:rsidRDefault="00C83E46">
            <w:pPr>
              <w:pStyle w:val="P68B1DB1-Normal16"/>
              <w:spacing w:line="240" w:lineRule="auto"/>
              <w:rPr>
                <w:noProof/>
              </w:rPr>
            </w:pPr>
            <w:r>
              <w:rPr>
                <w:noProof/>
              </w:rPr>
              <w:t>Otvaranje novih regionalnih kulturnih i kreativnih centara za javnost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4793919F"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3465ECD" w14:textId="77777777" w:rsidR="00615E2D" w:rsidRDefault="00C83E46">
            <w:pPr>
              <w:pStyle w:val="P68B1DB1-Normal16"/>
              <w:spacing w:line="240" w:lineRule="auto"/>
              <w:rPr>
                <w:noProof/>
              </w:rPr>
            </w:pPr>
            <w:r>
              <w:rPr>
                <w:noProof/>
              </w:rPr>
              <w:t>Broj</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DAF9060" w14:textId="77777777" w:rsidR="00615E2D" w:rsidRDefault="00C83E46">
            <w:pPr>
              <w:pStyle w:val="P68B1DB1-Normal16"/>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13428BAC" w14:textId="77777777" w:rsidR="00615E2D" w:rsidRDefault="00C83E46">
            <w:pPr>
              <w:pStyle w:val="P68B1DB1-Normal16"/>
              <w:spacing w:line="240" w:lineRule="auto"/>
              <w:jc w:val="center"/>
              <w:rPr>
                <w:noProof/>
              </w:rPr>
            </w:pPr>
            <w:r>
              <w:rPr>
                <w:noProof/>
              </w:rPr>
              <w:t>15</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7AF4F2F6" w14:textId="77777777" w:rsidR="00615E2D" w:rsidRDefault="00C83E46">
            <w:pPr>
              <w:pStyle w:val="P68B1DB1-Normal16"/>
              <w:spacing w:line="240" w:lineRule="auto"/>
              <w:jc w:val="center"/>
              <w:rPr>
                <w:noProof/>
              </w:rPr>
            </w:pPr>
            <w:r>
              <w:rPr>
                <w:noProof/>
              </w:rPr>
              <w:t xml:space="preserve">  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2219D163" w14:textId="77777777" w:rsidR="00615E2D" w:rsidRDefault="00C83E46">
            <w:pPr>
              <w:pStyle w:val="P68B1DB1-Normal16"/>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3828CEB" w14:textId="77777777" w:rsidR="00615E2D" w:rsidRDefault="00C83E46">
            <w:pPr>
              <w:pStyle w:val="P68B1DB1-Normal16"/>
              <w:spacing w:after="0" w:line="259" w:lineRule="auto"/>
              <w:contextualSpacing/>
              <w:rPr>
                <w:i/>
                <w:noProof/>
              </w:rPr>
            </w:pPr>
            <w:r>
              <w:rPr>
                <w:noProof/>
              </w:rPr>
              <w:t>Najmanje 15 regionalnih kulturnih i kreativnih centara podupire se i bit će otvoreno za javnost. Potpora se usmjerava putem programa bespovratnih sredstava s ukupnim dodijeljenim sredstvima u iznosu od 125 677 000 EUR. Prednost se daje projektima kojima se revitaliziraju postojeći objekti, doprinosi obnovi kulturne baštine i slijede klimatski ciljevi. Pri odabiru projekata poštuje se zemljopisna ravnoteža. Unutar pojedinih regija prednost se daje područjima u strukturno nepovoljnom položaju i područjima pogođenima nedostatkom kulturne infrastrukture.</w:t>
            </w:r>
          </w:p>
        </w:tc>
      </w:tr>
      <w:tr w:rsidR="00615E2D" w14:paraId="04BA97EC" w14:textId="77777777">
        <w:trPr>
          <w:trHeight w:val="373"/>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06880FCD" w14:textId="77777777" w:rsidR="00615E2D" w:rsidRDefault="00C83E46">
            <w:pPr>
              <w:pStyle w:val="P68B1DB1-Normal16"/>
              <w:spacing w:line="240" w:lineRule="auto"/>
              <w:jc w:val="center"/>
              <w:rPr>
                <w:noProof/>
              </w:rPr>
            </w:pPr>
            <w:r>
              <w:rPr>
                <w:noProof/>
              </w:rPr>
              <w:t>220</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14:paraId="2CD2D0A3" w14:textId="77777777" w:rsidR="00615E2D" w:rsidRDefault="00C83E46">
            <w:pPr>
              <w:pStyle w:val="P68B1DB1-Normal16"/>
              <w:spacing w:line="240" w:lineRule="auto"/>
              <w:rPr>
                <w:noProof/>
              </w:rPr>
            </w:pPr>
            <w:r>
              <w:rPr>
                <w:noProof/>
              </w:rPr>
              <w:t>Reforma 2.: Zakonodavna reforma kojom se uvodi financiranje kulturnih institucija iz više izvora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E9ADAA7" w14:textId="77777777" w:rsidR="00615E2D" w:rsidRDefault="00C83E46">
            <w:pPr>
              <w:pStyle w:val="P68B1DB1-Normal16"/>
              <w:spacing w:line="240" w:lineRule="auto"/>
              <w:rPr>
                <w:noProof/>
              </w:rPr>
            </w:pPr>
            <w:r>
              <w:rPr>
                <w:noProof/>
              </w:rPr>
              <w:t>Prekretnica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05C2FF8E" w14:textId="77777777" w:rsidR="00615E2D" w:rsidRDefault="00C83E46">
            <w:pPr>
              <w:pStyle w:val="P68B1DB1-Normal16"/>
              <w:spacing w:line="240" w:lineRule="auto"/>
              <w:rPr>
                <w:noProof/>
              </w:rPr>
            </w:pPr>
            <w:r>
              <w:rPr>
                <w:noProof/>
              </w:rPr>
              <w:t xml:space="preserve">Stupanje na snagu zakonodavne izmjene kojom se omogućuje kooperativno financiranje kulture iz više izvora </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24D2979F" w14:textId="77777777" w:rsidR="00615E2D" w:rsidRDefault="00C83E46">
            <w:pPr>
              <w:pStyle w:val="P68B1DB1-Normal16"/>
              <w:spacing w:line="240" w:lineRule="auto"/>
              <w:rPr>
                <w:noProof/>
              </w:rPr>
            </w:pPr>
            <w:r>
              <w:rPr>
                <w:noProof/>
              </w:rPr>
              <w:t xml:space="preserve">Odredba u zakonodavnoj izmjeni kojom se omogućuje kooperativno financiranje kulture iz više izvora, uz navođenje stupanja na snagu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E0F689B"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02CE4D6" w14:textId="77777777" w:rsidR="00615E2D" w:rsidRDefault="00615E2D">
            <w:pPr>
              <w:spacing w:line="240" w:lineRule="auto"/>
              <w:jc w:val="center"/>
              <w:rPr>
                <w:noProof/>
                <w:color w:val="004300"/>
                <w:sz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0553E07B" w14:textId="77777777" w:rsidR="00615E2D" w:rsidRDefault="00615E2D">
            <w:pPr>
              <w:spacing w:line="240" w:lineRule="auto"/>
              <w:jc w:val="center"/>
              <w:rPr>
                <w:noProof/>
                <w:color w:val="0043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7DD7702C" w14:textId="77777777" w:rsidR="00615E2D" w:rsidRDefault="00C83E46">
            <w:pPr>
              <w:pStyle w:val="P68B1DB1-Normal16"/>
              <w:spacing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4CF74F9B" w14:textId="77777777" w:rsidR="00615E2D" w:rsidRDefault="00C83E46">
            <w:pPr>
              <w:pStyle w:val="P68B1DB1-Normal16"/>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6B5BE75" w14:textId="77777777" w:rsidR="00615E2D" w:rsidRDefault="00C83E46">
            <w:pPr>
              <w:pStyle w:val="P68B1DB1-Normal16"/>
              <w:spacing w:after="0" w:line="240" w:lineRule="auto"/>
              <w:rPr>
                <w:noProof/>
              </w:rPr>
            </w:pPr>
            <w:r>
              <w:rPr>
                <w:noProof/>
              </w:rPr>
              <w:t xml:space="preserve">Zakonodavna izmjena: </w:t>
            </w:r>
          </w:p>
          <w:p w14:paraId="45585D7A" w14:textId="77777777" w:rsidR="00615E2D" w:rsidRDefault="00C83E46">
            <w:pPr>
              <w:pStyle w:val="P68B1DB1-Normal16"/>
              <w:numPr>
                <w:ilvl w:val="0"/>
                <w:numId w:val="191"/>
              </w:numPr>
              <w:pBdr>
                <w:top w:val="nil"/>
                <w:left w:val="nil"/>
                <w:bottom w:val="nil"/>
                <w:right w:val="nil"/>
                <w:between w:val="nil"/>
              </w:pBdr>
              <w:spacing w:after="0" w:line="259" w:lineRule="auto"/>
              <w:rPr>
                <w:noProof/>
              </w:rPr>
            </w:pPr>
            <w:r>
              <w:rPr>
                <w:noProof/>
              </w:rPr>
              <w:t xml:space="preserve">omogućiti financiranje kulture iz više izvora </w:t>
            </w:r>
          </w:p>
          <w:p w14:paraId="6A06FC64" w14:textId="77777777" w:rsidR="00615E2D" w:rsidRDefault="00C83E46">
            <w:pPr>
              <w:pStyle w:val="P68B1DB1-Normal16"/>
              <w:numPr>
                <w:ilvl w:val="0"/>
                <w:numId w:val="191"/>
              </w:numPr>
              <w:pBdr>
                <w:top w:val="nil"/>
                <w:left w:val="nil"/>
                <w:bottom w:val="nil"/>
                <w:right w:val="nil"/>
                <w:between w:val="nil"/>
              </w:pBdr>
              <w:spacing w:after="0" w:line="259" w:lineRule="auto"/>
              <w:rPr>
                <w:noProof/>
              </w:rPr>
            </w:pPr>
            <w:r>
              <w:rPr>
                <w:noProof/>
              </w:rPr>
              <w:t>pojednostavniti suradnju između gradova, regija i države</w:t>
            </w:r>
          </w:p>
          <w:p w14:paraId="290D77D3" w14:textId="77777777" w:rsidR="00615E2D" w:rsidRDefault="00C83E46">
            <w:pPr>
              <w:pStyle w:val="P68B1DB1-Normal16"/>
              <w:numPr>
                <w:ilvl w:val="0"/>
                <w:numId w:val="191"/>
              </w:numPr>
              <w:pBdr>
                <w:top w:val="nil"/>
                <w:left w:val="nil"/>
                <w:bottom w:val="nil"/>
                <w:right w:val="nil"/>
                <w:between w:val="nil"/>
              </w:pBdr>
              <w:spacing w:after="0" w:line="259" w:lineRule="auto"/>
              <w:rPr>
                <w:noProof/>
              </w:rPr>
            </w:pPr>
            <w:r>
              <w:rPr>
                <w:noProof/>
              </w:rPr>
              <w:t xml:space="preserve">jačanje financijske održivosti kulturnih institucija  </w:t>
            </w:r>
          </w:p>
        </w:tc>
      </w:tr>
      <w:tr w:rsidR="00615E2D" w14:paraId="2BFE22F5" w14:textId="77777777">
        <w:trPr>
          <w:trHeight w:val="32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0562EA0B" w14:textId="77777777" w:rsidR="00615E2D" w:rsidRDefault="00C83E46">
            <w:pPr>
              <w:pStyle w:val="P68B1DB1-Normal16"/>
              <w:spacing w:line="240" w:lineRule="auto"/>
              <w:jc w:val="center"/>
              <w:rPr>
                <w:noProof/>
              </w:rPr>
            </w:pPr>
            <w:r>
              <w:rPr>
                <w:noProof/>
              </w:rPr>
              <w:t>221</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14:paraId="3EB9490A" w14:textId="77777777" w:rsidR="00615E2D" w:rsidRDefault="00C83E46">
            <w:pPr>
              <w:pStyle w:val="P68B1DB1-Normal16"/>
              <w:spacing w:line="240" w:lineRule="auto"/>
              <w:rPr>
                <w:noProof/>
              </w:rPr>
            </w:pPr>
            <w:r>
              <w:rPr>
                <w:noProof/>
              </w:rPr>
              <w:t>Ulaganje 2: Digitalizacija kulturnog i kreativnog sektora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533E271" w14:textId="77777777" w:rsidR="00615E2D" w:rsidRDefault="00C83E46">
            <w:pPr>
              <w:pStyle w:val="P68B1DB1-Normal16"/>
              <w:spacing w:line="240" w:lineRule="auto"/>
              <w:rPr>
                <w:noProof/>
              </w:rPr>
            </w:pPr>
            <w:r>
              <w:rPr>
                <w:noProof/>
              </w:rPr>
              <w:t>Ciljna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1282F2C7" w14:textId="77777777" w:rsidR="00615E2D" w:rsidRDefault="00C83E46">
            <w:pPr>
              <w:pStyle w:val="P68B1DB1-Normal16"/>
              <w:spacing w:line="240" w:lineRule="auto"/>
              <w:rPr>
                <w:noProof/>
              </w:rPr>
            </w:pPr>
            <w:r>
              <w:rPr>
                <w:noProof/>
              </w:rPr>
              <w:t>Broj dovršenih projekata digitalizacije kulturnog sadržaja</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44A87B15"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E86B6B7" w14:textId="77777777" w:rsidR="00615E2D" w:rsidRDefault="00C83E46">
            <w:pPr>
              <w:pStyle w:val="P68B1DB1-Normal16"/>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11C350A" w14:textId="77777777" w:rsidR="00615E2D" w:rsidRDefault="00C83E46">
            <w:pPr>
              <w:pStyle w:val="P68B1DB1-Normal16"/>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122BA112" w14:textId="77777777" w:rsidR="00615E2D" w:rsidRDefault="00C83E46">
            <w:pPr>
              <w:pStyle w:val="P68B1DB1-Normal16"/>
              <w:spacing w:line="240" w:lineRule="auto"/>
              <w:jc w:val="center"/>
              <w:rPr>
                <w:noProof/>
              </w:rPr>
            </w:pPr>
            <w:r>
              <w:rPr>
                <w:noProof/>
              </w:rPr>
              <w:t>80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2ECEDA40" w14:textId="77777777" w:rsidR="00615E2D" w:rsidRDefault="00C83E46">
            <w:pPr>
              <w:pStyle w:val="P68B1DB1-Normal16"/>
              <w:spacing w:line="240" w:lineRule="auto"/>
              <w:jc w:val="center"/>
              <w:rPr>
                <w:rFonts w:eastAsia="Times New Roman"/>
                <w:noProof/>
              </w:rPr>
            </w:pPr>
            <w:r>
              <w:rPr>
                <w:noProof/>
              </w:rPr>
              <w:t xml:space="preserve">   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50979141" w14:textId="77777777" w:rsidR="00615E2D" w:rsidRDefault="00C83E46">
            <w:pPr>
              <w:pStyle w:val="P68B1DB1-Normal16"/>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61AC59CE" w14:textId="77777777" w:rsidR="00615E2D" w:rsidRDefault="00C83E46">
            <w:pPr>
              <w:pStyle w:val="P68B1DB1-Normal16"/>
              <w:spacing w:line="240" w:lineRule="auto"/>
              <w:rPr>
                <w:noProof/>
              </w:rPr>
            </w:pPr>
            <w:r>
              <w:rPr>
                <w:noProof/>
              </w:rPr>
              <w:t xml:space="preserve">Programom bespovratnih sredstava podupire se najmanje 80 projekata digitalizacije kulturnog sadržaja, pri čemu se prednost daje projektima kojima se omogućuje dijeljenje opreme i kapaciteta. Metodologija za učinkovitu digitalizaciju kulturnog sadržaja stavlja se na raspolaganje kulturnim institucijama na temelju najbolje prakse u tom području. Ukupni proračun izvršen u tu svrhu iznosi 31 419 000 EUR. </w:t>
            </w:r>
          </w:p>
        </w:tc>
      </w:tr>
      <w:tr w:rsidR="00615E2D" w14:paraId="1BFF57A4" w14:textId="77777777">
        <w:trPr>
          <w:trHeight w:val="1144"/>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F8FD2CA" w14:textId="77777777" w:rsidR="00615E2D" w:rsidRDefault="00C83E46">
            <w:pPr>
              <w:pStyle w:val="P68B1DB1-Normal16"/>
              <w:spacing w:line="240" w:lineRule="auto"/>
              <w:jc w:val="center"/>
              <w:rPr>
                <w:noProof/>
              </w:rPr>
            </w:pPr>
            <w:r>
              <w:rPr>
                <w:noProof/>
              </w:rPr>
              <w:t>222</w:t>
            </w:r>
          </w:p>
        </w:tc>
        <w:tc>
          <w:tcPr>
            <w:tcW w:w="1165" w:type="dxa"/>
            <w:tcBorders>
              <w:top w:val="single" w:sz="8" w:space="0" w:color="auto"/>
              <w:left w:val="single" w:sz="8" w:space="0" w:color="auto"/>
              <w:bottom w:val="single" w:sz="8" w:space="0" w:color="auto"/>
              <w:right w:val="single" w:sz="8" w:space="0" w:color="auto"/>
            </w:tcBorders>
            <w:shd w:val="clear" w:color="auto" w:fill="C6EFCE"/>
            <w:vAlign w:val="center"/>
          </w:tcPr>
          <w:p w14:paraId="5B967BA7" w14:textId="77777777" w:rsidR="00615E2D" w:rsidRDefault="00C83E46">
            <w:pPr>
              <w:pStyle w:val="P68B1DB1-Normal16"/>
              <w:spacing w:line="240" w:lineRule="auto"/>
              <w:rPr>
                <w:noProof/>
              </w:rPr>
            </w:pPr>
            <w:r>
              <w:rPr>
                <w:noProof/>
              </w:rPr>
              <w:t>Ulaganje 3: Kreativni vaučeri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712A191" w14:textId="77777777" w:rsidR="00615E2D" w:rsidRDefault="00C83E46">
            <w:pPr>
              <w:pStyle w:val="P68B1DB1-Normal16"/>
              <w:spacing w:line="240" w:lineRule="auto"/>
              <w:rPr>
                <w:noProof/>
              </w:rPr>
            </w:pPr>
            <w:r>
              <w:rPr>
                <w:noProof/>
              </w:rPr>
              <w:t>Ciljna</w:t>
            </w:r>
          </w:p>
        </w:tc>
        <w:tc>
          <w:tcPr>
            <w:tcW w:w="1560" w:type="dxa"/>
            <w:tcBorders>
              <w:top w:val="single" w:sz="8" w:space="0" w:color="auto"/>
              <w:left w:val="single" w:sz="8" w:space="0" w:color="auto"/>
              <w:bottom w:val="single" w:sz="8" w:space="0" w:color="auto"/>
              <w:right w:val="single" w:sz="8" w:space="0" w:color="auto"/>
            </w:tcBorders>
            <w:shd w:val="clear" w:color="auto" w:fill="C6EFCE"/>
            <w:vAlign w:val="center"/>
          </w:tcPr>
          <w:p w14:paraId="60CD00BB" w14:textId="77777777" w:rsidR="00615E2D" w:rsidRDefault="00C83E46">
            <w:pPr>
              <w:pStyle w:val="P68B1DB1-Normal16"/>
              <w:spacing w:line="240" w:lineRule="auto"/>
              <w:rPr>
                <w:noProof/>
              </w:rPr>
            </w:pPr>
            <w:r>
              <w:rPr>
                <w:noProof/>
              </w:rPr>
              <w:t xml:space="preserve">Broj kreativnih vaučera dodijeljenih MSP-ovima </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14:paraId="33A1E398" w14:textId="77777777" w:rsidR="00615E2D" w:rsidRDefault="00615E2D">
            <w:pPr>
              <w:spacing w:line="240" w:lineRule="auto"/>
              <w:rPr>
                <w:noProof/>
                <w:color w:val="0043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4A51A01" w14:textId="77777777" w:rsidR="00615E2D" w:rsidRDefault="00C83E46">
            <w:pPr>
              <w:pStyle w:val="P68B1DB1-Normal16"/>
              <w:spacing w:line="240" w:lineRule="auto"/>
              <w:rPr>
                <w:noProof/>
              </w:rPr>
            </w:pPr>
            <w:r>
              <w:rPr>
                <w:noProof/>
              </w:rPr>
              <w:t xml:space="preserve">Broj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CE385C3" w14:textId="77777777" w:rsidR="00615E2D" w:rsidRDefault="00C83E46">
            <w:pPr>
              <w:pStyle w:val="P68B1DB1-Normal16"/>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2F8F44CF" w14:textId="77777777" w:rsidR="00615E2D" w:rsidRDefault="00C83E46">
            <w:pPr>
              <w:pStyle w:val="P68B1DB1-Normal16"/>
              <w:spacing w:line="240" w:lineRule="auto"/>
              <w:jc w:val="center"/>
              <w:rPr>
                <w:noProof/>
              </w:rPr>
            </w:pPr>
            <w:r>
              <w:rPr>
                <w:noProof/>
              </w:rPr>
              <w:t>3300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264F912B" w14:textId="77777777" w:rsidR="00615E2D" w:rsidRDefault="00C83E46">
            <w:pPr>
              <w:pStyle w:val="P68B1DB1-Normal16"/>
              <w:spacing w:line="240" w:lineRule="auto"/>
              <w:jc w:val="center"/>
              <w:rPr>
                <w:rFonts w:eastAsia="Times New Roman"/>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5580DB89" w14:textId="77777777" w:rsidR="00615E2D" w:rsidRDefault="00C83E46">
            <w:pPr>
              <w:pStyle w:val="P68B1DB1-Normal16"/>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B730A75" w14:textId="77777777" w:rsidR="00615E2D" w:rsidRDefault="00C83E46">
            <w:pPr>
              <w:pStyle w:val="P68B1DB1-Normal16"/>
              <w:spacing w:after="0" w:line="240" w:lineRule="auto"/>
              <w:rPr>
                <w:noProof/>
              </w:rPr>
            </w:pPr>
            <w:r>
              <w:rPr>
                <w:noProof/>
              </w:rPr>
              <w:t xml:space="preserve">Mjerom se podupiru meke inovacije u MSP-ovima, kao što su dizajn internetskih stranica, dizajn proizvoda i usluga, grafičkog dizajna ili marketinških strategija te aktivnosti promicanja izvoza. Potpora se usmjerava kroz dva programa dodjele bespovratnih sredstava s ukupnim dodijeljenim sredstvima u iznosu od 20 800 000 EUR. MSP-ovima se dodjeljuje najmanje 3000 kreativnih vaučera i 300 kredita za dizajn. Pri raspodjeli vrijednosnih kupona poštuje se zemljopisna ravnoteža. Kreativni stručnjaci mogu pružati usluge najviše trima MSP-ovima. </w:t>
            </w:r>
          </w:p>
          <w:p w14:paraId="176515BB" w14:textId="77777777" w:rsidR="00615E2D" w:rsidRDefault="00C83E46">
            <w:pPr>
              <w:pStyle w:val="P68B1DB1-Normal16"/>
              <w:spacing w:line="240" w:lineRule="auto"/>
              <w:rPr>
                <w:noProof/>
              </w:rPr>
            </w:pPr>
            <w:r>
              <w:rPr>
                <w:noProof/>
              </w:rPr>
              <w:t xml:space="preserve">Uspostavlja se kreativna galerija koja služi provedbi i upravljanju programom te kao širi komunikacijski kanal. </w:t>
            </w:r>
          </w:p>
        </w:tc>
      </w:tr>
    </w:tbl>
    <w:p w14:paraId="2DD1E49A" w14:textId="77777777" w:rsidR="00615E2D" w:rsidRDefault="00615E2D">
      <w:pPr>
        <w:spacing w:line="240" w:lineRule="auto"/>
        <w:rPr>
          <w:b/>
          <w:smallCaps/>
          <w:noProof/>
        </w:rPr>
        <w:sectPr w:rsidR="00615E2D" w:rsidSect="00997F50">
          <w:headerReference w:type="even" r:id="rId372"/>
          <w:headerReference w:type="default" r:id="rId373"/>
          <w:footerReference w:type="even" r:id="rId374"/>
          <w:footerReference w:type="default" r:id="rId375"/>
          <w:headerReference w:type="first" r:id="rId376"/>
          <w:footerReference w:type="first" r:id="rId377"/>
          <w:pgSz w:w="16839" w:h="11907" w:orient="landscape"/>
          <w:pgMar w:top="1134" w:right="1134" w:bottom="1134" w:left="1134" w:header="567" w:footer="567" w:gutter="0"/>
          <w:cols w:space="720"/>
          <w:docGrid w:linePitch="326"/>
        </w:sectPr>
      </w:pPr>
    </w:p>
    <w:p w14:paraId="683BC05C" w14:textId="53627F68" w:rsidR="00615E2D" w:rsidRDefault="00C83E46">
      <w:pPr>
        <w:pStyle w:val="P68B1DB1-Normal36"/>
        <w:keepNext/>
        <w:spacing w:line="240" w:lineRule="auto"/>
        <w:jc w:val="both"/>
        <w:outlineLvl w:val="0"/>
        <w:rPr>
          <w:noProof/>
        </w:rPr>
      </w:pPr>
      <w:r>
        <w:rPr>
          <w:noProof/>
        </w:rPr>
        <w:t xml:space="preserve">Z. SASTAVNI DIO 5.1.: Izvrsno istraživanje i razvoj u zdravstvenom sektoru </w:t>
      </w:r>
    </w:p>
    <w:p w14:paraId="574F7026" w14:textId="596A4599" w:rsidR="00615E2D" w:rsidRDefault="00C83E46">
      <w:pPr>
        <w:spacing w:line="240" w:lineRule="auto"/>
        <w:jc w:val="both"/>
        <w:rPr>
          <w:noProof/>
        </w:rPr>
      </w:pPr>
      <w:r>
        <w:rPr>
          <w:noProof/>
        </w:rPr>
        <w:t xml:space="preserve">Komponenta </w:t>
      </w:r>
      <w:r>
        <w:rPr>
          <w:rFonts w:eastAsia="Times New Roman"/>
          <w:noProof/>
        </w:rPr>
        <w:t xml:space="preserve">češkog plana za oporavak i otpornost </w:t>
      </w:r>
      <w:r>
        <w:rPr>
          <w:noProof/>
        </w:rPr>
        <w:t>bavi se izazovom poboljšanja izvrsnosti istraživanja u medicinskim znanostima i povezanim disciplinama. To uključuje istraživanja u sljedećim područjima: zarazne bolesti, rak, neuroznanosti, metaboličke poremećaje ili kardiovaskularne bolesti i istraživanje društveno-gospodarskog učinka zdravstvenih rizika. Utvrđivanje tih područja provedeno je na temelju triju kriterija: postojeće podatke o stopama smrtnosti, potencijalu za postizanje izvrsnosti i trenutačnom postojanju struktura za suradnju.</w:t>
      </w:r>
    </w:p>
    <w:p w14:paraId="1D8E3CC5" w14:textId="77777777" w:rsidR="00615E2D" w:rsidRDefault="00C83E46">
      <w:pPr>
        <w:spacing w:line="240" w:lineRule="auto"/>
        <w:jc w:val="both"/>
        <w:rPr>
          <w:noProof/>
        </w:rPr>
      </w:pPr>
      <w:r>
        <w:rPr>
          <w:noProof/>
        </w:rPr>
        <w:t xml:space="preserve">Cilj je komponente modernizirati i obnoviti češku znanstvenu infrastrukturu u skladu s europskim standardima, razviti strukture umrežavanja u sektoru istraživanja i razvoja te smanjiti rascjepkanost istraživačkog sektora u Češkoj, čime bi se poboljšalo upravljanje njime. </w:t>
      </w:r>
    </w:p>
    <w:p w14:paraId="74BE18AC" w14:textId="77777777" w:rsidR="00615E2D" w:rsidRDefault="00C83E46">
      <w:pPr>
        <w:spacing w:line="240" w:lineRule="auto"/>
        <w:jc w:val="both"/>
        <w:rPr>
          <w:noProof/>
        </w:rPr>
      </w:pPr>
      <w:r>
        <w:rPr>
          <w:noProof/>
        </w:rPr>
        <w:t xml:space="preserve">Ovom se komponentom dopunjuje komponenta 6.1. i 6.2. u području potpore zdravstvenom sustavu. </w:t>
      </w:r>
    </w:p>
    <w:p w14:paraId="3BC566C9" w14:textId="77777777" w:rsidR="00615E2D" w:rsidRDefault="00C83E46">
      <w:pPr>
        <w:spacing w:line="240" w:lineRule="auto"/>
        <w:jc w:val="both"/>
        <w:rPr>
          <w:noProof/>
        </w:rPr>
      </w:pPr>
      <w:r>
        <w:rPr>
          <w:rFonts w:eastAsia="Times New Roman"/>
          <w:noProof/>
        </w:rPr>
        <w:t>Komponentom se podupire odgovor na preporuku za pojedinu zemlju</w:t>
      </w:r>
      <w:r>
        <w:rPr>
          <w:noProof/>
        </w:rPr>
        <w:t xml:space="preserve"> o javno-privatnoj suradnji u području istraživanja i razvoja (3. preporuka za pojedinu zemlju iz 2020.). </w:t>
      </w:r>
    </w:p>
    <w:p w14:paraId="381729C0" w14:textId="77777777" w:rsidR="00615E2D" w:rsidRDefault="00C83E46">
      <w:pPr>
        <w:spacing w:line="276" w:lineRule="auto"/>
        <w:jc w:val="both"/>
        <w:rPr>
          <w:noProof/>
          <w:sz w:val="22"/>
        </w:rPr>
      </w:pPr>
      <w:r>
        <w:rPr>
          <w:noProof/>
        </w:rPr>
        <w:t>Očekuje se da se nijednom mjerom u ovoj komponenti ne nanosi znatna šteta okolišnim ciljevima u smislu članka 17. Uredbe (EU) 2020/852, uzimajući u obzir opis mjera i korake ublažavanja utvrđene u planu za oporavak i otpornost u skladu s Tehničkim smjernicama DNSH-a (2021/C58/01).</w:t>
      </w:r>
    </w:p>
    <w:p w14:paraId="1DFF01F1" w14:textId="1E11F810" w:rsidR="00615E2D" w:rsidRDefault="00615E2D">
      <w:pPr>
        <w:spacing w:line="240" w:lineRule="auto"/>
        <w:jc w:val="both"/>
        <w:rPr>
          <w:noProof/>
        </w:rPr>
      </w:pPr>
    </w:p>
    <w:p w14:paraId="5AFA445B" w14:textId="47496A26" w:rsidR="00615E2D" w:rsidRDefault="00C83E46">
      <w:pPr>
        <w:pStyle w:val="P68B1DB1-Normal5"/>
        <w:spacing w:line="240" w:lineRule="auto"/>
        <w:jc w:val="both"/>
        <w:rPr>
          <w:noProof/>
        </w:rPr>
      </w:pPr>
      <w:r>
        <w:rPr>
          <w:noProof/>
        </w:rPr>
        <w:t>Z.1. Opis reformi i ulaganja za programe bespovratne financijske potpore</w:t>
      </w:r>
    </w:p>
    <w:p w14:paraId="4E1D2DAD" w14:textId="77777777" w:rsidR="00615E2D" w:rsidRDefault="00C83E46">
      <w:pPr>
        <w:pStyle w:val="P68B1DB1-Normal7"/>
        <w:spacing w:line="240" w:lineRule="auto"/>
        <w:jc w:val="both"/>
        <w:rPr>
          <w:noProof/>
        </w:rPr>
      </w:pPr>
      <w:r>
        <w:rPr>
          <w:noProof/>
        </w:rPr>
        <w:t>Ulaganje 1: Javna potpora istraživanju i razvoju za prioritetna područja medicinskih znanosti i povezanih društvenih znanosti</w:t>
      </w:r>
    </w:p>
    <w:p w14:paraId="506E1EC9" w14:textId="77777777" w:rsidR="00615E2D" w:rsidRDefault="00C83E46">
      <w:pPr>
        <w:spacing w:line="240" w:lineRule="auto"/>
        <w:jc w:val="both"/>
        <w:rPr>
          <w:noProof/>
        </w:rPr>
      </w:pPr>
      <w:r>
        <w:rPr>
          <w:noProof/>
        </w:rPr>
        <w:t>Cilj je tog ulaganja poduprijeti najmanje četiri istraživačka konzorcija s ciljem poboljšanja sustavnog pružanja potrebnog stručnog znanja u jednoj od odabranih disciplina: istraživanje zaraznih bolesti, istraživanje raka, neuroznanosti, metaboličke poremećaje ili kardiovaskularne bolesti te istraživanje socioekonomskog učinka zdravstvenih rizika. Time se povećava znanstvena potpora javnoj upravi ili brža i transparentnija razmjena relevantnih i znanstveno potvrđenih informacija te rezultata istraživanja, razvoja i inovacija.</w:t>
      </w:r>
    </w:p>
    <w:p w14:paraId="2B9FF62A" w14:textId="77777777" w:rsidR="00615E2D" w:rsidRDefault="00C83E46">
      <w:pPr>
        <w:spacing w:line="240" w:lineRule="auto"/>
        <w:jc w:val="both"/>
        <w:rPr>
          <w:rFonts w:eastAsia="Times New Roman"/>
          <w:noProof/>
          <w:sz w:val="22"/>
        </w:rPr>
      </w:pPr>
      <w:r>
        <w:rPr>
          <w:noProof/>
        </w:rPr>
        <w:t xml:space="preserve">Očekuje se da će konzorciji biti osnovani između relevantnih sveučilišta, javnih istraživačkih institucija i drugih javnih i privatnih subjekata, čime će se osigurati potreban prijenos znanja. </w:t>
      </w:r>
      <w:r>
        <w:rPr>
          <w:rFonts w:eastAsia="Times New Roman"/>
          <w:noProof/>
        </w:rPr>
        <w:t>Ti konzorciji čine nacionalna istraživačka tijela čiji je cilj ostvariti kvalitativnu promjenu odabranih prioritetnih područja istraživanja i razvoja s učincima u pogledu znanstvene proizvodnje i funkcioniranja češke javne uprave u zdravstvenim kriznim situacijama.</w:t>
      </w:r>
    </w:p>
    <w:p w14:paraId="32B36760" w14:textId="77777777" w:rsidR="00615E2D" w:rsidRDefault="00C83E46">
      <w:pPr>
        <w:spacing w:line="240" w:lineRule="auto"/>
        <w:jc w:val="both"/>
        <w:rPr>
          <w:noProof/>
        </w:rPr>
      </w:pPr>
      <w:r>
        <w:rPr>
          <w:noProof/>
        </w:rPr>
        <w:t xml:space="preserve">Očekuje se da će ulaganje uključivati potporu aktivnostima osnovnog i primijenjenog istraživanja, opremanje istraživačkih subjekata novom kvalitetnom znanstvenom infrastrukturom, uspostavu jedinstvene znanstvene platforme za svako prioritetno područje koje prima potporu i poboljšanje kapaciteta istraživača konzorcija aktivnostima usavršavanja. </w:t>
      </w:r>
    </w:p>
    <w:p w14:paraId="2791979B" w14:textId="77777777" w:rsidR="00615E2D" w:rsidRDefault="00C83E46">
      <w:pPr>
        <w:spacing w:line="240" w:lineRule="auto"/>
        <w:jc w:val="both"/>
        <w:rPr>
          <w:noProof/>
        </w:rPr>
      </w:pPr>
      <w:r>
        <w:rPr>
          <w:noProof/>
        </w:rPr>
        <w:t xml:space="preserve">Provedba ulaganja mora biti dovršena do 31. prosinca 2025. </w:t>
      </w:r>
    </w:p>
    <w:p w14:paraId="1771E4F6" w14:textId="77777777" w:rsidR="00615E2D" w:rsidRDefault="00615E2D">
      <w:pPr>
        <w:spacing w:line="240" w:lineRule="auto"/>
        <w:rPr>
          <w:rFonts w:ascii="Calibri" w:hAnsi="Calibri"/>
          <w:b/>
          <w:noProof/>
          <w:sz w:val="22"/>
        </w:rPr>
      </w:pPr>
    </w:p>
    <w:p w14:paraId="07696812" w14:textId="77777777" w:rsidR="00615E2D" w:rsidRDefault="00615E2D">
      <w:pPr>
        <w:spacing w:line="240" w:lineRule="auto"/>
        <w:rPr>
          <w:rFonts w:ascii="Calibri" w:hAnsi="Calibri"/>
          <w:noProof/>
          <w:sz w:val="22"/>
        </w:rPr>
        <w:sectPr w:rsidR="00615E2D" w:rsidSect="00997F50">
          <w:headerReference w:type="even" r:id="rId378"/>
          <w:headerReference w:type="default" r:id="rId379"/>
          <w:footerReference w:type="even" r:id="rId380"/>
          <w:footerReference w:type="default" r:id="rId381"/>
          <w:headerReference w:type="first" r:id="rId382"/>
          <w:footerReference w:type="first" r:id="rId383"/>
          <w:pgSz w:w="11907" w:h="16839"/>
          <w:pgMar w:top="1134" w:right="1134" w:bottom="1134" w:left="1134" w:header="567" w:footer="567" w:gutter="0"/>
          <w:cols w:space="720"/>
          <w:docGrid w:linePitch="326"/>
        </w:sectPr>
      </w:pPr>
    </w:p>
    <w:p w14:paraId="7203FBC3" w14:textId="53E4EC4D" w:rsidR="00615E2D" w:rsidRDefault="00C83E46">
      <w:pPr>
        <w:pStyle w:val="P68B1DB1-Normal8"/>
        <w:pBdr>
          <w:top w:val="nil"/>
          <w:left w:val="nil"/>
          <w:bottom w:val="nil"/>
          <w:right w:val="nil"/>
          <w:between w:val="nil"/>
        </w:pBdr>
        <w:tabs>
          <w:tab w:val="left" w:pos="993"/>
        </w:tabs>
        <w:spacing w:line="240" w:lineRule="auto"/>
        <w:rPr>
          <w:rFonts w:ascii="Calibri" w:hAnsi="Calibri"/>
          <w:noProof/>
          <w:sz w:val="22"/>
        </w:rPr>
      </w:pPr>
      <w:r>
        <w:rPr>
          <w:noProof/>
        </w:rPr>
        <w:t xml:space="preserve">Z.2. Ključne etape, ciljne vrijednosti i vremenski raspored za praćenje i provedbu programa bespovratne financijske potpore </w:t>
      </w:r>
    </w:p>
    <w:tbl>
      <w:tblPr>
        <w:tblW w:w="14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1174"/>
        <w:gridCol w:w="996"/>
        <w:gridCol w:w="1047"/>
        <w:gridCol w:w="1098"/>
        <w:gridCol w:w="996"/>
        <w:gridCol w:w="996"/>
        <w:gridCol w:w="996"/>
        <w:gridCol w:w="954"/>
        <w:gridCol w:w="663"/>
        <w:gridCol w:w="5012"/>
      </w:tblGrid>
      <w:tr w:rsidR="00615E2D" w14:paraId="712889F2" w14:textId="77777777">
        <w:trPr>
          <w:trHeight w:val="827"/>
          <w:tblHeader/>
        </w:trPr>
        <w:tc>
          <w:tcPr>
            <w:tcW w:w="638" w:type="dxa"/>
            <w:vMerge w:val="restart"/>
            <w:tcBorders>
              <w:top w:val="single" w:sz="8" w:space="0" w:color="000000"/>
              <w:left w:val="single" w:sz="8" w:space="0" w:color="000000"/>
              <w:right w:val="single" w:sz="8" w:space="0" w:color="000000"/>
            </w:tcBorders>
            <w:shd w:val="clear" w:color="auto" w:fill="BDD7EE"/>
            <w:vAlign w:val="center"/>
          </w:tcPr>
          <w:p w14:paraId="1DDE6C8A" w14:textId="7E54D70A" w:rsidR="00615E2D" w:rsidRDefault="00C83E46">
            <w:pPr>
              <w:pStyle w:val="P68B1DB1-Normal9"/>
              <w:spacing w:line="240" w:lineRule="auto"/>
              <w:jc w:val="center"/>
              <w:rPr>
                <w:noProof/>
              </w:rPr>
            </w:pPr>
            <w:r>
              <w:rPr>
                <w:noProof/>
              </w:rPr>
              <w:t xml:space="preserve">Sljedeće NUM. </w:t>
            </w:r>
          </w:p>
        </w:tc>
        <w:tc>
          <w:tcPr>
            <w:tcW w:w="1188" w:type="dxa"/>
            <w:vMerge w:val="restart"/>
            <w:tcBorders>
              <w:top w:val="single" w:sz="8" w:space="0" w:color="000000"/>
              <w:left w:val="single" w:sz="8" w:space="0" w:color="000000"/>
              <w:right w:val="single" w:sz="8" w:space="0" w:color="000000"/>
            </w:tcBorders>
            <w:shd w:val="clear" w:color="auto" w:fill="BDD7EE"/>
            <w:vAlign w:val="center"/>
          </w:tcPr>
          <w:p w14:paraId="78F6B7FB" w14:textId="77777777" w:rsidR="00615E2D" w:rsidRDefault="00C83E46">
            <w:pPr>
              <w:pStyle w:val="P68B1DB1-Normal9"/>
              <w:spacing w:line="240" w:lineRule="auto"/>
              <w:jc w:val="center"/>
              <w:rPr>
                <w:noProof/>
              </w:rPr>
            </w:pPr>
            <w:r>
              <w:rPr>
                <w:noProof/>
              </w:rPr>
              <w:t xml:space="preserve">Povezana mjera (reforma ili ulaganje) </w:t>
            </w:r>
          </w:p>
        </w:tc>
        <w:tc>
          <w:tcPr>
            <w:tcW w:w="1006" w:type="dxa"/>
            <w:vMerge w:val="restart"/>
            <w:tcBorders>
              <w:top w:val="single" w:sz="8" w:space="0" w:color="000000"/>
              <w:left w:val="single" w:sz="8" w:space="0" w:color="000000"/>
              <w:right w:val="single" w:sz="8" w:space="0" w:color="000000"/>
            </w:tcBorders>
            <w:shd w:val="clear" w:color="auto" w:fill="BDD7EE"/>
            <w:vAlign w:val="center"/>
          </w:tcPr>
          <w:p w14:paraId="2BFD0DD3" w14:textId="77777777" w:rsidR="00615E2D" w:rsidRDefault="00C83E46">
            <w:pPr>
              <w:pStyle w:val="P68B1DB1-Normal9"/>
              <w:spacing w:line="240" w:lineRule="auto"/>
              <w:jc w:val="center"/>
              <w:rPr>
                <w:noProof/>
              </w:rPr>
            </w:pPr>
            <w:r>
              <w:rPr>
                <w:noProof/>
              </w:rPr>
              <w:t xml:space="preserve">Ključna etapa/ciljna vrijednost </w:t>
            </w:r>
          </w:p>
        </w:tc>
        <w:tc>
          <w:tcPr>
            <w:tcW w:w="1058" w:type="dxa"/>
            <w:vMerge w:val="restart"/>
            <w:tcBorders>
              <w:top w:val="single" w:sz="8" w:space="0" w:color="000000"/>
              <w:left w:val="single" w:sz="8" w:space="0" w:color="000000"/>
              <w:right w:val="single" w:sz="8" w:space="0" w:color="000000"/>
            </w:tcBorders>
            <w:shd w:val="clear" w:color="auto" w:fill="BDD7EE"/>
            <w:vAlign w:val="center"/>
          </w:tcPr>
          <w:p w14:paraId="26081206" w14:textId="77777777" w:rsidR="00615E2D" w:rsidRDefault="00C83E46">
            <w:pPr>
              <w:pStyle w:val="P68B1DB1-Normal9"/>
              <w:spacing w:line="240" w:lineRule="auto"/>
              <w:jc w:val="center"/>
              <w:rPr>
                <w:noProof/>
              </w:rPr>
            </w:pPr>
            <w:r>
              <w:rPr>
                <w:noProof/>
              </w:rPr>
              <w:t xml:space="preserve">Ime </w:t>
            </w:r>
          </w:p>
        </w:tc>
        <w:tc>
          <w:tcPr>
            <w:tcW w:w="1110" w:type="dxa"/>
            <w:vMerge w:val="restart"/>
            <w:tcBorders>
              <w:top w:val="single" w:sz="8" w:space="0" w:color="000000"/>
              <w:left w:val="single" w:sz="8" w:space="0" w:color="000000"/>
              <w:right w:val="single" w:sz="8" w:space="0" w:color="000000"/>
            </w:tcBorders>
            <w:shd w:val="clear" w:color="auto" w:fill="BDD7EE"/>
            <w:vAlign w:val="center"/>
          </w:tcPr>
          <w:p w14:paraId="1EA836C4" w14:textId="77777777" w:rsidR="00615E2D" w:rsidRDefault="00C83E46">
            <w:pPr>
              <w:pStyle w:val="P68B1DB1-Normal10"/>
              <w:spacing w:line="240" w:lineRule="auto"/>
              <w:jc w:val="center"/>
              <w:rPr>
                <w:noProof/>
              </w:rPr>
            </w:pPr>
            <w:r>
              <w:rPr>
                <w:b/>
                <w:noProof/>
              </w:rPr>
              <w:t>Kvalitativni pokazatelji</w:t>
            </w:r>
            <w:r>
              <w:rPr>
                <w:noProof/>
              </w:rPr>
              <w:br/>
            </w:r>
            <w:r>
              <w:rPr>
                <w:b/>
                <w:noProof/>
              </w:rPr>
              <w:t xml:space="preserve"> (za ključne etape) </w:t>
            </w:r>
          </w:p>
        </w:tc>
        <w:tc>
          <w:tcPr>
            <w:tcW w:w="3018" w:type="dxa"/>
            <w:gridSpan w:val="3"/>
            <w:tcBorders>
              <w:top w:val="single" w:sz="8" w:space="0" w:color="000000"/>
              <w:left w:val="single" w:sz="8" w:space="0" w:color="000000"/>
              <w:bottom w:val="single" w:sz="8" w:space="0" w:color="000000"/>
              <w:right w:val="single" w:sz="8" w:space="0" w:color="000000"/>
            </w:tcBorders>
            <w:shd w:val="clear" w:color="auto" w:fill="BDD7EE"/>
            <w:vAlign w:val="center"/>
          </w:tcPr>
          <w:p w14:paraId="3649B4BA" w14:textId="77777777" w:rsidR="00615E2D" w:rsidRDefault="00C83E46">
            <w:pPr>
              <w:pStyle w:val="P68B1DB1-Normal10"/>
              <w:spacing w:line="240" w:lineRule="auto"/>
              <w:jc w:val="center"/>
              <w:rPr>
                <w:noProof/>
              </w:rPr>
            </w:pPr>
            <w:r>
              <w:rPr>
                <w:b/>
                <w:noProof/>
              </w:rPr>
              <w:t>Kvantitativni pokazatelji</w:t>
            </w:r>
            <w:r>
              <w:rPr>
                <w:noProof/>
              </w:rPr>
              <w:br/>
            </w:r>
            <w:r>
              <w:rPr>
                <w:b/>
                <w:noProof/>
              </w:rPr>
              <w:t xml:space="preserve"> (za ciljeve)</w:t>
            </w:r>
          </w:p>
        </w:tc>
        <w:tc>
          <w:tcPr>
            <w:tcW w:w="1468" w:type="dxa"/>
            <w:gridSpan w:val="2"/>
            <w:tcBorders>
              <w:top w:val="single" w:sz="8" w:space="0" w:color="000000"/>
              <w:left w:val="nil"/>
              <w:bottom w:val="single" w:sz="8" w:space="0" w:color="000000"/>
              <w:right w:val="single" w:sz="8" w:space="0" w:color="000000"/>
            </w:tcBorders>
            <w:shd w:val="clear" w:color="auto" w:fill="BDD7EE"/>
            <w:vAlign w:val="center"/>
          </w:tcPr>
          <w:p w14:paraId="44A70DE6" w14:textId="77777777" w:rsidR="00615E2D" w:rsidRDefault="00C83E46">
            <w:pPr>
              <w:pStyle w:val="P68B1DB1-Normal9"/>
              <w:spacing w:line="240" w:lineRule="auto"/>
              <w:jc w:val="center"/>
              <w:rPr>
                <w:noProof/>
              </w:rPr>
            </w:pPr>
            <w:r>
              <w:rPr>
                <w:noProof/>
              </w:rPr>
              <w:t xml:space="preserve">Okvirni vremenski okvir za dovršetak </w:t>
            </w:r>
          </w:p>
        </w:tc>
        <w:tc>
          <w:tcPr>
            <w:tcW w:w="5078" w:type="dxa"/>
            <w:vMerge w:val="restart"/>
            <w:tcBorders>
              <w:top w:val="single" w:sz="8" w:space="0" w:color="000000"/>
              <w:left w:val="nil"/>
              <w:right w:val="single" w:sz="8" w:space="0" w:color="000000"/>
            </w:tcBorders>
            <w:shd w:val="clear" w:color="auto" w:fill="BDD7EE"/>
            <w:vAlign w:val="center"/>
          </w:tcPr>
          <w:p w14:paraId="57CD1196" w14:textId="77777777" w:rsidR="00615E2D" w:rsidRDefault="00C83E46">
            <w:pPr>
              <w:pStyle w:val="P68B1DB1-Normal9"/>
              <w:spacing w:line="240" w:lineRule="auto"/>
              <w:jc w:val="center"/>
              <w:rPr>
                <w:noProof/>
              </w:rPr>
            </w:pPr>
            <w:r>
              <w:rPr>
                <w:noProof/>
              </w:rPr>
              <w:t xml:space="preserve">Opis i jasna definicija svake ključne etape i ciljne vrijednosti </w:t>
            </w:r>
          </w:p>
        </w:tc>
      </w:tr>
      <w:tr w:rsidR="00615E2D" w14:paraId="69EC70F5" w14:textId="77777777">
        <w:trPr>
          <w:trHeight w:val="600"/>
          <w:tblHeader/>
        </w:trPr>
        <w:tc>
          <w:tcPr>
            <w:tcW w:w="638" w:type="dxa"/>
            <w:vMerge/>
            <w:vAlign w:val="center"/>
          </w:tcPr>
          <w:p w14:paraId="3B40FCAE" w14:textId="77777777" w:rsidR="00615E2D" w:rsidRDefault="00615E2D">
            <w:pPr>
              <w:spacing w:line="240" w:lineRule="auto"/>
              <w:jc w:val="center"/>
              <w:rPr>
                <w:rFonts w:eastAsia="Times New Roman"/>
                <w:noProof/>
                <w:sz w:val="16"/>
              </w:rPr>
            </w:pPr>
          </w:p>
        </w:tc>
        <w:tc>
          <w:tcPr>
            <w:tcW w:w="1188" w:type="dxa"/>
            <w:vMerge/>
            <w:vAlign w:val="center"/>
          </w:tcPr>
          <w:p w14:paraId="472A6B1D" w14:textId="77777777" w:rsidR="00615E2D" w:rsidRDefault="00615E2D">
            <w:pPr>
              <w:spacing w:line="240" w:lineRule="auto"/>
              <w:jc w:val="center"/>
              <w:rPr>
                <w:rFonts w:eastAsia="Times New Roman"/>
                <w:noProof/>
                <w:sz w:val="16"/>
              </w:rPr>
            </w:pPr>
          </w:p>
        </w:tc>
        <w:tc>
          <w:tcPr>
            <w:tcW w:w="1006" w:type="dxa"/>
            <w:vMerge/>
            <w:vAlign w:val="center"/>
          </w:tcPr>
          <w:p w14:paraId="415C1173" w14:textId="77777777" w:rsidR="00615E2D" w:rsidRDefault="00615E2D">
            <w:pPr>
              <w:spacing w:line="240" w:lineRule="auto"/>
              <w:jc w:val="center"/>
              <w:rPr>
                <w:rFonts w:eastAsia="Times New Roman"/>
                <w:noProof/>
                <w:sz w:val="16"/>
              </w:rPr>
            </w:pPr>
          </w:p>
        </w:tc>
        <w:tc>
          <w:tcPr>
            <w:tcW w:w="1058" w:type="dxa"/>
            <w:vMerge/>
            <w:vAlign w:val="center"/>
          </w:tcPr>
          <w:p w14:paraId="0416416C" w14:textId="77777777" w:rsidR="00615E2D" w:rsidRDefault="00615E2D">
            <w:pPr>
              <w:spacing w:line="240" w:lineRule="auto"/>
              <w:jc w:val="center"/>
              <w:rPr>
                <w:rFonts w:eastAsia="Times New Roman"/>
                <w:noProof/>
                <w:sz w:val="16"/>
              </w:rPr>
            </w:pPr>
          </w:p>
        </w:tc>
        <w:tc>
          <w:tcPr>
            <w:tcW w:w="1110" w:type="dxa"/>
            <w:vMerge/>
            <w:vAlign w:val="center"/>
          </w:tcPr>
          <w:p w14:paraId="64D87B23" w14:textId="77777777" w:rsidR="00615E2D" w:rsidRDefault="00615E2D">
            <w:pPr>
              <w:spacing w:line="240" w:lineRule="auto"/>
              <w:jc w:val="center"/>
              <w:rPr>
                <w:rFonts w:eastAsia="Times New Roman"/>
                <w:noProof/>
                <w:sz w:val="16"/>
              </w:rPr>
            </w:pPr>
          </w:p>
        </w:tc>
        <w:tc>
          <w:tcPr>
            <w:tcW w:w="1006"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5FF8E2AD" w14:textId="77777777" w:rsidR="00615E2D" w:rsidRDefault="00C83E46">
            <w:pPr>
              <w:pStyle w:val="P68B1DB1-Normal9"/>
              <w:spacing w:line="240" w:lineRule="auto"/>
              <w:jc w:val="center"/>
              <w:rPr>
                <w:noProof/>
              </w:rPr>
            </w:pPr>
            <w:r>
              <w:rPr>
                <w:noProof/>
              </w:rPr>
              <w:t>Jedinica mjere</w:t>
            </w:r>
          </w:p>
        </w:tc>
        <w:tc>
          <w:tcPr>
            <w:tcW w:w="1006" w:type="dxa"/>
            <w:tcBorders>
              <w:top w:val="nil"/>
              <w:left w:val="single" w:sz="8" w:space="0" w:color="000000"/>
              <w:bottom w:val="single" w:sz="8" w:space="0" w:color="000000"/>
              <w:right w:val="single" w:sz="8" w:space="0" w:color="000000"/>
            </w:tcBorders>
            <w:shd w:val="clear" w:color="auto" w:fill="BDD7EE"/>
            <w:vAlign w:val="center"/>
          </w:tcPr>
          <w:p w14:paraId="6A1CF571" w14:textId="77777777" w:rsidR="00615E2D" w:rsidRDefault="00C83E46">
            <w:pPr>
              <w:pStyle w:val="P68B1DB1-Normal9"/>
              <w:spacing w:line="240" w:lineRule="auto"/>
              <w:jc w:val="center"/>
              <w:rPr>
                <w:noProof/>
              </w:rPr>
            </w:pPr>
            <w:r>
              <w:rPr>
                <w:noProof/>
              </w:rPr>
              <w:t>Osnovna vrijednost</w:t>
            </w:r>
          </w:p>
        </w:tc>
        <w:tc>
          <w:tcPr>
            <w:tcW w:w="1006" w:type="dxa"/>
            <w:tcBorders>
              <w:top w:val="nil"/>
              <w:left w:val="single" w:sz="8" w:space="0" w:color="000000"/>
              <w:bottom w:val="single" w:sz="8" w:space="0" w:color="000000"/>
              <w:right w:val="single" w:sz="8" w:space="0" w:color="000000"/>
            </w:tcBorders>
            <w:shd w:val="clear" w:color="auto" w:fill="BDD7EE"/>
            <w:vAlign w:val="center"/>
          </w:tcPr>
          <w:p w14:paraId="7400CDC9" w14:textId="77777777" w:rsidR="00615E2D" w:rsidRDefault="00C83E46">
            <w:pPr>
              <w:pStyle w:val="P68B1DB1-Normal9"/>
              <w:spacing w:line="240" w:lineRule="auto"/>
              <w:jc w:val="center"/>
              <w:rPr>
                <w:noProof/>
              </w:rPr>
            </w:pPr>
            <w:r>
              <w:rPr>
                <w:noProof/>
              </w:rPr>
              <w:t>Cilj</w:t>
            </w:r>
          </w:p>
        </w:tc>
        <w:tc>
          <w:tcPr>
            <w:tcW w:w="964" w:type="dxa"/>
            <w:tcBorders>
              <w:top w:val="single" w:sz="8" w:space="0" w:color="000000"/>
              <w:left w:val="single" w:sz="8" w:space="0" w:color="000000"/>
              <w:bottom w:val="single" w:sz="8" w:space="0" w:color="000000"/>
              <w:right w:val="single" w:sz="8" w:space="0" w:color="000000"/>
            </w:tcBorders>
            <w:shd w:val="clear" w:color="auto" w:fill="BDD7EE"/>
            <w:vAlign w:val="center"/>
          </w:tcPr>
          <w:p w14:paraId="5DE37AC6" w14:textId="77777777" w:rsidR="00615E2D" w:rsidRDefault="00C83E46">
            <w:pPr>
              <w:pStyle w:val="P68B1DB1-Normal9"/>
              <w:spacing w:line="240" w:lineRule="auto"/>
              <w:jc w:val="center"/>
              <w:rPr>
                <w:noProof/>
              </w:rPr>
            </w:pPr>
            <w:r>
              <w:rPr>
                <w:noProof/>
              </w:rPr>
              <w:t>Tromjesečje</w:t>
            </w:r>
          </w:p>
        </w:tc>
        <w:tc>
          <w:tcPr>
            <w:tcW w:w="669" w:type="dxa"/>
            <w:tcBorders>
              <w:top w:val="nil"/>
              <w:left w:val="single" w:sz="8" w:space="0" w:color="000000"/>
              <w:bottom w:val="single" w:sz="8" w:space="0" w:color="000000"/>
              <w:right w:val="single" w:sz="8" w:space="0" w:color="000000"/>
            </w:tcBorders>
            <w:shd w:val="clear" w:color="auto" w:fill="BDD7EE"/>
            <w:vAlign w:val="center"/>
          </w:tcPr>
          <w:p w14:paraId="7AE9E75A" w14:textId="77777777" w:rsidR="00615E2D" w:rsidRDefault="00C83E46">
            <w:pPr>
              <w:pStyle w:val="P68B1DB1-Normal9"/>
              <w:spacing w:line="240" w:lineRule="auto"/>
              <w:jc w:val="center"/>
              <w:rPr>
                <w:noProof/>
              </w:rPr>
            </w:pPr>
            <w:r>
              <w:rPr>
                <w:noProof/>
              </w:rPr>
              <w:t>Godina</w:t>
            </w:r>
          </w:p>
        </w:tc>
        <w:tc>
          <w:tcPr>
            <w:tcW w:w="5078" w:type="dxa"/>
            <w:vMerge/>
            <w:vAlign w:val="center"/>
          </w:tcPr>
          <w:p w14:paraId="7A5D5756" w14:textId="77777777" w:rsidR="00615E2D" w:rsidRDefault="00615E2D">
            <w:pPr>
              <w:spacing w:line="240" w:lineRule="auto"/>
              <w:jc w:val="center"/>
              <w:rPr>
                <w:rFonts w:eastAsia="Times New Roman"/>
                <w:noProof/>
                <w:sz w:val="16"/>
              </w:rPr>
            </w:pPr>
          </w:p>
        </w:tc>
      </w:tr>
      <w:tr w:rsidR="00615E2D" w14:paraId="7BA9C3C9" w14:textId="77777777">
        <w:trPr>
          <w:trHeight w:val="945"/>
        </w:trPr>
        <w:tc>
          <w:tcPr>
            <w:tcW w:w="63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EB64471" w14:textId="77777777" w:rsidR="00615E2D" w:rsidRDefault="00C83E46">
            <w:pPr>
              <w:pStyle w:val="P68B1DB1-Normal11"/>
              <w:spacing w:line="240" w:lineRule="auto"/>
              <w:jc w:val="center"/>
              <w:rPr>
                <w:noProof/>
              </w:rPr>
            </w:pPr>
            <w:r>
              <w:rPr>
                <w:noProof/>
              </w:rPr>
              <w:t>223</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16C69EF" w14:textId="77777777" w:rsidR="00615E2D" w:rsidRDefault="00C83E46">
            <w:pPr>
              <w:pStyle w:val="P68B1DB1-Normal11"/>
              <w:spacing w:line="240" w:lineRule="auto"/>
              <w:rPr>
                <w:noProof/>
              </w:rPr>
            </w:pPr>
            <w:r>
              <w:rPr>
                <w:noProof/>
              </w:rPr>
              <w:t xml:space="preserve">Ulaganje 1: Javna potpora istraživanju i razvoju za prioritetna područja medicinskih znanosti i povezanih društvenih znanosti </w:t>
            </w: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728C938" w14:textId="77777777" w:rsidR="00615E2D" w:rsidRDefault="00C83E46">
            <w:pPr>
              <w:pStyle w:val="P68B1DB1-Normal11"/>
              <w:spacing w:line="240" w:lineRule="auto"/>
              <w:rPr>
                <w:noProof/>
              </w:rPr>
            </w:pPr>
            <w:r>
              <w:rPr>
                <w:noProof/>
              </w:rPr>
              <w:t>Prekretnica</w:t>
            </w:r>
          </w:p>
        </w:tc>
        <w:tc>
          <w:tcPr>
            <w:tcW w:w="105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2BC498D" w14:textId="77777777" w:rsidR="00615E2D" w:rsidRDefault="00C83E46">
            <w:pPr>
              <w:pStyle w:val="P68B1DB1-Normal47"/>
              <w:spacing w:line="240" w:lineRule="auto"/>
              <w:rPr>
                <w:noProof/>
                <w:color w:val="006100"/>
              </w:rPr>
            </w:pPr>
            <w:r>
              <w:rPr>
                <w:noProof/>
              </w:rPr>
              <w:t xml:space="preserve">Pokretanje novog programa potpore istraživanju i razvoju </w:t>
            </w:r>
          </w:p>
        </w:tc>
        <w:tc>
          <w:tcPr>
            <w:tcW w:w="1110"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C5E88C2" w14:textId="77777777" w:rsidR="00615E2D" w:rsidRDefault="00C83E46">
            <w:pPr>
              <w:pStyle w:val="P68B1DB1-Normal47"/>
              <w:spacing w:line="240" w:lineRule="auto"/>
              <w:rPr>
                <w:noProof/>
                <w:color w:val="006100"/>
              </w:rPr>
            </w:pPr>
            <w:r>
              <w:rPr>
                <w:noProof/>
              </w:rPr>
              <w:t xml:space="preserve">Odobrenje programa od strane češke vlade i pokretanje natječaja </w:t>
            </w: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71B1287B" w14:textId="77777777" w:rsidR="00615E2D" w:rsidRDefault="00615E2D">
            <w:pPr>
              <w:spacing w:line="240" w:lineRule="auto"/>
              <w:rPr>
                <w:rFonts w:eastAsia="Times New Roman"/>
                <w:noProof/>
                <w:color w:val="006100"/>
                <w:sz w:val="18"/>
              </w:rPr>
            </w:pP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46AE4C1" w14:textId="77777777" w:rsidR="00615E2D" w:rsidRDefault="00615E2D">
            <w:pPr>
              <w:spacing w:line="240" w:lineRule="auto"/>
              <w:jc w:val="center"/>
              <w:rPr>
                <w:rFonts w:eastAsia="Times New Roman"/>
                <w:noProof/>
                <w:color w:val="006100"/>
                <w:sz w:val="18"/>
              </w:rPr>
            </w:pP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3D69383" w14:textId="77777777" w:rsidR="00615E2D" w:rsidRDefault="00615E2D">
            <w:pPr>
              <w:spacing w:line="240" w:lineRule="auto"/>
              <w:jc w:val="center"/>
              <w:rPr>
                <w:rFonts w:eastAsia="Times New Roman"/>
                <w:noProof/>
                <w:color w:val="006100"/>
                <w:sz w:val="18"/>
              </w:rPr>
            </w:pP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9E5C26F" w14:textId="77777777" w:rsidR="00615E2D" w:rsidRDefault="00C83E46">
            <w:pPr>
              <w:pStyle w:val="P68B1DB1-Normal11"/>
              <w:spacing w:line="240" w:lineRule="auto"/>
              <w:jc w:val="center"/>
              <w:rPr>
                <w:noProof/>
              </w:rPr>
            </w:pPr>
            <w:r>
              <w:rPr>
                <w:noProof/>
              </w:rPr>
              <w:t>ČETVRTO TROMJESEČJE</w:t>
            </w:r>
          </w:p>
        </w:tc>
        <w:tc>
          <w:tcPr>
            <w:tcW w:w="669"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E60FEDA" w14:textId="77777777" w:rsidR="00615E2D" w:rsidRDefault="00C83E46">
            <w:pPr>
              <w:pStyle w:val="P68B1DB1-Normal11"/>
              <w:spacing w:line="240" w:lineRule="auto"/>
              <w:jc w:val="center"/>
              <w:rPr>
                <w:noProof/>
              </w:rPr>
            </w:pPr>
            <w:r>
              <w:rPr>
                <w:noProof/>
              </w:rPr>
              <w:t>2021</w:t>
            </w:r>
          </w:p>
        </w:tc>
        <w:tc>
          <w:tcPr>
            <w:tcW w:w="507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A1DEBED" w14:textId="77777777" w:rsidR="00615E2D" w:rsidRDefault="00C83E46">
            <w:pPr>
              <w:pStyle w:val="P68B1DB1-Normal28"/>
              <w:spacing w:line="240" w:lineRule="auto"/>
              <w:rPr>
                <w:noProof/>
              </w:rPr>
            </w:pPr>
            <w:r>
              <w:rPr>
                <w:noProof/>
              </w:rPr>
              <w:t xml:space="preserve">Ključna etapa postiže se pokretanjem novog sistemskog programskog instrumenta za potporu istraživanju i razvoju u prioritetnim medicinskim znanostima i povezanim društvenim znanostima, odnosno: istraživanje zaraznih bolesti, istraživanje raka, neuroznanosti, metaboličkih poremećaja ili kardiovaskularnih bolesti te istraživanje društveno-gospodarskog utjecaja bolesti, u skladu s nacionalnim pravilima utvrđenima u Zakonu br. 130/2002 o potpori istraživanjima, eksperimentalnom razvoju i inovacijama iz javnih sredstava. </w:t>
            </w:r>
          </w:p>
          <w:p w14:paraId="78F0D12A" w14:textId="77777777" w:rsidR="00615E2D" w:rsidRDefault="00C83E46">
            <w:pPr>
              <w:pStyle w:val="P68B1DB1-Normal28"/>
              <w:spacing w:line="240" w:lineRule="auto"/>
              <w:rPr>
                <w:noProof/>
              </w:rPr>
            </w:pPr>
            <w:r>
              <w:rPr>
                <w:noProof/>
              </w:rPr>
              <w:t xml:space="preserve">Vlada donosi odluke nakon savjetovanja sa svim dionicima i u okviru unutarnjih i međuministarskih postupaka savjetovanja, savjetovanja s predstavnicima akademskih i aplikacijskih zajednica i sveučilišta u Vijeću za istraživanje, razvoj i inovacije te provjere apsorpcijske sposobnosti. </w:t>
            </w:r>
          </w:p>
          <w:p w14:paraId="499531F1" w14:textId="77777777" w:rsidR="00615E2D" w:rsidRDefault="00C83E46">
            <w:pPr>
              <w:pStyle w:val="P68B1DB1-Normal28"/>
              <w:spacing w:line="240" w:lineRule="auto"/>
              <w:rPr>
                <w:rFonts w:eastAsia="Times New Roman"/>
                <w:noProof/>
              </w:rPr>
            </w:pPr>
            <w:r>
              <w:rPr>
                <w:noProof/>
              </w:rPr>
              <w:t>Otvoreni poziv za javni natječaj u području istraživanja, razvoja i inovacija za novi program istraživanja i razvoja mora biti u skladu s nacionalnim propisima, posebno utvrđenima u Zakonu br. 130/2002 o potpori istraživanjima, eksperimentalnom razvoju i inovacijama iz javnih sredstava.</w:t>
            </w:r>
          </w:p>
        </w:tc>
      </w:tr>
      <w:tr w:rsidR="00615E2D" w14:paraId="3F72B949" w14:textId="77777777">
        <w:trPr>
          <w:trHeight w:val="369"/>
        </w:trPr>
        <w:tc>
          <w:tcPr>
            <w:tcW w:w="63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AC90309" w14:textId="77777777" w:rsidR="00615E2D" w:rsidRDefault="00C83E46">
            <w:pPr>
              <w:pStyle w:val="P68B1DB1-Normal11"/>
              <w:spacing w:line="240" w:lineRule="auto"/>
              <w:jc w:val="center"/>
              <w:rPr>
                <w:noProof/>
              </w:rPr>
            </w:pPr>
            <w:r>
              <w:rPr>
                <w:noProof/>
              </w:rPr>
              <w:t>224</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C86446A" w14:textId="77777777" w:rsidR="00615E2D" w:rsidRDefault="00C83E46">
            <w:pPr>
              <w:pStyle w:val="P68B1DB1-Normal11"/>
              <w:spacing w:line="240" w:lineRule="auto"/>
              <w:rPr>
                <w:noProof/>
              </w:rPr>
            </w:pPr>
            <w:r>
              <w:rPr>
                <w:noProof/>
              </w:rPr>
              <w:t>Ulaganje 1: Javna potpora istraživanju i razvoju za prioritetna područja medicinskih znanosti i povezanih društvenih znanosti</w:t>
            </w: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5FB6FAC" w14:textId="77777777" w:rsidR="00615E2D" w:rsidRDefault="00C83E46">
            <w:pPr>
              <w:pStyle w:val="P68B1DB1-Normal11"/>
              <w:spacing w:line="240" w:lineRule="auto"/>
              <w:rPr>
                <w:noProof/>
              </w:rPr>
            </w:pPr>
            <w:r>
              <w:rPr>
                <w:noProof/>
              </w:rPr>
              <w:t>Ciljna</w:t>
            </w:r>
          </w:p>
        </w:tc>
        <w:tc>
          <w:tcPr>
            <w:tcW w:w="105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9F7F92B" w14:textId="77777777" w:rsidR="00615E2D" w:rsidRDefault="00C83E46">
            <w:pPr>
              <w:pStyle w:val="P68B1DB1-Normal11"/>
              <w:spacing w:line="240" w:lineRule="auto"/>
              <w:rPr>
                <w:noProof/>
              </w:rPr>
            </w:pPr>
            <w:r>
              <w:rPr>
                <w:noProof/>
              </w:rPr>
              <w:t>Dodjela ugovora o javnoj nabavi za najmanje četiri konzorcija za istraživanje i razvoj</w:t>
            </w:r>
          </w:p>
        </w:tc>
        <w:tc>
          <w:tcPr>
            <w:tcW w:w="1110"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91EBEBD" w14:textId="77777777" w:rsidR="00615E2D" w:rsidRDefault="00615E2D">
            <w:pPr>
              <w:spacing w:line="240" w:lineRule="auto"/>
              <w:rPr>
                <w:rFonts w:eastAsia="Times New Roman"/>
                <w:noProof/>
                <w:color w:val="006100"/>
                <w:sz w:val="18"/>
              </w:rPr>
            </w:pP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B882384" w14:textId="77777777" w:rsidR="00615E2D" w:rsidRDefault="00C83E46">
            <w:pPr>
              <w:pStyle w:val="P68B1DB1-Normal11"/>
              <w:spacing w:line="240" w:lineRule="auto"/>
              <w:rPr>
                <w:noProof/>
              </w:rPr>
            </w:pPr>
            <w:r>
              <w:rPr>
                <w:noProof/>
              </w:rPr>
              <w:t>Broj ugovora</w:t>
            </w: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0C74409" w14:textId="77777777" w:rsidR="00615E2D" w:rsidRDefault="00C83E46">
            <w:pPr>
              <w:pStyle w:val="P68B1DB1-Normal11"/>
              <w:spacing w:line="240" w:lineRule="auto"/>
              <w:jc w:val="center"/>
              <w:rPr>
                <w:noProof/>
              </w:rPr>
            </w:pPr>
            <w:r>
              <w:rPr>
                <w:noProof/>
              </w:rPr>
              <w:t>0</w:t>
            </w: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789F93F" w14:textId="77777777" w:rsidR="00615E2D" w:rsidRDefault="00C83E46">
            <w:pPr>
              <w:pStyle w:val="P68B1DB1-Normal11"/>
              <w:spacing w:line="240" w:lineRule="auto"/>
              <w:jc w:val="center"/>
              <w:rPr>
                <w:noProof/>
              </w:rPr>
            </w:pPr>
            <w:r>
              <w:rPr>
                <w:noProof/>
              </w:rPr>
              <w:t>4</w:t>
            </w: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32B8F8C" w14:textId="77777777" w:rsidR="00615E2D" w:rsidRDefault="00C83E46">
            <w:pPr>
              <w:pStyle w:val="P68B1DB1-Normal11"/>
              <w:spacing w:line="240" w:lineRule="auto"/>
              <w:jc w:val="center"/>
              <w:rPr>
                <w:noProof/>
              </w:rPr>
            </w:pPr>
            <w:r>
              <w:rPr>
                <w:noProof/>
              </w:rPr>
              <w:t>TROMJESEČJE</w:t>
            </w:r>
          </w:p>
        </w:tc>
        <w:tc>
          <w:tcPr>
            <w:tcW w:w="669"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92EC766" w14:textId="77777777" w:rsidR="00615E2D" w:rsidRDefault="00C83E46">
            <w:pPr>
              <w:pStyle w:val="P68B1DB1-Normal11"/>
              <w:spacing w:line="240" w:lineRule="auto"/>
              <w:jc w:val="center"/>
              <w:rPr>
                <w:noProof/>
              </w:rPr>
            </w:pPr>
            <w:r>
              <w:rPr>
                <w:noProof/>
              </w:rPr>
              <w:t>2022</w:t>
            </w:r>
          </w:p>
        </w:tc>
        <w:tc>
          <w:tcPr>
            <w:tcW w:w="507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2A47038" w14:textId="77777777" w:rsidR="00615E2D" w:rsidRDefault="00C83E46">
            <w:pPr>
              <w:pStyle w:val="P68B1DB1-Normal28"/>
              <w:spacing w:line="240" w:lineRule="auto"/>
              <w:rPr>
                <w:rFonts w:eastAsia="Times New Roman"/>
                <w:noProof/>
              </w:rPr>
            </w:pPr>
            <w:r>
              <w:rPr>
                <w:rFonts w:eastAsia="Times New Roman"/>
                <w:noProof/>
              </w:rPr>
              <w:t xml:space="preserve">Cilj se postiže nakon obavijesti o dodjeli ugovora o javnoj nabavi za najmanje četiri konzorcija za istraživanje i razvoj </w:t>
            </w:r>
            <w:r>
              <w:rPr>
                <w:noProof/>
              </w:rPr>
              <w:t>u prioritetnim medicinskim znanostima i povezanim društvenim znanostima, i to: istraživanje zaraznih bolesti, istraživanje raka, neuroznanosti, metaboličke poremećaje ili kardiovaskularne bolesti te istraživanje društveno-gospodarskog učinka bolesti</w:t>
            </w:r>
            <w:r>
              <w:rPr>
                <w:rFonts w:eastAsia="Times New Roman"/>
                <w:noProof/>
              </w:rPr>
              <w:t xml:space="preserve">. </w:t>
            </w:r>
          </w:p>
          <w:p w14:paraId="1971D7DB" w14:textId="77777777" w:rsidR="00615E2D" w:rsidRDefault="00C83E46">
            <w:pPr>
              <w:pStyle w:val="P68B1DB1-Normal28"/>
              <w:spacing w:line="240" w:lineRule="auto"/>
              <w:rPr>
                <w:noProof/>
              </w:rPr>
            </w:pPr>
            <w:r>
              <w:rPr>
                <w:noProof/>
              </w:rPr>
              <w:t>Ukupni proračun dodijeljen u tu svrhu iznosi najmanje 196 371 000 EUR.</w:t>
            </w:r>
          </w:p>
        </w:tc>
      </w:tr>
      <w:tr w:rsidR="00615E2D" w14:paraId="72E5E473" w14:textId="77777777">
        <w:trPr>
          <w:trHeight w:val="945"/>
        </w:trPr>
        <w:tc>
          <w:tcPr>
            <w:tcW w:w="63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F3AFF5C" w14:textId="77777777" w:rsidR="00615E2D" w:rsidRDefault="00C83E46">
            <w:pPr>
              <w:pStyle w:val="P68B1DB1-Normal11"/>
              <w:spacing w:line="240" w:lineRule="auto"/>
              <w:jc w:val="center"/>
              <w:rPr>
                <w:noProof/>
              </w:rPr>
            </w:pPr>
            <w:r>
              <w:rPr>
                <w:noProof/>
              </w:rPr>
              <w:t>225</w:t>
            </w:r>
          </w:p>
        </w:tc>
        <w:tc>
          <w:tcPr>
            <w:tcW w:w="118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05633E19" w14:textId="77777777" w:rsidR="00615E2D" w:rsidRDefault="00C83E46">
            <w:pPr>
              <w:pStyle w:val="P68B1DB1-Normal11"/>
              <w:spacing w:line="240" w:lineRule="auto"/>
              <w:rPr>
                <w:noProof/>
              </w:rPr>
            </w:pPr>
            <w:r>
              <w:rPr>
                <w:noProof/>
              </w:rPr>
              <w:t>Ulaganje 1: Javna potpora istraživanju i razvoju za prioritetna područja medicinskih znanosti i povezanih društvenih znanosti</w:t>
            </w: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4B51F81C" w14:textId="77777777" w:rsidR="00615E2D" w:rsidRDefault="00C83E46">
            <w:pPr>
              <w:pStyle w:val="P68B1DB1-Normal11"/>
              <w:spacing w:line="240" w:lineRule="auto"/>
              <w:rPr>
                <w:noProof/>
              </w:rPr>
            </w:pPr>
            <w:r>
              <w:rPr>
                <w:noProof/>
              </w:rPr>
              <w:t>Ciljna</w:t>
            </w:r>
          </w:p>
        </w:tc>
        <w:tc>
          <w:tcPr>
            <w:tcW w:w="105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2A81866" w14:textId="77777777" w:rsidR="00615E2D" w:rsidRDefault="00C83E46">
            <w:pPr>
              <w:pStyle w:val="P68B1DB1-Normal28"/>
              <w:spacing w:line="240" w:lineRule="auto"/>
              <w:rPr>
                <w:noProof/>
              </w:rPr>
            </w:pPr>
            <w:r>
              <w:rPr>
                <w:noProof/>
              </w:rPr>
              <w:t xml:space="preserve">Potvrđivanje najmanje četiriju nacionalnih konzorcija za istraživanje i razvoj i njihova integracija u češki sustav istraživanja i razvoja kao nacionalnih istraživačkih tijela </w:t>
            </w:r>
          </w:p>
        </w:tc>
        <w:tc>
          <w:tcPr>
            <w:tcW w:w="1110"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25BCCCCF" w14:textId="77777777" w:rsidR="00615E2D" w:rsidRDefault="00615E2D">
            <w:pPr>
              <w:spacing w:line="240" w:lineRule="auto"/>
              <w:rPr>
                <w:rFonts w:eastAsia="Times New Roman"/>
                <w:noProof/>
                <w:color w:val="006100"/>
                <w:sz w:val="18"/>
              </w:rPr>
            </w:pP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709ED2D" w14:textId="77777777" w:rsidR="00615E2D" w:rsidRDefault="00C83E46">
            <w:pPr>
              <w:pStyle w:val="P68B1DB1-Normal28"/>
              <w:spacing w:line="240" w:lineRule="auto"/>
              <w:rPr>
                <w:rFonts w:eastAsia="Times New Roman"/>
                <w:noProof/>
              </w:rPr>
            </w:pPr>
            <w:r>
              <w:rPr>
                <w:noProof/>
              </w:rPr>
              <w:t>Broj konzorcija koje je potvrdilo Ministarstvo obrazovanja, mladih i sporta</w:t>
            </w: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2DCB83B" w14:textId="77777777" w:rsidR="00615E2D" w:rsidRDefault="00C83E46">
            <w:pPr>
              <w:pStyle w:val="P68B1DB1-Normal11"/>
              <w:spacing w:line="240" w:lineRule="auto"/>
              <w:jc w:val="center"/>
              <w:rPr>
                <w:noProof/>
              </w:rPr>
            </w:pPr>
            <w:r>
              <w:rPr>
                <w:noProof/>
              </w:rPr>
              <w:t>0</w:t>
            </w:r>
          </w:p>
        </w:tc>
        <w:tc>
          <w:tcPr>
            <w:tcW w:w="1006"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89483F4" w14:textId="77777777" w:rsidR="00615E2D" w:rsidRDefault="00C83E46">
            <w:pPr>
              <w:pStyle w:val="P68B1DB1-Normal11"/>
              <w:spacing w:line="240" w:lineRule="auto"/>
              <w:jc w:val="center"/>
              <w:rPr>
                <w:noProof/>
              </w:rPr>
            </w:pPr>
            <w:r>
              <w:rPr>
                <w:noProof/>
              </w:rPr>
              <w:t>4</w:t>
            </w:r>
          </w:p>
        </w:tc>
        <w:tc>
          <w:tcPr>
            <w:tcW w:w="964"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5496FD48" w14:textId="77777777" w:rsidR="00615E2D" w:rsidRDefault="00C83E46">
            <w:pPr>
              <w:pStyle w:val="P68B1DB1-Normal11"/>
              <w:spacing w:line="240" w:lineRule="auto"/>
              <w:jc w:val="center"/>
              <w:rPr>
                <w:noProof/>
              </w:rPr>
            </w:pPr>
            <w:r>
              <w:rPr>
                <w:noProof/>
              </w:rPr>
              <w:t>ČETVRTO TROMJESEČJE</w:t>
            </w:r>
          </w:p>
        </w:tc>
        <w:tc>
          <w:tcPr>
            <w:tcW w:w="669"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3F7FA499" w14:textId="77777777" w:rsidR="00615E2D" w:rsidRDefault="00C83E46">
            <w:pPr>
              <w:pStyle w:val="P68B1DB1-Normal11"/>
              <w:spacing w:line="240" w:lineRule="auto"/>
              <w:jc w:val="center"/>
              <w:rPr>
                <w:noProof/>
              </w:rPr>
            </w:pPr>
            <w:r>
              <w:rPr>
                <w:noProof/>
              </w:rPr>
              <w:t>2025</w:t>
            </w:r>
          </w:p>
        </w:tc>
        <w:tc>
          <w:tcPr>
            <w:tcW w:w="5078" w:type="dxa"/>
            <w:tcBorders>
              <w:top w:val="single" w:sz="8" w:space="0" w:color="000000"/>
              <w:left w:val="single" w:sz="8" w:space="0" w:color="000000"/>
              <w:bottom w:val="single" w:sz="8" w:space="0" w:color="000000"/>
              <w:right w:val="single" w:sz="8" w:space="0" w:color="000000"/>
            </w:tcBorders>
            <w:shd w:val="clear" w:color="auto" w:fill="C6EFCE"/>
            <w:vAlign w:val="center"/>
          </w:tcPr>
          <w:p w14:paraId="1EDA5B93" w14:textId="52EF3060" w:rsidR="00615E2D" w:rsidRDefault="00C83E46">
            <w:pPr>
              <w:pStyle w:val="P68B1DB1-Normal28"/>
              <w:spacing w:line="240" w:lineRule="auto"/>
              <w:rPr>
                <w:noProof/>
              </w:rPr>
            </w:pPr>
            <w:r>
              <w:rPr>
                <w:noProof/>
              </w:rPr>
              <w:t xml:space="preserve">Cilj se postiže potvrđivanjem funkcioniranja najmanje četiriju konzorcija u područjima istraživanja zaraznih bolesti, istraživanja raka, neuroznanosti, metaboličkih poremećaja ili kardiovaskularnih bolesti te istraživanja o socioekonomskom učinku bolesti i njihovoj integraciji u češki sustav istraživanja i razvoja kao nacionalnih istraživačkih tijela Ministarstva obrazovanja, mladih i sporta. </w:t>
            </w:r>
          </w:p>
          <w:p w14:paraId="39F7CFA6" w14:textId="77777777" w:rsidR="00615E2D" w:rsidRDefault="00C83E46">
            <w:pPr>
              <w:pStyle w:val="P68B1DB1-Normal28"/>
              <w:spacing w:line="240" w:lineRule="auto"/>
              <w:rPr>
                <w:rFonts w:eastAsia="Times New Roman"/>
                <w:noProof/>
              </w:rPr>
            </w:pPr>
            <w:r>
              <w:rPr>
                <w:noProof/>
              </w:rPr>
              <w:t>Postupak potvrđivanja provodi se na temelju ocjenjivanja i ocjenjivanja u skladu s nacionalnim pravilima utvrđenima u Aktu br. 130/2002 o potpori istraživanju, eksperimentalnom razvoju i inovacijama iz javnih sredstava, istorazinskoj ocjeni i posjetima stručnih lokacija.</w:t>
            </w:r>
          </w:p>
        </w:tc>
      </w:tr>
    </w:tbl>
    <w:p w14:paraId="787A051D" w14:textId="77777777" w:rsidR="00615E2D" w:rsidRDefault="00615E2D">
      <w:pPr>
        <w:spacing w:line="240" w:lineRule="auto"/>
        <w:rPr>
          <w:rFonts w:ascii="Calibri" w:hAnsi="Calibri"/>
          <w:noProof/>
          <w:sz w:val="22"/>
        </w:rPr>
      </w:pPr>
    </w:p>
    <w:p w14:paraId="7C2314C1" w14:textId="77777777" w:rsidR="00615E2D" w:rsidRDefault="00615E2D">
      <w:pPr>
        <w:pBdr>
          <w:top w:val="nil"/>
          <w:left w:val="nil"/>
          <w:bottom w:val="nil"/>
          <w:right w:val="nil"/>
          <w:between w:val="nil"/>
        </w:pBdr>
        <w:spacing w:line="240" w:lineRule="auto"/>
        <w:rPr>
          <w:rFonts w:ascii="Calibri" w:hAnsi="Calibri"/>
          <w:noProof/>
          <w:color w:val="000000"/>
          <w:sz w:val="22"/>
        </w:rPr>
        <w:sectPr w:rsidR="00615E2D" w:rsidSect="00997F50">
          <w:headerReference w:type="even" r:id="rId384"/>
          <w:headerReference w:type="default" r:id="rId385"/>
          <w:footerReference w:type="even" r:id="rId386"/>
          <w:footerReference w:type="default" r:id="rId387"/>
          <w:headerReference w:type="first" r:id="rId388"/>
          <w:footerReference w:type="first" r:id="rId389"/>
          <w:pgSz w:w="16839" w:h="11907" w:orient="landscape"/>
          <w:pgMar w:top="1134" w:right="1134" w:bottom="1134" w:left="1134" w:header="567" w:footer="567" w:gutter="0"/>
          <w:cols w:space="720"/>
          <w:docGrid w:linePitch="326"/>
        </w:sectPr>
      </w:pPr>
    </w:p>
    <w:p w14:paraId="68E02D9E" w14:textId="787E0086" w:rsidR="00615E2D" w:rsidRDefault="00C83E46">
      <w:pPr>
        <w:pStyle w:val="P68B1DB1-Normal2"/>
        <w:keepNext/>
        <w:tabs>
          <w:tab w:val="left" w:pos="850"/>
        </w:tabs>
        <w:spacing w:line="240" w:lineRule="auto"/>
        <w:jc w:val="both"/>
        <w:outlineLvl w:val="0"/>
        <w:rPr>
          <w:noProof/>
        </w:rPr>
      </w:pPr>
      <w:r>
        <w:rPr>
          <w:noProof/>
        </w:rPr>
        <w:t xml:space="preserve">AA. SASTAVNI DIO 5.2.: Potpora za istraživanje i razvoj u poduzećima i uvođenje inovacija u poslovnu praksu </w:t>
      </w:r>
    </w:p>
    <w:p w14:paraId="7B42E9D3" w14:textId="0584BF63" w:rsidR="00615E2D" w:rsidRDefault="00C83E46">
      <w:pPr>
        <w:spacing w:line="240" w:lineRule="auto"/>
        <w:jc w:val="both"/>
        <w:rPr>
          <w:noProof/>
        </w:rPr>
      </w:pPr>
      <w:r>
        <w:rPr>
          <w:noProof/>
        </w:rPr>
        <w:t xml:space="preserve">Ta komponenta češkog plana za oporavak i otpornost pridonosi svladavanju izazova jačanja inovacijskog kapaciteta domaćih poduzeća i poboljšanja suradnje u okviru češkog inovacijskog ekosustava. To će se postići potporom inovativnim poduzećima, posebno u pogledu digitalizacije, organizacijskih inovacija i veza između akademske zajednice i poduzeća. Potporom se naglašava međunarodna suradnja i sinergije s Okvirnim programom za istraživanje i inovacije. </w:t>
      </w:r>
    </w:p>
    <w:p w14:paraId="51114547" w14:textId="77777777" w:rsidR="00615E2D" w:rsidRDefault="00C83E46">
      <w:pPr>
        <w:pStyle w:val="P68B1DB1-Normal3"/>
        <w:spacing w:line="240" w:lineRule="auto"/>
        <w:jc w:val="both"/>
        <w:rPr>
          <w:noProof/>
          <w:color w:val="000000"/>
        </w:rPr>
      </w:pPr>
      <w:r>
        <w:rPr>
          <w:noProof/>
        </w:rPr>
        <w:t>Komponentom se podupire odgovor na preporuku za pojedinu zemlju 3. 2019., u skladu s kojom Češka uklanja prepreke razvoju potpuno funkcionalnog inovacijskog ekosustava, i preporuka za pojedinu zemlju br. 3 2020., u skladu s kojom Češka inovativnim poduzećima osigurava pristup financiranju i poboljšava javno-privatnu suradnju u području istraživanja i razvoja.</w:t>
      </w:r>
    </w:p>
    <w:p w14:paraId="1E9B97ED" w14:textId="77777777" w:rsidR="00615E2D" w:rsidRDefault="00C83E46">
      <w:pPr>
        <w:pStyle w:val="P68B1DB1-Normal3"/>
        <w:spacing w:line="240" w:lineRule="auto"/>
        <w:jc w:val="both"/>
        <w:rPr>
          <w:noProof/>
        </w:rPr>
      </w:pPr>
      <w:r>
        <w:rPr>
          <w:noProof/>
        </w:rPr>
        <w:t>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 Konkretno, rezultati postupka istraživanja i inovacija moraju biti tehnološki neutralni na razini njihove primjene (tj. primjenjuju se na sve dostupne tehnologije, uključujući tehnologije s malim učinkom), a mjera ex ante isključuje istraživanja i inovacije posvećene elementima „istraživanja i inovacija” (tj. ugljen, lignit, naftu/nafta, prirodni plin koji nije obuhvaćen Prilogom III. Tehničkim smjernicama o nenanošenja bitne štete, plavi i sivi vodik, spalionice i odlagališta otpada).</w:t>
      </w:r>
    </w:p>
    <w:p w14:paraId="52201E7C" w14:textId="77777777" w:rsidR="00615E2D" w:rsidRDefault="00615E2D">
      <w:pPr>
        <w:spacing w:line="240" w:lineRule="auto"/>
        <w:jc w:val="both"/>
        <w:rPr>
          <w:rFonts w:eastAsia="Times New Roman"/>
          <w:noProof/>
        </w:rPr>
      </w:pPr>
    </w:p>
    <w:p w14:paraId="353E6E83" w14:textId="0CFB927B" w:rsidR="00615E2D" w:rsidRDefault="00C83E46">
      <w:pPr>
        <w:pStyle w:val="P68B1DB1-Normal5"/>
        <w:spacing w:line="240" w:lineRule="auto"/>
        <w:jc w:val="both"/>
        <w:rPr>
          <w:noProof/>
        </w:rPr>
      </w:pPr>
      <w:r>
        <w:rPr>
          <w:noProof/>
        </w:rPr>
        <w:t>A.1. Opis reformi i ulaganja za programe bespovratne financijske potpore</w:t>
      </w:r>
    </w:p>
    <w:p w14:paraId="37226DE8" w14:textId="77777777" w:rsidR="00615E2D" w:rsidRDefault="00C83E46">
      <w:pPr>
        <w:pStyle w:val="P68B1DB1-Normal7"/>
        <w:pBdr>
          <w:top w:val="nil"/>
          <w:left w:val="nil"/>
          <w:bottom w:val="nil"/>
          <w:right w:val="nil"/>
          <w:between w:val="nil"/>
        </w:pBdr>
        <w:spacing w:line="240" w:lineRule="auto"/>
        <w:rPr>
          <w:noProof/>
        </w:rPr>
      </w:pPr>
      <w:r>
        <w:rPr>
          <w:noProof/>
        </w:rPr>
        <w:t xml:space="preserve">Reforma 1.: Osnivanje nacionalne koordinacijske skupine za potporu industrijskom istraživanju </w:t>
      </w:r>
    </w:p>
    <w:p w14:paraId="3EDF40B6" w14:textId="77777777" w:rsidR="00615E2D" w:rsidRDefault="00C83E46">
      <w:pPr>
        <w:pBdr>
          <w:top w:val="nil"/>
          <w:left w:val="nil"/>
          <w:bottom w:val="nil"/>
          <w:right w:val="nil"/>
          <w:between w:val="nil"/>
        </w:pBdr>
        <w:spacing w:line="240" w:lineRule="auto"/>
        <w:jc w:val="both"/>
        <w:rPr>
          <w:noProof/>
        </w:rPr>
      </w:pPr>
      <w:r>
        <w:rPr>
          <w:noProof/>
        </w:rPr>
        <w:t>Reforma podrazumijeva osnivanje nacionalne koordinacijske skupine</w:t>
      </w:r>
      <w:r>
        <w:rPr>
          <w:rFonts w:eastAsia="Times New Roman"/>
          <w:noProof/>
          <w:color w:val="000000"/>
        </w:rPr>
        <w:t xml:space="preserve"> za potporu industrijskom istraživanju</w:t>
      </w:r>
      <w:r>
        <w:rPr>
          <w:noProof/>
        </w:rPr>
        <w:t xml:space="preserve">, koja će uskladiti politike potpore industrijskom istraživanju i razvoju među tvorcima politika, postojećim pružateljima potpore istraživanju, razvoju i inovacijama i Vladinim vijećem za istraživanje, razvoj i inovacije. </w:t>
      </w:r>
    </w:p>
    <w:p w14:paraId="15C26162" w14:textId="77777777" w:rsidR="00615E2D" w:rsidRDefault="00C83E46">
      <w:pPr>
        <w:pBdr>
          <w:top w:val="nil"/>
          <w:left w:val="nil"/>
          <w:bottom w:val="nil"/>
          <w:right w:val="nil"/>
          <w:between w:val="nil"/>
        </w:pBdr>
        <w:spacing w:line="240" w:lineRule="auto"/>
        <w:jc w:val="both"/>
        <w:rPr>
          <w:noProof/>
        </w:rPr>
      </w:pPr>
      <w:r>
        <w:rPr>
          <w:noProof/>
        </w:rPr>
        <w:t xml:space="preserve">Nacionalna koordinacijska skupina osigurava uspostavu strukture za potporne programe usklađene sa strategijom pametne specijalizacije. Njome bi se trebali uskladiti uvjeti za dodjelu potpore i koncentracija svih relevantnih programa u okviru jedinstvenog provedbenog tijela – Tehnološke agencije Češke Republike. </w:t>
      </w:r>
    </w:p>
    <w:p w14:paraId="5D1EA938" w14:textId="77777777" w:rsidR="00615E2D" w:rsidRDefault="00C83E46">
      <w:pPr>
        <w:pStyle w:val="P68B1DB1-Normal4"/>
        <w:spacing w:line="240" w:lineRule="auto"/>
        <w:jc w:val="both"/>
        <w:rPr>
          <w:noProof/>
        </w:rPr>
      </w:pPr>
      <w:r>
        <w:rPr>
          <w:noProof/>
        </w:rPr>
        <w:t>Reforma se provodi do 31. prosinca 2021.</w:t>
      </w:r>
    </w:p>
    <w:p w14:paraId="7C4EA128" w14:textId="77777777" w:rsidR="00615E2D" w:rsidRDefault="00C83E46">
      <w:pPr>
        <w:pStyle w:val="P68B1DB1-Normal18"/>
        <w:spacing w:line="240" w:lineRule="auto"/>
        <w:rPr>
          <w:noProof/>
          <w:color w:val="000000"/>
        </w:rPr>
      </w:pPr>
      <w:r>
        <w:rPr>
          <w:noProof/>
        </w:rPr>
        <w:t>Ulaganje 1: Potpora za uvođenje inovacija u poslovnu praksu</w:t>
      </w:r>
    </w:p>
    <w:p w14:paraId="6F89773C" w14:textId="77777777" w:rsidR="00615E2D" w:rsidRDefault="00C83E46">
      <w:pPr>
        <w:pStyle w:val="P68B1DB1-Normal4"/>
        <w:spacing w:line="240" w:lineRule="auto"/>
        <w:jc w:val="both"/>
        <w:rPr>
          <w:noProof/>
          <w:sz w:val="22"/>
        </w:rPr>
      </w:pPr>
      <w:r>
        <w:rPr>
          <w:noProof/>
        </w:rPr>
        <w:t xml:space="preserve">Cilj je mjere poduprijeti inovacijske projekte MSP-ova s ciljem uvođenja inovacija proizvoda, procesa ili organizacije u poslovnu praksu. </w:t>
      </w:r>
    </w:p>
    <w:p w14:paraId="07B034CF" w14:textId="77777777" w:rsidR="00615E2D" w:rsidRDefault="00C83E46">
      <w:pPr>
        <w:pStyle w:val="P68B1DB1-Normal4"/>
        <w:spacing w:line="240" w:lineRule="auto"/>
        <w:jc w:val="both"/>
        <w:rPr>
          <w:noProof/>
          <w:sz w:val="22"/>
        </w:rPr>
      </w:pPr>
      <w:r>
        <w:rPr>
          <w:noProof/>
        </w:rPr>
        <w:t>90 pojedinačnih inovacijskih projekata MSP-ova (proces, proizvod, organizacija) provodi se kao rezultat projekta kojem je dodijeljena potpora.</w:t>
      </w:r>
    </w:p>
    <w:p w14:paraId="0DE68DFE" w14:textId="2EB2DD0F" w:rsidR="00615E2D" w:rsidRDefault="00C83E46">
      <w:pPr>
        <w:tabs>
          <w:tab w:val="right" w:pos="9639"/>
        </w:tabs>
        <w:spacing w:line="240" w:lineRule="auto"/>
        <w:jc w:val="both"/>
        <w:rPr>
          <w:rFonts w:ascii="Calibri" w:hAnsi="Calibri"/>
          <w:noProof/>
          <w:sz w:val="22"/>
        </w:rPr>
      </w:pPr>
      <w:r>
        <w:rPr>
          <w:rFonts w:eastAsia="Times New Roman"/>
          <w:noProof/>
          <w:color w:val="000000"/>
        </w:rPr>
        <w:t>Ulaganje se provodi do 31. ožujka 2026.</w:t>
      </w:r>
      <w:r>
        <w:rPr>
          <w:noProof/>
        </w:rPr>
        <w:t xml:space="preserve"> </w:t>
      </w:r>
    </w:p>
    <w:p w14:paraId="60E203DE" w14:textId="77777777" w:rsidR="00615E2D" w:rsidRDefault="00C83E46">
      <w:pPr>
        <w:pStyle w:val="P68B1DB1-Normal26"/>
        <w:autoSpaceDE w:val="0"/>
        <w:autoSpaceDN w:val="0"/>
        <w:adjustRightInd w:val="0"/>
        <w:spacing w:line="240" w:lineRule="auto"/>
        <w:rPr>
          <w:noProof/>
        </w:rPr>
      </w:pPr>
      <w:r>
        <w:rPr>
          <w:noProof/>
        </w:rPr>
        <w:t xml:space="preserve">Ulaganje 2: Potpora suradnji u području istraživanja i razvoja (u skladu s nacionalnom strategijom RIS3) </w:t>
      </w:r>
    </w:p>
    <w:p w14:paraId="59BB3722" w14:textId="78ECE6CA" w:rsidR="00615E2D" w:rsidRDefault="00C83E46">
      <w:pPr>
        <w:pStyle w:val="P68B1DB1-Normal3"/>
        <w:autoSpaceDE w:val="0"/>
        <w:autoSpaceDN w:val="0"/>
        <w:adjustRightInd w:val="0"/>
        <w:spacing w:line="240" w:lineRule="auto"/>
        <w:jc w:val="both"/>
        <w:rPr>
          <w:noProof/>
        </w:rPr>
      </w:pPr>
      <w:r>
        <w:rPr>
          <w:noProof/>
        </w:rPr>
        <w:t xml:space="preserve">Cilj je mjere pružiti potporu suradnji između istraživačkih organizacija i MSP-ova u okviru programa nacionalnih centara stručnosti. </w:t>
      </w:r>
    </w:p>
    <w:p w14:paraId="7E3F0B3C" w14:textId="07FC8851" w:rsidR="00615E2D" w:rsidRDefault="00C83E46">
      <w:pPr>
        <w:pStyle w:val="P68B1DB1-Normal3"/>
        <w:autoSpaceDE w:val="0"/>
        <w:autoSpaceDN w:val="0"/>
        <w:adjustRightInd w:val="0"/>
        <w:spacing w:line="240" w:lineRule="auto"/>
        <w:jc w:val="both"/>
        <w:rPr>
          <w:noProof/>
        </w:rPr>
      </w:pPr>
      <w:r>
        <w:rPr>
          <w:noProof/>
        </w:rPr>
        <w:t>Podupiru se projekti suradnje najmanje 60 MSP-ova s javnom istraživačkom organizacijom u okviru novoosnovanih nacionalnih centara stručnosti.</w:t>
      </w:r>
    </w:p>
    <w:p w14:paraId="1334D395" w14:textId="4652920D" w:rsidR="00615E2D" w:rsidRDefault="00C83E46">
      <w:pPr>
        <w:pStyle w:val="P68B1DB1-Normal3"/>
        <w:autoSpaceDE w:val="0"/>
        <w:autoSpaceDN w:val="0"/>
        <w:adjustRightInd w:val="0"/>
        <w:spacing w:line="259" w:lineRule="auto"/>
        <w:contextualSpacing/>
        <w:jc w:val="both"/>
        <w:rPr>
          <w:noProof/>
          <w:sz w:val="22"/>
        </w:rPr>
      </w:pPr>
      <w:r>
        <w:rPr>
          <w:noProof/>
        </w:rPr>
        <w:t xml:space="preserve">Ulaganje se </w:t>
      </w:r>
      <w:r>
        <w:rPr>
          <w:noProof/>
          <w:color w:val="000000" w:themeColor="text1"/>
        </w:rPr>
        <w:t>provodi</w:t>
      </w:r>
      <w:r>
        <w:rPr>
          <w:noProof/>
        </w:rPr>
        <w:t xml:space="preserve"> do 31. ožujka 2026.</w:t>
      </w:r>
    </w:p>
    <w:p w14:paraId="6CA5A6BC" w14:textId="77777777" w:rsidR="00615E2D" w:rsidRDefault="00C83E46">
      <w:pPr>
        <w:pStyle w:val="P68B1DB1-Normal26"/>
        <w:spacing w:line="259" w:lineRule="auto"/>
        <w:jc w:val="both"/>
        <w:rPr>
          <w:noProof/>
        </w:rPr>
      </w:pPr>
      <w:r>
        <w:rPr>
          <w:noProof/>
        </w:rPr>
        <w:t>Ulaganje 3: Potpore za istraživanje i razvoj u području okoliša</w:t>
      </w:r>
    </w:p>
    <w:p w14:paraId="29FA6F90" w14:textId="77777777" w:rsidR="00615E2D" w:rsidRDefault="00C83E46">
      <w:pPr>
        <w:pStyle w:val="P68B1DB1-Normal3"/>
        <w:autoSpaceDE w:val="0"/>
        <w:autoSpaceDN w:val="0"/>
        <w:adjustRightInd w:val="0"/>
        <w:spacing w:line="259" w:lineRule="auto"/>
        <w:contextualSpacing/>
        <w:jc w:val="both"/>
        <w:rPr>
          <w:noProof/>
        </w:rPr>
      </w:pPr>
      <w:r>
        <w:rPr>
          <w:noProof/>
        </w:rPr>
        <w:t xml:space="preserve">Cilj je mjere poduprijeti industrijske projekte istraživanja, razvoja i inovacija koje su predložile istraživačke organizacije i poduzeća, uključujući suradničke projekte, usmjerene na rješavanje izazova utvrđenih u okviru „Državne politike zaštite okoliša Češke do 2030. s perspektivom do 2050.” i sektorskom strategijom potpore istraživanju. Projekti istraživanja, razvoja i inovacija usmjereni su na prioritetna tematska područja kao što su zaštita i održiva uporaba prirodnih resursa, zaštita klime i poboljšanje kvalitete zraka, gospodarenje otpadom i ponovna uporaba otpada, zaštita prirode i krajolika ili siguran i otporan okoliš, uključujući sprečavanje i smanjenje posljedica prirodnih i antropogenih opasnosti. </w:t>
      </w:r>
    </w:p>
    <w:p w14:paraId="0796A522" w14:textId="77777777" w:rsidR="00615E2D" w:rsidRDefault="00615E2D">
      <w:pPr>
        <w:autoSpaceDE w:val="0"/>
        <w:autoSpaceDN w:val="0"/>
        <w:adjustRightInd w:val="0"/>
        <w:spacing w:line="259" w:lineRule="auto"/>
        <w:contextualSpacing/>
        <w:jc w:val="both"/>
        <w:rPr>
          <w:rFonts w:eastAsia="Times New Roman"/>
          <w:noProof/>
        </w:rPr>
      </w:pPr>
    </w:p>
    <w:p w14:paraId="3949B735" w14:textId="68B9D7D5" w:rsidR="00615E2D" w:rsidRDefault="00C83E46">
      <w:pPr>
        <w:pStyle w:val="P68B1DB1-Normal3"/>
        <w:autoSpaceDE w:val="0"/>
        <w:autoSpaceDN w:val="0"/>
        <w:adjustRightInd w:val="0"/>
        <w:spacing w:line="259" w:lineRule="auto"/>
        <w:contextualSpacing/>
        <w:jc w:val="both"/>
        <w:rPr>
          <w:noProof/>
        </w:rPr>
      </w:pPr>
      <w:r>
        <w:rPr>
          <w:noProof/>
        </w:rPr>
        <w:t xml:space="preserve"> Podupire se najmanje 15 projekata istraživanja, razvoja i inovacija u području okoliša.</w:t>
      </w:r>
    </w:p>
    <w:p w14:paraId="5C064C63" w14:textId="62303FDC" w:rsidR="00615E2D" w:rsidRDefault="00C83E46">
      <w:pPr>
        <w:pStyle w:val="P68B1DB1-Normal3"/>
        <w:spacing w:line="240" w:lineRule="auto"/>
        <w:rPr>
          <w:noProof/>
          <w:sz w:val="22"/>
        </w:rPr>
      </w:pPr>
      <w:r>
        <w:rPr>
          <w:noProof/>
        </w:rPr>
        <w:t>Ulaganje se provodi do 31. ožujka 2026.</w:t>
      </w:r>
    </w:p>
    <w:p w14:paraId="78AD4D86" w14:textId="77777777" w:rsidR="00615E2D" w:rsidRDefault="00C83E46">
      <w:pPr>
        <w:pStyle w:val="P68B1DB1-Normal26"/>
        <w:spacing w:line="240" w:lineRule="auto"/>
        <w:jc w:val="both"/>
        <w:rPr>
          <w:noProof/>
          <w:color w:val="000000"/>
          <w:sz w:val="23"/>
        </w:rPr>
      </w:pPr>
      <w:r>
        <w:rPr>
          <w:noProof/>
        </w:rPr>
        <w:t xml:space="preserve">Ulaganje 4: </w:t>
      </w:r>
      <w:r>
        <w:rPr>
          <w:noProof/>
          <w:color w:val="000000"/>
          <w:sz w:val="23"/>
        </w:rPr>
        <w:t>Potpora istraživanju i razvoju u sinergiji s Okvirnim programom za istraživanje i inovacije</w:t>
      </w:r>
    </w:p>
    <w:p w14:paraId="2B840C89" w14:textId="502BA790" w:rsidR="00615E2D" w:rsidRDefault="00C83E46">
      <w:pPr>
        <w:pStyle w:val="P68B1DB1-Normal3"/>
        <w:autoSpaceDE w:val="0"/>
        <w:autoSpaceDN w:val="0"/>
        <w:adjustRightInd w:val="0"/>
        <w:spacing w:line="259" w:lineRule="auto"/>
        <w:contextualSpacing/>
        <w:jc w:val="both"/>
        <w:rPr>
          <w:noProof/>
          <w:sz w:val="22"/>
        </w:rPr>
      </w:pPr>
      <w:r>
        <w:rPr>
          <w:noProof/>
        </w:rPr>
        <w:t xml:space="preserve">Cilj je mjere financiranje projekata „pečat izvrsnosti”, posebno instrumenata Akceleratora Europskog vijeća za inovacije (uključujući pilot-projekt Europskog vijeća za inovacije), kojim se podupiru MSP-ovi s najvećim potencijalom za brzi rast, te podupiranje sufinanciranja Europskog istraživačkog prostora (NET) (europska partnerstva) kojima se rješavaju najhitniji izazovi u području istraživanja i razvoja u međunarodnom kontekstu. </w:t>
      </w:r>
    </w:p>
    <w:p w14:paraId="03E1AB2E" w14:textId="77777777" w:rsidR="00615E2D" w:rsidRDefault="00615E2D">
      <w:pPr>
        <w:autoSpaceDE w:val="0"/>
        <w:autoSpaceDN w:val="0"/>
        <w:adjustRightInd w:val="0"/>
        <w:spacing w:line="259" w:lineRule="auto"/>
        <w:contextualSpacing/>
        <w:jc w:val="both"/>
        <w:rPr>
          <w:rFonts w:eastAsia="Times New Roman"/>
          <w:noProof/>
        </w:rPr>
      </w:pPr>
    </w:p>
    <w:p w14:paraId="0370BB29" w14:textId="77777777" w:rsidR="00615E2D" w:rsidRDefault="00C83E46">
      <w:pPr>
        <w:pStyle w:val="P68B1DB1-Normal3"/>
        <w:autoSpaceDE w:val="0"/>
        <w:autoSpaceDN w:val="0"/>
        <w:adjustRightInd w:val="0"/>
        <w:spacing w:line="259" w:lineRule="auto"/>
        <w:contextualSpacing/>
        <w:jc w:val="both"/>
        <w:rPr>
          <w:noProof/>
          <w:sz w:val="22"/>
        </w:rPr>
      </w:pPr>
      <w:r>
        <w:rPr>
          <w:noProof/>
        </w:rPr>
        <w:t>Podupire se najmanje 16 poduzeća uključenih u sufinanciranje nacionalnih tehnologija razvoja europskog istraživačkog prostora i najmanje osam poduzeća koja predstavljaju projekte koji su dobili pečat izvrsnosti.</w:t>
      </w:r>
    </w:p>
    <w:p w14:paraId="2FC08420" w14:textId="37C528D3" w:rsidR="00615E2D" w:rsidRDefault="00C83E46">
      <w:pPr>
        <w:pStyle w:val="P68B1DB1-Normal3"/>
        <w:spacing w:line="240" w:lineRule="auto"/>
        <w:rPr>
          <w:noProof/>
        </w:rPr>
      </w:pPr>
      <w:r>
        <w:rPr>
          <w:noProof/>
        </w:rPr>
        <w:t xml:space="preserve">Ulaganje se provodi do 31. ožujka 2026. </w:t>
      </w:r>
    </w:p>
    <w:p w14:paraId="5E422004" w14:textId="397ACEFC" w:rsidR="00615E2D" w:rsidRDefault="00C83E46">
      <w:pPr>
        <w:pStyle w:val="P68B1DB1-Normal26"/>
        <w:spacing w:line="257" w:lineRule="auto"/>
        <w:jc w:val="both"/>
        <w:rPr>
          <w:noProof/>
        </w:rPr>
      </w:pPr>
      <w:r>
        <w:rPr>
          <w:noProof/>
        </w:rPr>
        <w:t>Ulaganje 5: Potpore za istraživanje i razvoj u poduzećima u skladu s nacionalnom strategijom RIS3</w:t>
      </w:r>
    </w:p>
    <w:p w14:paraId="3EB8E3CB" w14:textId="21BC0331" w:rsidR="00615E2D" w:rsidRDefault="00C83E46">
      <w:pPr>
        <w:pStyle w:val="P68B1DB1-Normal3"/>
        <w:spacing w:line="257" w:lineRule="auto"/>
        <w:jc w:val="both"/>
        <w:rPr>
          <w:noProof/>
        </w:rPr>
      </w:pPr>
      <w:r>
        <w:rPr>
          <w:noProof/>
        </w:rPr>
        <w:t>Cilj je mjere poduprijeti projekte industrijskog istraživanja i eksperimentalnog razvoja koje podnose poduzeća u skladu s nacionalnom strategijom RIS3.</w:t>
      </w:r>
    </w:p>
    <w:p w14:paraId="7DF72562" w14:textId="335EBCF5" w:rsidR="00615E2D" w:rsidRDefault="00C83E46">
      <w:pPr>
        <w:pStyle w:val="P68B1DB1-Normal3"/>
        <w:spacing w:line="257" w:lineRule="auto"/>
        <w:jc w:val="both"/>
        <w:rPr>
          <w:noProof/>
        </w:rPr>
      </w:pPr>
      <w:r>
        <w:rPr>
          <w:noProof/>
        </w:rPr>
        <w:t xml:space="preserve">Cilj je natječaja poduprijeti projekte industrijskog istraživanja i eksperimentalnog razvoja usmjerene na provedbu rezultata u praksi, posebno u industrijskoj proizvodnji i opskrbi proizvodima na tržištu, projektima za razvoj novih usluga, tehnologija i materijala, povećanju automatizacije i robotizacije te upotrebi digitalnih tehnologija. </w:t>
      </w:r>
    </w:p>
    <w:p w14:paraId="1EF88FE4" w14:textId="74B6D9DD" w:rsidR="00615E2D" w:rsidRDefault="00C83E46">
      <w:pPr>
        <w:pStyle w:val="P68B1DB1-Normal3"/>
        <w:spacing w:line="259" w:lineRule="auto"/>
        <w:contextualSpacing/>
        <w:jc w:val="both"/>
        <w:rPr>
          <w:noProof/>
        </w:rPr>
      </w:pPr>
      <w:r>
        <w:rPr>
          <w:noProof/>
        </w:rPr>
        <w:t xml:space="preserve">Projekti odabrani za potporu moraju biti u skladu s jednim područjem specijalizacije istraživanja, razvoja i inovacija u okviru nacionalne strategije RIS3. </w:t>
      </w:r>
    </w:p>
    <w:p w14:paraId="31F6BDC5" w14:textId="372EA4ED" w:rsidR="00615E2D" w:rsidRDefault="00C83E46">
      <w:pPr>
        <w:pStyle w:val="P68B1DB1-Normal3"/>
        <w:autoSpaceDE w:val="0"/>
        <w:autoSpaceDN w:val="0"/>
        <w:adjustRightInd w:val="0"/>
        <w:spacing w:line="240" w:lineRule="auto"/>
        <w:jc w:val="both"/>
        <w:rPr>
          <w:noProof/>
        </w:rPr>
      </w:pPr>
      <w:r>
        <w:rPr>
          <w:noProof/>
        </w:rPr>
        <w:t>Sporazumi o dodjeli bespovratnih sredstava potpisuju se za potporu najmanje 68 projekata. Ukupni proračun dodijeljen sporazumima o dodjeli bespovratnih sredstava za sve projekte i cjelokupno razdoblje provedbe iznosi najmanje 53,9 milijuna EUR.</w:t>
      </w:r>
    </w:p>
    <w:p w14:paraId="35D6E949" w14:textId="25D0F55D" w:rsidR="00615E2D" w:rsidRDefault="00C83E46">
      <w:pPr>
        <w:pStyle w:val="P68B1DB1-Normal3"/>
        <w:spacing w:line="240" w:lineRule="auto"/>
        <w:jc w:val="both"/>
        <w:rPr>
          <w:noProof/>
        </w:rPr>
      </w:pPr>
      <w:r>
        <w:rPr>
          <w:noProof/>
        </w:rPr>
        <w:t xml:space="preserve">Ulaganje se </w:t>
      </w:r>
      <w:r>
        <w:rPr>
          <w:noProof/>
          <w:color w:val="000000" w:themeColor="text1"/>
        </w:rPr>
        <w:t>provodi</w:t>
      </w:r>
      <w:r>
        <w:rPr>
          <w:noProof/>
        </w:rPr>
        <w:t xml:space="preserve"> do 31. ožujka 2026.</w:t>
      </w:r>
    </w:p>
    <w:p w14:paraId="49F0BDB1" w14:textId="77777777" w:rsidR="00615E2D" w:rsidRDefault="00C83E46">
      <w:pPr>
        <w:pStyle w:val="P68B1DB1-Normal26"/>
        <w:spacing w:line="257" w:lineRule="auto"/>
        <w:jc w:val="both"/>
        <w:rPr>
          <w:noProof/>
        </w:rPr>
      </w:pPr>
      <w:r>
        <w:rPr>
          <w:noProof/>
        </w:rPr>
        <w:t>Ulaganje 6: Potpore za istraživanje i razvoj u području prometa</w:t>
      </w:r>
    </w:p>
    <w:p w14:paraId="57E7B48A" w14:textId="3ADCF6B1" w:rsidR="00615E2D" w:rsidRDefault="00C83E46">
      <w:pPr>
        <w:pStyle w:val="P68B1DB1-Normal3"/>
        <w:spacing w:line="257" w:lineRule="auto"/>
        <w:jc w:val="both"/>
        <w:rPr>
          <w:noProof/>
        </w:rPr>
      </w:pPr>
      <w:r>
        <w:rPr>
          <w:noProof/>
        </w:rPr>
        <w:t xml:space="preserve">Cilj je mjere poduprijeti projekte istraživanja, razvoja i inovacija u području prometa. </w:t>
      </w:r>
    </w:p>
    <w:p w14:paraId="37A33338" w14:textId="7D40FBE0" w:rsidR="00615E2D" w:rsidRDefault="00C83E46">
      <w:pPr>
        <w:pStyle w:val="P68B1DB1-Normal3"/>
        <w:spacing w:line="257" w:lineRule="auto"/>
        <w:jc w:val="both"/>
        <w:rPr>
          <w:noProof/>
        </w:rPr>
      </w:pPr>
      <w:r>
        <w:rPr>
          <w:noProof/>
        </w:rPr>
        <w:t>Cilj je natječaja poduprijeti projekte za primijenjeno istraživanje, eksperimentalni razvoj i inovacije u jednom od sljedećih područja: i. održiv, pristupačan i siguran promet, ii. automatizacija, digitalizacija i tehnološki napredni promet, iii. promet s nultom stopom emisija.</w:t>
      </w:r>
    </w:p>
    <w:p w14:paraId="3C3CDB8D" w14:textId="77777777" w:rsidR="00615E2D" w:rsidRDefault="00C83E46">
      <w:pPr>
        <w:pStyle w:val="P68B1DB1-Normal3"/>
        <w:spacing w:line="257" w:lineRule="auto"/>
        <w:jc w:val="both"/>
        <w:rPr>
          <w:noProof/>
        </w:rPr>
      </w:pPr>
      <w:r>
        <w:rPr>
          <w:noProof/>
        </w:rPr>
        <w:t xml:space="preserve">Projekti odabrani za potporu moraju biti u skladu i s jednim od sljedeća dva područja specijalizacije nacionalne strategije RIS3: i. zeleni prijevoz; i ii. tehnološki naprednog i sigurnog prijevoza. </w:t>
      </w:r>
    </w:p>
    <w:p w14:paraId="6E1641A7" w14:textId="05D2FBBE" w:rsidR="00615E2D" w:rsidRDefault="00C83E46">
      <w:pPr>
        <w:pStyle w:val="P68B1DB1-Normal3"/>
        <w:spacing w:line="257" w:lineRule="auto"/>
        <w:jc w:val="both"/>
        <w:rPr>
          <w:noProof/>
        </w:rPr>
      </w:pPr>
      <w:r>
        <w:rPr>
          <w:noProof/>
        </w:rPr>
        <w:t xml:space="preserve">Sporazumi o dodjeli bespovratnih sredstava potpisuju se za potporu najmanje 16 projekata. Ukupni proračun dodijeljen sporazumima o dodjeli bespovratnih sredstava za cjelokupno razdoblje provedbe projekata iznosi najmanje 8 milijuna EUR. </w:t>
      </w:r>
    </w:p>
    <w:p w14:paraId="663F9404" w14:textId="07980576" w:rsidR="00615E2D" w:rsidRDefault="00C83E46">
      <w:pPr>
        <w:pStyle w:val="P68B1DB1-Normal3"/>
        <w:spacing w:line="257" w:lineRule="auto"/>
        <w:jc w:val="both"/>
        <w:rPr>
          <w:noProof/>
        </w:rPr>
      </w:pPr>
      <w:r>
        <w:rPr>
          <w:noProof/>
        </w:rPr>
        <w:t>Ulaganje se provodi do 31. ožujka 2026.</w:t>
      </w:r>
    </w:p>
    <w:p w14:paraId="22CD6A86" w14:textId="44082350" w:rsidR="00615E2D" w:rsidRDefault="00C83E46">
      <w:pPr>
        <w:pStyle w:val="P68B1DB1-Normal26"/>
        <w:spacing w:line="259" w:lineRule="auto"/>
        <w:jc w:val="both"/>
        <w:rPr>
          <w:noProof/>
        </w:rPr>
      </w:pPr>
      <w:r>
        <w:rPr>
          <w:noProof/>
        </w:rPr>
        <w:t>Ulaganje 7: Potpore za istraživanje i razvoj u području zaštite okoliša</w:t>
      </w:r>
    </w:p>
    <w:p w14:paraId="0CC67BBF" w14:textId="3661DD03" w:rsidR="00615E2D" w:rsidRDefault="00C83E46">
      <w:pPr>
        <w:pStyle w:val="P68B1DB1-Normal3"/>
        <w:spacing w:line="257" w:lineRule="auto"/>
        <w:jc w:val="both"/>
        <w:rPr>
          <w:noProof/>
        </w:rPr>
      </w:pPr>
      <w:r>
        <w:rPr>
          <w:noProof/>
        </w:rPr>
        <w:t>Cilj je mjere poduprijeti industrijske projekte istraživanja, razvoja i inovacija koje su predložile istraživačke organizacije i poduzeća, uključujući suradničke projekte, usmjerene na rješavanje izazova utvrđenih u okviru „Državne politike zaštite okoliša Češke do 2030. s perspektivom do 2050.” i sektorskom strategijom potpore istraživanju.</w:t>
      </w:r>
    </w:p>
    <w:p w14:paraId="4A7CEF28" w14:textId="1307D426" w:rsidR="00615E2D" w:rsidRDefault="00C83E46">
      <w:pPr>
        <w:pStyle w:val="P68B1DB1-Normal3"/>
        <w:spacing w:line="257" w:lineRule="auto"/>
        <w:jc w:val="both"/>
        <w:rPr>
          <w:noProof/>
        </w:rPr>
      </w:pPr>
      <w:r>
        <w:rPr>
          <w:noProof/>
        </w:rPr>
        <w:t>Projekti odabrani za potporu moraju biti u skladu s jednim područjem specijalizacije istraživanja, razvoja i inovacija u okviru nacionalne strategije RIS3.</w:t>
      </w:r>
    </w:p>
    <w:p w14:paraId="76BA9A8B" w14:textId="0AE2F9C9" w:rsidR="00615E2D" w:rsidRDefault="00C83E46">
      <w:pPr>
        <w:pStyle w:val="P68B1DB1-Normal3"/>
        <w:spacing w:line="257" w:lineRule="auto"/>
        <w:jc w:val="both"/>
        <w:rPr>
          <w:noProof/>
        </w:rPr>
      </w:pPr>
      <w:r>
        <w:rPr>
          <w:noProof/>
        </w:rPr>
        <w:t>Sporazumi o dodjeli bespovratnih sredstava potpisuju se za potporu najmanje 35 projekata u području zaštite okoliša. Ukupni proračun dodijeljen sporazumima o dodjeli bespovratnih sredstava za cjelokupno razdoblje provedbe projekata iznosi najmanje 17,9 milijuna EUR.</w:t>
      </w:r>
    </w:p>
    <w:p w14:paraId="099F648A" w14:textId="2E6CCEFC" w:rsidR="00615E2D" w:rsidRDefault="00C83E46">
      <w:pPr>
        <w:pStyle w:val="P68B1DB1-Normal3"/>
        <w:spacing w:line="240" w:lineRule="auto"/>
        <w:jc w:val="both"/>
        <w:rPr>
          <w:noProof/>
        </w:rPr>
        <w:sectPr w:rsidR="00615E2D" w:rsidSect="00997F50">
          <w:headerReference w:type="even" r:id="rId390"/>
          <w:headerReference w:type="default" r:id="rId391"/>
          <w:footerReference w:type="even" r:id="rId392"/>
          <w:footerReference w:type="default" r:id="rId393"/>
          <w:headerReference w:type="first" r:id="rId394"/>
          <w:footerReference w:type="first" r:id="rId395"/>
          <w:pgSz w:w="11907" w:h="16839"/>
          <w:pgMar w:top="1134" w:right="1134" w:bottom="1134" w:left="1134" w:header="567" w:footer="567" w:gutter="0"/>
          <w:cols w:space="720"/>
          <w:docGrid w:linePitch="360"/>
        </w:sectPr>
      </w:pPr>
      <w:r>
        <w:rPr>
          <w:noProof/>
        </w:rPr>
        <w:t>Ulaganje se provodi do 31. ožujka 2026.</w:t>
      </w:r>
    </w:p>
    <w:p w14:paraId="265AC372" w14:textId="176BA373" w:rsidR="00615E2D" w:rsidRDefault="00C83E46">
      <w:pPr>
        <w:pStyle w:val="P68B1DB1-Normal5"/>
        <w:tabs>
          <w:tab w:val="left" w:pos="993"/>
        </w:tabs>
        <w:spacing w:line="240" w:lineRule="auto"/>
        <w:jc w:val="both"/>
        <w:rPr>
          <w:noProof/>
        </w:rPr>
      </w:pPr>
      <w:r>
        <w:rPr>
          <w:noProof/>
        </w:rPr>
        <w:t xml:space="preserve">A.2. Ključne etape, ciljne vrijednosti i vremenski raspored za praćenje i provedbu programa bespovratne financijske potpore </w:t>
      </w:r>
    </w:p>
    <w:tbl>
      <w:tblPr>
        <w:tblW w:w="0" w:type="auto"/>
        <w:tblLayout w:type="fixed"/>
        <w:tblLook w:val="04A0" w:firstRow="1" w:lastRow="0" w:firstColumn="1" w:lastColumn="0" w:noHBand="0" w:noVBand="1"/>
      </w:tblPr>
      <w:tblGrid>
        <w:gridCol w:w="675"/>
        <w:gridCol w:w="1276"/>
        <w:gridCol w:w="1077"/>
        <w:gridCol w:w="1418"/>
        <w:gridCol w:w="1134"/>
        <w:gridCol w:w="1417"/>
        <w:gridCol w:w="1134"/>
        <w:gridCol w:w="709"/>
        <w:gridCol w:w="850"/>
        <w:gridCol w:w="639"/>
        <w:gridCol w:w="4745"/>
      </w:tblGrid>
      <w:tr w:rsidR="00615E2D" w14:paraId="0234ED61" w14:textId="77777777">
        <w:trPr>
          <w:trHeight w:val="75"/>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0308A67D" w14:textId="77777777" w:rsidR="00615E2D" w:rsidRDefault="00C83E46">
            <w:pPr>
              <w:pStyle w:val="P68B1DB1-Normal9"/>
              <w:spacing w:line="240" w:lineRule="auto"/>
              <w:jc w:val="center"/>
              <w:rPr>
                <w:noProof/>
              </w:rPr>
            </w:pPr>
            <w:r>
              <w:rPr>
                <w:noProof/>
              </w:rPr>
              <w:t xml:space="preserve">Sljedeće NUM.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DE7B41E" w14:textId="77777777" w:rsidR="00615E2D" w:rsidRDefault="00C83E46">
            <w:pPr>
              <w:pStyle w:val="P68B1DB1-Normal9"/>
              <w:spacing w:line="240" w:lineRule="auto"/>
              <w:jc w:val="center"/>
              <w:rPr>
                <w:noProof/>
              </w:rPr>
            </w:pPr>
            <w:r>
              <w:rPr>
                <w:noProof/>
              </w:rPr>
              <w:t xml:space="preserve">Povezana mjera (reforma ili ulaganje) </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CF5D145" w14:textId="77777777" w:rsidR="00615E2D" w:rsidRDefault="00C83E46">
            <w:pPr>
              <w:pStyle w:val="P68B1DB1-Normal9"/>
              <w:spacing w:line="240" w:lineRule="auto"/>
              <w:jc w:val="center"/>
              <w:rPr>
                <w:noProof/>
              </w:rPr>
            </w:pPr>
            <w:r>
              <w:rPr>
                <w:noProof/>
              </w:rPr>
              <w:t xml:space="preserve">Ključna etapa/ciljna vrijednost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D6A23E6" w14:textId="77777777" w:rsidR="00615E2D" w:rsidRDefault="00C83E46">
            <w:pPr>
              <w:pStyle w:val="P68B1DB1-Normal9"/>
              <w:spacing w:line="240" w:lineRule="auto"/>
              <w:jc w:val="center"/>
              <w:rPr>
                <w:noProof/>
              </w:rPr>
            </w:pPr>
            <w:r>
              <w:rPr>
                <w:noProof/>
              </w:rPr>
              <w:t xml:space="preserve">Ime </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BDD7EE"/>
            <w:vAlign w:val="center"/>
          </w:tcPr>
          <w:p w14:paraId="2BF0149C"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2835" w:type="dxa"/>
            <w:gridSpan w:val="3"/>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34536749"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1489" w:type="dxa"/>
            <w:gridSpan w:val="2"/>
            <w:tcBorders>
              <w:top w:val="single" w:sz="8" w:space="0" w:color="auto"/>
              <w:left w:val="nil"/>
              <w:bottom w:val="single" w:sz="8" w:space="0" w:color="auto"/>
              <w:right w:val="single" w:sz="4" w:space="0" w:color="auto"/>
            </w:tcBorders>
            <w:shd w:val="clear" w:color="auto" w:fill="BDD7EE"/>
            <w:vAlign w:val="center"/>
          </w:tcPr>
          <w:p w14:paraId="7EAE2159" w14:textId="77777777" w:rsidR="00615E2D" w:rsidRDefault="00C83E46">
            <w:pPr>
              <w:pStyle w:val="P68B1DB1-Normal9"/>
              <w:spacing w:line="240" w:lineRule="auto"/>
              <w:jc w:val="center"/>
              <w:rPr>
                <w:noProof/>
              </w:rPr>
            </w:pPr>
            <w:r>
              <w:rPr>
                <w:noProof/>
              </w:rPr>
              <w:t xml:space="preserve">Okvirni vremenski okvir za dovršetak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79425E9F" w14:textId="77777777" w:rsidR="00615E2D" w:rsidRDefault="00C83E46">
            <w:pPr>
              <w:pStyle w:val="P68B1DB1-Normal9"/>
              <w:spacing w:line="240" w:lineRule="auto"/>
              <w:jc w:val="center"/>
              <w:rPr>
                <w:noProof/>
              </w:rPr>
            </w:pPr>
            <w:r>
              <w:rPr>
                <w:noProof/>
              </w:rPr>
              <w:t xml:space="preserve">Opis i jasna definicija svake ključne etape i ciljne vrijednosti </w:t>
            </w:r>
          </w:p>
        </w:tc>
      </w:tr>
      <w:tr w:rsidR="00615E2D" w14:paraId="7503DE19" w14:textId="77777777">
        <w:trPr>
          <w:trHeight w:val="600"/>
          <w:tblHeader/>
        </w:trPr>
        <w:tc>
          <w:tcPr>
            <w:tcW w:w="675" w:type="dxa"/>
            <w:vMerge/>
            <w:tcBorders>
              <w:top w:val="single" w:sz="4" w:space="0" w:color="auto"/>
              <w:left w:val="single" w:sz="4" w:space="0" w:color="auto"/>
              <w:right w:val="single" w:sz="4" w:space="0" w:color="auto"/>
            </w:tcBorders>
            <w:vAlign w:val="center"/>
          </w:tcPr>
          <w:p w14:paraId="43836034" w14:textId="77777777" w:rsidR="00615E2D" w:rsidRDefault="00615E2D">
            <w:pPr>
              <w:spacing w:line="240" w:lineRule="auto"/>
              <w:jc w:val="center"/>
              <w:rPr>
                <w:noProof/>
                <w:sz w:val="16"/>
              </w:rPr>
            </w:pPr>
          </w:p>
        </w:tc>
        <w:tc>
          <w:tcPr>
            <w:tcW w:w="1276" w:type="dxa"/>
            <w:vMerge/>
            <w:tcBorders>
              <w:top w:val="single" w:sz="4" w:space="0" w:color="auto"/>
              <w:left w:val="single" w:sz="4" w:space="0" w:color="auto"/>
              <w:right w:val="single" w:sz="4" w:space="0" w:color="auto"/>
            </w:tcBorders>
            <w:vAlign w:val="center"/>
          </w:tcPr>
          <w:p w14:paraId="220E8D0D" w14:textId="77777777" w:rsidR="00615E2D" w:rsidRDefault="00615E2D">
            <w:pPr>
              <w:spacing w:line="240" w:lineRule="auto"/>
              <w:jc w:val="center"/>
              <w:rPr>
                <w:noProof/>
                <w:sz w:val="16"/>
              </w:rPr>
            </w:pPr>
          </w:p>
        </w:tc>
        <w:tc>
          <w:tcPr>
            <w:tcW w:w="1077" w:type="dxa"/>
            <w:vMerge/>
            <w:tcBorders>
              <w:top w:val="single" w:sz="4" w:space="0" w:color="auto"/>
              <w:left w:val="single" w:sz="4" w:space="0" w:color="auto"/>
              <w:right w:val="single" w:sz="4" w:space="0" w:color="auto"/>
            </w:tcBorders>
            <w:vAlign w:val="center"/>
          </w:tcPr>
          <w:p w14:paraId="2345F441" w14:textId="77777777" w:rsidR="00615E2D" w:rsidRDefault="00615E2D">
            <w:pPr>
              <w:spacing w:line="240" w:lineRule="auto"/>
              <w:jc w:val="center"/>
              <w:rPr>
                <w:noProof/>
                <w:sz w:val="16"/>
              </w:rPr>
            </w:pPr>
          </w:p>
        </w:tc>
        <w:tc>
          <w:tcPr>
            <w:tcW w:w="1418" w:type="dxa"/>
            <w:vMerge/>
            <w:tcBorders>
              <w:top w:val="single" w:sz="4" w:space="0" w:color="auto"/>
              <w:left w:val="single" w:sz="4" w:space="0" w:color="auto"/>
              <w:right w:val="single" w:sz="4" w:space="0" w:color="auto"/>
            </w:tcBorders>
            <w:vAlign w:val="center"/>
          </w:tcPr>
          <w:p w14:paraId="4DB834DC" w14:textId="77777777" w:rsidR="00615E2D" w:rsidRDefault="00615E2D">
            <w:pPr>
              <w:spacing w:line="240" w:lineRule="auto"/>
              <w:jc w:val="center"/>
              <w:rPr>
                <w:noProof/>
                <w:sz w:val="16"/>
              </w:rPr>
            </w:pPr>
          </w:p>
        </w:tc>
        <w:tc>
          <w:tcPr>
            <w:tcW w:w="1134" w:type="dxa"/>
            <w:vMerge/>
            <w:tcBorders>
              <w:top w:val="single" w:sz="4" w:space="0" w:color="auto"/>
              <w:left w:val="single" w:sz="4" w:space="0" w:color="auto"/>
              <w:bottom w:val="single" w:sz="8" w:space="0" w:color="auto"/>
              <w:right w:val="single" w:sz="4" w:space="0" w:color="auto"/>
            </w:tcBorders>
            <w:vAlign w:val="center"/>
          </w:tcPr>
          <w:p w14:paraId="2ED0AE32" w14:textId="77777777" w:rsidR="00615E2D" w:rsidRDefault="00615E2D">
            <w:pPr>
              <w:spacing w:line="240" w:lineRule="auto"/>
              <w:jc w:val="center"/>
              <w:rPr>
                <w:noProof/>
                <w:sz w:val="16"/>
              </w:rPr>
            </w:pPr>
          </w:p>
        </w:tc>
        <w:tc>
          <w:tcPr>
            <w:tcW w:w="1417" w:type="dxa"/>
            <w:tcBorders>
              <w:top w:val="single" w:sz="8" w:space="0" w:color="auto"/>
              <w:left w:val="single" w:sz="4" w:space="0" w:color="auto"/>
              <w:bottom w:val="single" w:sz="8" w:space="0" w:color="auto"/>
              <w:right w:val="single" w:sz="8" w:space="0" w:color="000000" w:themeColor="text1"/>
            </w:tcBorders>
            <w:shd w:val="clear" w:color="auto" w:fill="BDD7EE"/>
            <w:vAlign w:val="center"/>
          </w:tcPr>
          <w:p w14:paraId="16B77894" w14:textId="77777777" w:rsidR="00615E2D" w:rsidRDefault="00C83E46">
            <w:pPr>
              <w:pStyle w:val="P68B1DB1-Normal9"/>
              <w:spacing w:line="240" w:lineRule="auto"/>
              <w:jc w:val="center"/>
              <w:rPr>
                <w:noProof/>
              </w:rPr>
            </w:pPr>
            <w:r>
              <w:rPr>
                <w:noProof/>
              </w:rPr>
              <w:t>Jedinica mjere</w:t>
            </w:r>
          </w:p>
        </w:tc>
        <w:tc>
          <w:tcPr>
            <w:tcW w:w="1134" w:type="dxa"/>
            <w:tcBorders>
              <w:top w:val="nil"/>
              <w:left w:val="single" w:sz="8" w:space="0" w:color="auto"/>
              <w:bottom w:val="single" w:sz="8" w:space="0" w:color="auto"/>
              <w:right w:val="single" w:sz="8" w:space="0" w:color="auto"/>
            </w:tcBorders>
            <w:shd w:val="clear" w:color="auto" w:fill="BDD7EE"/>
            <w:vAlign w:val="center"/>
          </w:tcPr>
          <w:p w14:paraId="17997306" w14:textId="77777777" w:rsidR="00615E2D" w:rsidRDefault="00C83E46">
            <w:pPr>
              <w:pStyle w:val="P68B1DB1-Normal9"/>
              <w:spacing w:line="240" w:lineRule="auto"/>
              <w:jc w:val="center"/>
              <w:rPr>
                <w:noProof/>
              </w:rPr>
            </w:pPr>
            <w:r>
              <w:rPr>
                <w:noProof/>
              </w:rPr>
              <w:t>Osnovna vrijednost</w:t>
            </w:r>
          </w:p>
        </w:tc>
        <w:tc>
          <w:tcPr>
            <w:tcW w:w="709" w:type="dxa"/>
            <w:tcBorders>
              <w:top w:val="nil"/>
              <w:left w:val="single" w:sz="8" w:space="0" w:color="auto"/>
              <w:bottom w:val="single" w:sz="8" w:space="0" w:color="auto"/>
              <w:right w:val="single" w:sz="8" w:space="0" w:color="000000" w:themeColor="text1"/>
            </w:tcBorders>
            <w:shd w:val="clear" w:color="auto" w:fill="BDD7EE"/>
            <w:vAlign w:val="center"/>
          </w:tcPr>
          <w:p w14:paraId="74DE7BED" w14:textId="77777777" w:rsidR="00615E2D" w:rsidRDefault="00C83E46">
            <w:pPr>
              <w:pStyle w:val="P68B1DB1-Normal9"/>
              <w:spacing w:line="240" w:lineRule="auto"/>
              <w:jc w:val="center"/>
              <w:rPr>
                <w:noProof/>
              </w:rPr>
            </w:pPr>
            <w:r>
              <w:rPr>
                <w:noProof/>
              </w:rPr>
              <w:t>Cilj</w:t>
            </w:r>
          </w:p>
        </w:tc>
        <w:tc>
          <w:tcPr>
            <w:tcW w:w="850" w:type="dxa"/>
            <w:tcBorders>
              <w:top w:val="single" w:sz="8" w:space="0" w:color="auto"/>
              <w:left w:val="single" w:sz="8" w:space="0" w:color="auto"/>
              <w:bottom w:val="single" w:sz="8" w:space="0" w:color="auto"/>
              <w:right w:val="single" w:sz="8" w:space="0" w:color="000000" w:themeColor="text1"/>
            </w:tcBorders>
            <w:shd w:val="clear" w:color="auto" w:fill="BDD7EE"/>
            <w:vAlign w:val="center"/>
          </w:tcPr>
          <w:p w14:paraId="16452FA2" w14:textId="77777777" w:rsidR="00615E2D" w:rsidRDefault="00C83E46">
            <w:pPr>
              <w:pStyle w:val="P68B1DB1-Normal9"/>
              <w:spacing w:line="240" w:lineRule="auto"/>
              <w:jc w:val="center"/>
              <w:rPr>
                <w:noProof/>
              </w:rPr>
            </w:pPr>
            <w:r>
              <w:rPr>
                <w:noProof/>
              </w:rPr>
              <w:t>Tromjesečje</w:t>
            </w:r>
          </w:p>
        </w:tc>
        <w:tc>
          <w:tcPr>
            <w:tcW w:w="639" w:type="dxa"/>
            <w:tcBorders>
              <w:top w:val="nil"/>
              <w:left w:val="single" w:sz="8" w:space="0" w:color="auto"/>
              <w:bottom w:val="single" w:sz="8" w:space="0" w:color="auto"/>
              <w:right w:val="single" w:sz="4" w:space="0" w:color="auto"/>
            </w:tcBorders>
            <w:shd w:val="clear" w:color="auto" w:fill="BDD7EE"/>
            <w:vAlign w:val="center"/>
          </w:tcPr>
          <w:p w14:paraId="77410921" w14:textId="77777777" w:rsidR="00615E2D" w:rsidRDefault="00C83E46">
            <w:pPr>
              <w:pStyle w:val="P68B1DB1-Normal9"/>
              <w:spacing w:line="240" w:lineRule="auto"/>
              <w:jc w:val="center"/>
              <w:rPr>
                <w:noProof/>
              </w:rPr>
            </w:pPr>
            <w:r>
              <w:rPr>
                <w:noProof/>
              </w:rPr>
              <w:t>Godina</w:t>
            </w:r>
          </w:p>
        </w:tc>
        <w:tc>
          <w:tcPr>
            <w:tcW w:w="4745" w:type="dxa"/>
            <w:vMerge/>
            <w:tcBorders>
              <w:bottom w:val="single" w:sz="4" w:space="0" w:color="auto"/>
              <w:right w:val="single" w:sz="4" w:space="0" w:color="auto"/>
            </w:tcBorders>
            <w:vAlign w:val="center"/>
          </w:tcPr>
          <w:p w14:paraId="1508286F" w14:textId="77777777" w:rsidR="00615E2D" w:rsidRDefault="00615E2D">
            <w:pPr>
              <w:spacing w:line="240" w:lineRule="auto"/>
              <w:jc w:val="center"/>
              <w:rPr>
                <w:noProof/>
                <w:sz w:val="16"/>
              </w:rPr>
            </w:pPr>
          </w:p>
        </w:tc>
      </w:tr>
      <w:tr w:rsidR="00615E2D" w14:paraId="0A61EED3" w14:textId="77777777">
        <w:trPr>
          <w:trHeight w:val="945"/>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14:paraId="306C52A1" w14:textId="77777777" w:rsidR="00615E2D" w:rsidRDefault="00C83E46">
            <w:pPr>
              <w:pStyle w:val="P68B1DB1-Normal28"/>
              <w:spacing w:line="240" w:lineRule="auto"/>
              <w:jc w:val="center"/>
              <w:rPr>
                <w:noProof/>
              </w:rPr>
            </w:pPr>
            <w:r>
              <w:rPr>
                <w:noProof/>
              </w:rPr>
              <w:t>226</w:t>
            </w:r>
          </w:p>
        </w:tc>
        <w:tc>
          <w:tcPr>
            <w:tcW w:w="1276" w:type="dxa"/>
            <w:tcBorders>
              <w:top w:val="single" w:sz="4" w:space="0" w:color="auto"/>
              <w:left w:val="single" w:sz="8" w:space="0" w:color="auto"/>
              <w:bottom w:val="single" w:sz="8" w:space="0" w:color="auto"/>
              <w:right w:val="single" w:sz="8" w:space="0" w:color="auto"/>
            </w:tcBorders>
            <w:shd w:val="clear" w:color="auto" w:fill="C6EFCE"/>
            <w:vAlign w:val="center"/>
          </w:tcPr>
          <w:p w14:paraId="46AAB38B" w14:textId="77777777" w:rsidR="00615E2D" w:rsidRDefault="00C83E46">
            <w:pPr>
              <w:pStyle w:val="P68B1DB1-Normal28"/>
              <w:spacing w:line="240" w:lineRule="auto"/>
              <w:rPr>
                <w:noProof/>
              </w:rPr>
            </w:pPr>
            <w:r>
              <w:rPr>
                <w:noProof/>
              </w:rPr>
              <w:t>Reforma 1.: Osnivanje nacionalne koordinacijske skupine za potporu industrijskom istraživanju</w:t>
            </w:r>
          </w:p>
        </w:tc>
        <w:tc>
          <w:tcPr>
            <w:tcW w:w="1077" w:type="dxa"/>
            <w:tcBorders>
              <w:top w:val="single" w:sz="4" w:space="0" w:color="auto"/>
              <w:left w:val="single" w:sz="8" w:space="0" w:color="auto"/>
              <w:bottom w:val="single" w:sz="8" w:space="0" w:color="auto"/>
              <w:right w:val="single" w:sz="8" w:space="0" w:color="auto"/>
            </w:tcBorders>
            <w:shd w:val="clear" w:color="auto" w:fill="C6EFCE"/>
            <w:vAlign w:val="center"/>
          </w:tcPr>
          <w:p w14:paraId="1DB6B929" w14:textId="77777777" w:rsidR="00615E2D" w:rsidRDefault="00C83E46">
            <w:pPr>
              <w:pStyle w:val="P68B1DB1-Normal28"/>
              <w:spacing w:line="240" w:lineRule="auto"/>
              <w:rPr>
                <w:noProof/>
              </w:rPr>
            </w:pPr>
            <w:r>
              <w:rPr>
                <w:noProof/>
              </w:rPr>
              <w:t>Prekretnica</w:t>
            </w:r>
          </w:p>
        </w:tc>
        <w:tc>
          <w:tcPr>
            <w:tcW w:w="1418" w:type="dxa"/>
            <w:tcBorders>
              <w:top w:val="single" w:sz="4" w:space="0" w:color="auto"/>
              <w:left w:val="single" w:sz="8" w:space="0" w:color="auto"/>
              <w:bottom w:val="single" w:sz="8" w:space="0" w:color="auto"/>
              <w:right w:val="single" w:sz="8" w:space="0" w:color="auto"/>
            </w:tcBorders>
            <w:shd w:val="clear" w:color="auto" w:fill="C6EFCE"/>
            <w:vAlign w:val="center"/>
          </w:tcPr>
          <w:p w14:paraId="05EA0F53" w14:textId="77777777" w:rsidR="00615E2D" w:rsidRDefault="00C83E46">
            <w:pPr>
              <w:pStyle w:val="P68B1DB1-Normal28"/>
              <w:spacing w:line="240" w:lineRule="auto"/>
              <w:rPr>
                <w:noProof/>
              </w:rPr>
            </w:pPr>
            <w:r>
              <w:rPr>
                <w:noProof/>
              </w:rPr>
              <w:t>Osnivanje nacionalne koordinacijske skupine za potporu industrijskom istraživanju</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F5A83D1" w14:textId="77777777" w:rsidR="00615E2D" w:rsidRDefault="00C83E46">
            <w:pPr>
              <w:pStyle w:val="P68B1DB1-Normal28"/>
              <w:spacing w:line="240" w:lineRule="auto"/>
              <w:rPr>
                <w:noProof/>
              </w:rPr>
            </w:pPr>
            <w:r>
              <w:rPr>
                <w:noProof/>
              </w:rPr>
              <w:t>Početak rada skupine</w:t>
            </w: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4E7FF09F" w14:textId="77777777" w:rsidR="00615E2D" w:rsidRDefault="00615E2D">
            <w:pPr>
              <w:spacing w:line="240" w:lineRule="auto"/>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D3EDBCE" w14:textId="77777777" w:rsidR="00615E2D" w:rsidRDefault="00615E2D">
            <w:pPr>
              <w:spacing w:line="240" w:lineRule="auto"/>
              <w:jc w:val="center"/>
              <w:rPr>
                <w:noProof/>
                <w:color w:val="006100"/>
                <w:sz w:val="18"/>
              </w:rPr>
            </w:pP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0F8331B9"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37174F6A" w14:textId="77777777" w:rsidR="00615E2D" w:rsidRDefault="00C83E46">
            <w:pPr>
              <w:pStyle w:val="P68B1DB1-Normal28"/>
              <w:spacing w:line="240" w:lineRule="auto"/>
              <w:jc w:val="center"/>
              <w:rPr>
                <w:noProof/>
              </w:rPr>
            </w:pPr>
            <w:r>
              <w:rPr>
                <w:noProof/>
              </w:rPr>
              <w:t>ČETVRTO 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144E5ABF" w14:textId="77777777" w:rsidR="00615E2D" w:rsidRDefault="00C83E46">
            <w:pPr>
              <w:pStyle w:val="P68B1DB1-Normal28"/>
              <w:spacing w:line="240" w:lineRule="auto"/>
              <w:jc w:val="center"/>
              <w:rPr>
                <w:noProof/>
              </w:rPr>
            </w:pPr>
            <w:r>
              <w:rPr>
                <w:noProof/>
              </w:rPr>
              <w:t>2021</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14:paraId="1CFBFE92" w14:textId="77777777" w:rsidR="00615E2D" w:rsidRDefault="00C83E46">
            <w:pPr>
              <w:pStyle w:val="P68B1DB1-Normal28"/>
              <w:spacing w:line="240" w:lineRule="auto"/>
              <w:rPr>
                <w:noProof/>
              </w:rPr>
            </w:pPr>
            <w:r>
              <w:rPr>
                <w:noProof/>
              </w:rPr>
              <w:t>Osniva se i stavlja u rad nacionalna koordinacijska skupina za potporu industrijskom istraživanju. Koordinacijska skupina usklađuje politike potpore industrijskom istraživanju i razvoju između oblikovatelja politika, postojećih pružatelja potpore istraživanju, razvoju i razvoju i Vladinog vijeća za istraživanje, razvoj i inovacije, uvjete za dodjelu potpore te koncentrira sve relevantne programe u nadležnosti Tehnološke agencije Češke Republike.</w:t>
            </w:r>
          </w:p>
        </w:tc>
      </w:tr>
      <w:tr w:rsidR="00615E2D" w14:paraId="26825995"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A13C893" w14:textId="77777777" w:rsidR="00615E2D" w:rsidRDefault="00C83E46">
            <w:pPr>
              <w:pStyle w:val="P68B1DB1-Normal28"/>
              <w:spacing w:line="240" w:lineRule="auto"/>
              <w:jc w:val="center"/>
              <w:rPr>
                <w:noProof/>
              </w:rPr>
            </w:pPr>
            <w:r>
              <w:rPr>
                <w:noProof/>
              </w:rPr>
              <w:t>227</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402AAE3" w14:textId="77777777" w:rsidR="00615E2D" w:rsidRDefault="00C83E46">
            <w:pPr>
              <w:pStyle w:val="P68B1DB1-Normal28"/>
              <w:spacing w:line="240" w:lineRule="auto"/>
              <w:rPr>
                <w:noProof/>
              </w:rPr>
            </w:pPr>
            <w:r>
              <w:rPr>
                <w:noProof/>
              </w:rPr>
              <w:t>Ulaganje 1: Potpora prihvaćanju inovacija u poslovnoj praksi</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5628721" w14:textId="77777777"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6FE6CD75" w14:textId="77777777" w:rsidR="00615E2D" w:rsidRDefault="00C83E46">
            <w:pPr>
              <w:pStyle w:val="P68B1DB1-Normal28"/>
              <w:spacing w:line="240" w:lineRule="auto"/>
              <w:rPr>
                <w:noProof/>
              </w:rPr>
            </w:pPr>
            <w:r>
              <w:rPr>
                <w:noProof/>
              </w:rPr>
              <w:t>Uvođenje inovacija u području proizvoda, procesa ili organizacije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46504DB" w14:textId="77777777"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32780912" w14:textId="77777777" w:rsidR="00615E2D" w:rsidRDefault="00C83E46">
            <w:pPr>
              <w:pStyle w:val="P68B1DB1-Normal28"/>
              <w:spacing w:line="240" w:lineRule="auto"/>
              <w:rPr>
                <w:noProof/>
              </w:rPr>
            </w:pPr>
            <w:r>
              <w:rPr>
                <w:noProof/>
              </w:rPr>
              <w:t>Broj pojedinačnih inovacija (proces, proizvod, organizacija) provedenih u praksi kao rezultat projekta za koji je dodijeljena potpora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200C444" w14:textId="77777777" w:rsidR="00615E2D" w:rsidRDefault="00C83E46">
            <w:pPr>
              <w:pStyle w:val="P68B1DB1-Normal28"/>
              <w:spacing w:line="240" w:lineRule="auto"/>
              <w:jc w:val="center"/>
              <w:rPr>
                <w:noProof/>
              </w:rPr>
            </w:pPr>
            <w:r>
              <w:rPr>
                <w:noProof/>
              </w:rPr>
              <w:t>72</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32763E8B" w14:textId="77777777" w:rsidR="00615E2D" w:rsidRDefault="00C83E46">
            <w:pPr>
              <w:pStyle w:val="P68B1DB1-Normal28"/>
              <w:spacing w:line="240" w:lineRule="auto"/>
              <w:jc w:val="center"/>
              <w:rPr>
                <w:noProof/>
              </w:rPr>
            </w:pPr>
            <w:r>
              <w:rPr>
                <w:noProof/>
              </w:rPr>
              <w:t>162</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7D4A2C2A" w14:textId="77777777"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218D4703" w14:textId="77777777"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3EA0C64" w14:textId="77777777" w:rsidR="00615E2D" w:rsidRDefault="00C83E46">
            <w:pPr>
              <w:pStyle w:val="P68B1DB1-Normal12"/>
              <w:spacing w:line="240" w:lineRule="auto"/>
              <w:rPr>
                <w:noProof/>
              </w:rPr>
            </w:pPr>
            <w:r>
              <w:rPr>
                <w:noProof/>
                <w:color w:val="006100"/>
              </w:rPr>
              <w:t>90 pojedinačnih inovacija (proces, proizvod, organizacija) provodi se kao rezultat projekta kojem je dodijeljena potpora.</w:t>
            </w:r>
            <w:r>
              <w:rPr>
                <w:noProof/>
              </w:rPr>
              <w:t xml:space="preserve"> </w:t>
            </w:r>
          </w:p>
          <w:p w14:paraId="04EA2B0E" w14:textId="77777777" w:rsidR="00615E2D" w:rsidRDefault="00C83E46">
            <w:pPr>
              <w:pStyle w:val="P68B1DB1-Normal28"/>
              <w:spacing w:line="240" w:lineRule="auto"/>
              <w:rPr>
                <w:noProof/>
              </w:rPr>
            </w:pPr>
            <w:r>
              <w:rPr>
                <w:noProof/>
              </w:rPr>
              <w:t>Ukupni proračun izvršen u tu svrhu iznosi najmanje 39 000 000 EUR.</w:t>
            </w:r>
          </w:p>
        </w:tc>
      </w:tr>
      <w:tr w:rsidR="00615E2D" w14:paraId="6D0774D8"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71B36405" w14:textId="77777777" w:rsidR="00615E2D" w:rsidRDefault="00C83E46">
            <w:pPr>
              <w:pStyle w:val="P68B1DB1-Normal28"/>
              <w:spacing w:line="240" w:lineRule="auto"/>
              <w:jc w:val="center"/>
              <w:rPr>
                <w:noProof/>
              </w:rPr>
            </w:pPr>
            <w:r>
              <w:rPr>
                <w:noProof/>
              </w:rPr>
              <w:t>228</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0A110B2E" w14:textId="77777777" w:rsidR="00615E2D" w:rsidRDefault="00C83E46">
            <w:pPr>
              <w:pStyle w:val="P68B1DB1-Normal28"/>
              <w:spacing w:line="240" w:lineRule="auto"/>
              <w:rPr>
                <w:noProof/>
              </w:rPr>
            </w:pPr>
            <w:r>
              <w:rPr>
                <w:noProof/>
              </w:rPr>
              <w:t>Ulaganje 2: Potpora istraživačkoj i razvojnoj suradnji (u skladu sa strategijom pametne specijalizacije)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AE6A4D3" w14:textId="77777777"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0D4E0693" w14:textId="77777777" w:rsidR="00615E2D" w:rsidRDefault="00C83E46">
            <w:pPr>
              <w:pStyle w:val="P68B1DB1-Normal28"/>
              <w:spacing w:line="240" w:lineRule="auto"/>
              <w:rPr>
                <w:noProof/>
              </w:rPr>
            </w:pPr>
            <w:r>
              <w:rPr>
                <w:noProof/>
              </w:rPr>
              <w:t>Suradnja MSP-ova s javnom istraživačkom organizacijom u okviru nacionalnih centara stručnosti</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55EF9AA" w14:textId="77777777"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279CB471" w14:textId="51804C9E" w:rsidR="00615E2D" w:rsidRDefault="00C83E46">
            <w:pPr>
              <w:pStyle w:val="P68B1DB1-Normal28"/>
              <w:spacing w:line="240" w:lineRule="auto"/>
              <w:rPr>
                <w:noProof/>
              </w:rPr>
            </w:pPr>
            <w:r>
              <w:rPr>
                <w:noProof/>
              </w:rPr>
              <w:t>Broj MSP-ova koji su primili potporu i koji sudjeluju u projektima suradnje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1C32A0B" w14:textId="77777777"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7730BD69" w14:textId="1615AC5A" w:rsidR="00615E2D" w:rsidRDefault="00C83E46">
            <w:pPr>
              <w:pStyle w:val="P68B1DB1-Normal28"/>
              <w:spacing w:line="240" w:lineRule="auto"/>
              <w:jc w:val="center"/>
              <w:rPr>
                <w:noProof/>
              </w:rPr>
            </w:pPr>
            <w:r>
              <w:rPr>
                <w:noProof/>
              </w:rPr>
              <w:t>60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23DF680C" w14:textId="77777777" w:rsidR="00615E2D" w:rsidRDefault="00C83E46">
            <w:pPr>
              <w:pStyle w:val="P68B1DB1-Normal28"/>
              <w:spacing w:line="240" w:lineRule="auto"/>
              <w:jc w:val="center"/>
              <w:rPr>
                <w:noProof/>
              </w:rPr>
            </w:pPr>
            <w:r>
              <w:rPr>
                <w:noProof/>
              </w:rPr>
              <w:t>ČETVRTO 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4CA7546C" w14:textId="77777777" w:rsidR="00615E2D" w:rsidRDefault="00C83E46">
            <w:pPr>
              <w:pStyle w:val="P68B1DB1-Normal28"/>
              <w:spacing w:line="240" w:lineRule="auto"/>
              <w:jc w:val="center"/>
              <w:rPr>
                <w:noProof/>
              </w:rPr>
            </w:pPr>
            <w:r>
              <w:rPr>
                <w:noProof/>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A5E98B0" w14:textId="05888781" w:rsidR="00615E2D" w:rsidRDefault="00C83E46">
            <w:pPr>
              <w:pStyle w:val="P68B1DB1-Normal12"/>
              <w:spacing w:line="240" w:lineRule="auto"/>
              <w:rPr>
                <w:noProof/>
              </w:rPr>
            </w:pPr>
            <w:r>
              <w:rPr>
                <w:noProof/>
                <w:color w:val="006100"/>
              </w:rPr>
              <w:t>Sporazumi o dodjeli bespovratnih sredstava potpisuju se za potporu projektima suradnje koji uključuju najmanje 60 MSP-ova s javnom istraživačkom organizacijom u okviru novoosnovanih nacionalnih centara stručnosti.</w:t>
            </w:r>
            <w:r>
              <w:rPr>
                <w:noProof/>
              </w:rPr>
              <w:t xml:space="preserve"> </w:t>
            </w:r>
          </w:p>
          <w:p w14:paraId="2A146F88" w14:textId="29F2037E" w:rsidR="00615E2D" w:rsidRDefault="00615E2D">
            <w:pPr>
              <w:spacing w:line="240" w:lineRule="auto"/>
              <w:rPr>
                <w:noProof/>
                <w:color w:val="006100"/>
                <w:sz w:val="18"/>
              </w:rPr>
            </w:pPr>
          </w:p>
        </w:tc>
      </w:tr>
      <w:tr w:rsidR="00615E2D" w14:paraId="3365C70C"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74CD9439" w14:textId="430CD79E" w:rsidR="00615E2D" w:rsidRDefault="00C83E46">
            <w:pPr>
              <w:pStyle w:val="P68B1DB1-Normal28"/>
              <w:spacing w:line="240" w:lineRule="auto"/>
              <w:jc w:val="center"/>
              <w:rPr>
                <w:noProof/>
              </w:rPr>
            </w:pPr>
            <w:r>
              <w:rPr>
                <w:noProof/>
              </w:rPr>
              <w:t>290</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2E13A57A" w14:textId="77777777" w:rsidR="00615E2D" w:rsidRDefault="00C83E46">
            <w:pPr>
              <w:pStyle w:val="P68B1DB1-Normal28"/>
              <w:spacing w:line="240" w:lineRule="auto"/>
              <w:rPr>
                <w:noProof/>
              </w:rPr>
            </w:pPr>
            <w:r>
              <w:rPr>
                <w:noProof/>
              </w:rPr>
              <w:t>Ulaganje 2: Potpora istraživačkoj i razvojnoj suradnji (u skladu sa strategijom pametne specijalizacije)</w:t>
            </w:r>
          </w:p>
          <w:p w14:paraId="0890529E" w14:textId="6F8FCC50"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A503A48" w14:textId="43C48BCA"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7E60F829" w14:textId="77777777" w:rsidR="00615E2D" w:rsidRDefault="00C83E46">
            <w:pPr>
              <w:pStyle w:val="P68B1DB1-Normal28"/>
              <w:spacing w:line="240" w:lineRule="auto"/>
              <w:rPr>
                <w:noProof/>
              </w:rPr>
            </w:pPr>
            <w:r>
              <w:rPr>
                <w:noProof/>
              </w:rPr>
              <w:t>Suradnja MSP-ova s javnom istraživačkom organizacijom u okviru nacionalnih centara stručnosti</w:t>
            </w:r>
          </w:p>
          <w:p w14:paraId="6FB42BEE" w14:textId="0B44F78E" w:rsidR="00615E2D" w:rsidRDefault="00615E2D">
            <w:pPr>
              <w:spacing w:line="240" w:lineRule="auto"/>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2D164B8" w14:textId="5F73DA8B"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772206D6" w14:textId="18F1DE96" w:rsidR="00615E2D" w:rsidRDefault="00C83E46">
            <w:pPr>
              <w:pStyle w:val="P68B1DB1-Normal28"/>
              <w:spacing w:line="240" w:lineRule="auto"/>
              <w:rPr>
                <w:noProof/>
              </w:rPr>
            </w:pPr>
            <w:r>
              <w:rPr>
                <w:noProof/>
              </w:rPr>
              <w:t>U milijunima EUR</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2590319" w14:textId="4A894E0F"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21CE88CB" w14:textId="76DAD1E3" w:rsidR="00615E2D" w:rsidRDefault="00C83E46">
            <w:pPr>
              <w:pStyle w:val="P68B1DB1-Normal28"/>
              <w:spacing w:line="240" w:lineRule="auto"/>
              <w:jc w:val="center"/>
              <w:rPr>
                <w:noProof/>
              </w:rPr>
            </w:pPr>
            <w:r>
              <w:rPr>
                <w:noProof/>
              </w:rPr>
              <w:t>58</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6AE9EB2C" w14:textId="6F701577"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3824171A" w14:textId="05111C97"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6C1866F7" w14:textId="027C16D4" w:rsidR="00615E2D" w:rsidRDefault="00C83E46">
            <w:pPr>
              <w:pStyle w:val="P68B1DB1-Normal28"/>
              <w:spacing w:line="240" w:lineRule="auto"/>
              <w:rPr>
                <w:noProof/>
              </w:rPr>
            </w:pPr>
            <w:r>
              <w:rPr>
                <w:noProof/>
              </w:rPr>
              <w:t>Ukupni proračun izvršen za potporu projektima suradnje u okviru cilja 228. iznosi najmanje 58 000 000 EUR.</w:t>
            </w:r>
          </w:p>
        </w:tc>
      </w:tr>
      <w:tr w:rsidR="00615E2D" w14:paraId="6D28832E"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21A6466" w14:textId="77777777" w:rsidR="00615E2D" w:rsidRDefault="00C83E46">
            <w:pPr>
              <w:pStyle w:val="P68B1DB1-Normal28"/>
              <w:spacing w:line="240" w:lineRule="auto"/>
              <w:jc w:val="center"/>
              <w:rPr>
                <w:noProof/>
              </w:rPr>
            </w:pPr>
            <w:r>
              <w:rPr>
                <w:noProof/>
              </w:rPr>
              <w:t>229</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598A867A" w14:textId="77777777" w:rsidR="00615E2D" w:rsidRDefault="00C83E46">
            <w:pPr>
              <w:pStyle w:val="P68B1DB1-Normal28"/>
              <w:spacing w:line="240" w:lineRule="auto"/>
              <w:rPr>
                <w:noProof/>
              </w:rPr>
            </w:pPr>
            <w:r>
              <w:rPr>
                <w:noProof/>
              </w:rPr>
              <w:t>Ulaganje 3: Potpore za istraživanje i razvoj u području zaštite okoliša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255E5F7" w14:textId="77777777"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246400EF" w14:textId="77777777" w:rsidR="00615E2D" w:rsidRDefault="00C83E46">
            <w:pPr>
              <w:pStyle w:val="P68B1DB1-Normal28"/>
              <w:spacing w:line="240" w:lineRule="auto"/>
              <w:rPr>
                <w:noProof/>
              </w:rPr>
            </w:pPr>
            <w:r>
              <w:rPr>
                <w:noProof/>
              </w:rPr>
              <w:t>istraživanje i razvoj u području okoliša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2B84A040" w14:textId="77777777"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1A047F69" w14:textId="77777777" w:rsidR="00615E2D" w:rsidRDefault="00C83E46">
            <w:pPr>
              <w:pStyle w:val="P68B1DB1-Normal28"/>
              <w:spacing w:line="240" w:lineRule="auto"/>
              <w:rPr>
                <w:noProof/>
              </w:rPr>
            </w:pPr>
            <w:r>
              <w:rPr>
                <w:noProof/>
              </w:rPr>
              <w:t>Broj projekata za koje je dodijeljena potpora u području okoliša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9988F8D" w14:textId="77777777" w:rsidR="00615E2D" w:rsidRDefault="00C83E46">
            <w:pPr>
              <w:pStyle w:val="P68B1DB1-Normal28"/>
              <w:spacing w:line="240" w:lineRule="auto"/>
              <w:jc w:val="center"/>
              <w:rPr>
                <w:noProof/>
              </w:rPr>
            </w:pPr>
            <w:r>
              <w:rPr>
                <w:noProof/>
              </w:rPr>
              <w:t>43</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2CC7D4BD" w14:textId="03D98083" w:rsidR="00615E2D" w:rsidRDefault="00C83E46">
            <w:pPr>
              <w:pStyle w:val="P68B1DB1-Normal28"/>
              <w:spacing w:line="240" w:lineRule="auto"/>
              <w:jc w:val="center"/>
              <w:rPr>
                <w:noProof/>
              </w:rPr>
            </w:pPr>
            <w:r>
              <w:rPr>
                <w:noProof/>
              </w:rPr>
              <w:t>58</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09391933" w14:textId="77777777"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6E887864" w14:textId="77777777" w:rsidR="00615E2D" w:rsidRDefault="00C83E46">
            <w:pPr>
              <w:pStyle w:val="P68B1DB1-Normal28"/>
              <w:spacing w:line="240" w:lineRule="auto"/>
              <w:jc w:val="center"/>
              <w:rPr>
                <w:noProof/>
              </w:rPr>
            </w:pPr>
            <w:r>
              <w:rPr>
                <w:noProof/>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30F67DB9" w14:textId="4216ADC3" w:rsidR="00615E2D" w:rsidRDefault="00C83E46">
            <w:pPr>
              <w:pStyle w:val="P68B1DB1-Normal28"/>
              <w:spacing w:line="259" w:lineRule="auto"/>
              <w:rPr>
                <w:noProof/>
              </w:rPr>
            </w:pPr>
            <w:r>
              <w:rPr>
                <w:noProof/>
              </w:rPr>
              <w:t>Sporazumi o dodjeli bespovratnih sredstava potpisuju se za potporu najmanje petnaest projekata istraživanja, razvoja i inovacija u području okoliša. Projekti su usmjereni na prioritetna tematska područja kao što su zaštita i održiva upotreba prirodnih resursa, zaštita klime i poboljšanje kvalitete zraka, gospodarenje otpadom i ponovna uporaba otpada, zaštita prirode i krajolika ili siguran i otporan okoliš, uključujući sprečavanje i smanjenje posljedica prirodnih i antropogenih opasnosti.</w:t>
            </w:r>
          </w:p>
          <w:p w14:paraId="29F9BF31" w14:textId="7B14EC33" w:rsidR="00615E2D" w:rsidRDefault="00615E2D">
            <w:pPr>
              <w:spacing w:line="259" w:lineRule="auto"/>
              <w:rPr>
                <w:noProof/>
                <w:color w:val="006100"/>
                <w:sz w:val="18"/>
              </w:rPr>
            </w:pPr>
          </w:p>
        </w:tc>
      </w:tr>
      <w:tr w:rsidR="00615E2D" w14:paraId="0F33856C"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14082F82" w14:textId="4881011C" w:rsidR="00615E2D" w:rsidRDefault="00C83E46">
            <w:pPr>
              <w:pStyle w:val="P68B1DB1-Normal28"/>
              <w:spacing w:line="240" w:lineRule="auto"/>
              <w:jc w:val="center"/>
              <w:rPr>
                <w:noProof/>
              </w:rPr>
            </w:pPr>
            <w:r>
              <w:rPr>
                <w:noProof/>
              </w:rPr>
              <w:t>291</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20979283" w14:textId="68E90CAD" w:rsidR="00615E2D" w:rsidRDefault="00C83E46">
            <w:pPr>
              <w:pStyle w:val="P68B1DB1-Normal28"/>
              <w:spacing w:line="240" w:lineRule="auto"/>
              <w:rPr>
                <w:noProof/>
              </w:rPr>
            </w:pPr>
            <w:r>
              <w:rPr>
                <w:noProof/>
              </w:rPr>
              <w:t>Ulaganje 3: Potpore za istraživanje i razvoj u području zaštite okoliša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CA4F1B9" w14:textId="77777777" w:rsidR="00615E2D" w:rsidRDefault="00C83E46">
            <w:pPr>
              <w:pStyle w:val="P68B1DB1-Normal28"/>
              <w:spacing w:line="240" w:lineRule="auto"/>
              <w:rPr>
                <w:noProof/>
              </w:rPr>
            </w:pPr>
            <w:r>
              <w:rPr>
                <w:noProof/>
              </w:rPr>
              <w:t>Ciljna</w:t>
            </w:r>
          </w:p>
          <w:p w14:paraId="6D6F07BA" w14:textId="46ADF87A" w:rsidR="00615E2D" w:rsidRDefault="00615E2D">
            <w:pPr>
              <w:spacing w:line="240" w:lineRule="auto"/>
              <w:rPr>
                <w:noProof/>
                <w:color w:val="006100"/>
                <w:sz w:val="18"/>
              </w:rPr>
            </w:pP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7DE9FE5D" w14:textId="091EEB71" w:rsidR="00615E2D" w:rsidRDefault="00C83E46">
            <w:pPr>
              <w:pStyle w:val="P68B1DB1-Normal28"/>
              <w:spacing w:line="240" w:lineRule="auto"/>
              <w:rPr>
                <w:noProof/>
              </w:rPr>
            </w:pPr>
            <w:r>
              <w:rPr>
                <w:noProof/>
              </w:rPr>
              <w:t>Istraživanje i razvoj u području okoliša</w:t>
            </w:r>
          </w:p>
          <w:p w14:paraId="1240CF06" w14:textId="34FECE21" w:rsidR="00615E2D" w:rsidRDefault="00615E2D">
            <w:pPr>
              <w:spacing w:line="240" w:lineRule="auto"/>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5796B69" w14:textId="624E186B"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7D091CCB" w14:textId="77777777" w:rsidR="00615E2D" w:rsidRDefault="00615E2D">
            <w:pPr>
              <w:spacing w:line="240" w:lineRule="auto"/>
              <w:rPr>
                <w:noProof/>
                <w:color w:val="006100"/>
                <w:sz w:val="18"/>
              </w:rPr>
            </w:pPr>
          </w:p>
          <w:p w14:paraId="033C7497" w14:textId="455F889F" w:rsidR="00615E2D" w:rsidRDefault="00C83E46">
            <w:pPr>
              <w:pStyle w:val="P68B1DB1-Normal28"/>
              <w:spacing w:line="240" w:lineRule="auto"/>
              <w:rPr>
                <w:noProof/>
              </w:rPr>
            </w:pPr>
            <w:r>
              <w:rPr>
                <w:noProof/>
              </w:rPr>
              <w:t>U milijunima EUR</w:t>
            </w:r>
          </w:p>
          <w:p w14:paraId="4CA68FAC" w14:textId="405815FA" w:rsidR="00615E2D" w:rsidRDefault="00615E2D">
            <w:pPr>
              <w:spacing w:line="240" w:lineRule="auto"/>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3F776B81" w14:textId="2D8ED9FF"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78D59A86" w14:textId="432D3DE8" w:rsidR="00615E2D" w:rsidRDefault="00C83E46">
            <w:pPr>
              <w:pStyle w:val="P68B1DB1-Normal28"/>
              <w:spacing w:line="240" w:lineRule="auto"/>
              <w:jc w:val="center"/>
              <w:rPr>
                <w:noProof/>
              </w:rPr>
            </w:pPr>
            <w:r>
              <w:rPr>
                <w:noProof/>
              </w:rPr>
              <w:t>7</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25A3E2A5" w14:textId="223B330E"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7EAC0976" w14:textId="16446090"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750BB064" w14:textId="1F360D9E" w:rsidR="00615E2D" w:rsidRDefault="00C83E46">
            <w:pPr>
              <w:pStyle w:val="P68B1DB1-Normal28"/>
              <w:spacing w:line="259" w:lineRule="auto"/>
              <w:rPr>
                <w:noProof/>
              </w:rPr>
            </w:pPr>
            <w:r>
              <w:rPr>
                <w:noProof/>
              </w:rPr>
              <w:t>Ukupni proračun izvršen za potporu projektima u okviru cilja 229 iznosi najmanje 7 000 000 EUR.</w:t>
            </w:r>
          </w:p>
        </w:tc>
      </w:tr>
      <w:tr w:rsidR="00615E2D" w14:paraId="51366422"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63D6762" w14:textId="77777777" w:rsidR="00615E2D" w:rsidRDefault="00C83E46">
            <w:pPr>
              <w:pStyle w:val="P68B1DB1-Normal28"/>
              <w:spacing w:line="240" w:lineRule="auto"/>
              <w:jc w:val="center"/>
              <w:rPr>
                <w:noProof/>
              </w:rPr>
            </w:pPr>
            <w:r>
              <w:rPr>
                <w:noProof/>
              </w:rPr>
              <w:t>230</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3CB3F531" w14:textId="77777777" w:rsidR="00615E2D" w:rsidRDefault="00C83E46">
            <w:pPr>
              <w:pStyle w:val="P68B1DB1-Normal28"/>
              <w:spacing w:line="240" w:lineRule="auto"/>
              <w:rPr>
                <w:noProof/>
              </w:rPr>
            </w:pPr>
            <w:r>
              <w:rPr>
                <w:noProof/>
              </w:rPr>
              <w:t>Ulaganje 4: Potpore za istraživanje i razvoj u sinergiji s Okvirnim programom za istraživanje i inovacije</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ED2236E" w14:textId="77777777"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3EA60981" w14:textId="77777777" w:rsidR="00615E2D" w:rsidRDefault="00C83E46">
            <w:pPr>
              <w:pStyle w:val="P68B1DB1-Normal28"/>
              <w:spacing w:line="240" w:lineRule="auto"/>
              <w:rPr>
                <w:noProof/>
              </w:rPr>
            </w:pPr>
            <w:r>
              <w:rPr>
                <w:noProof/>
              </w:rPr>
              <w:t>Istraživanje i razvoj u sinergiji s Okvirnim programom za istraživanje i inovacije</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2C76BD7" w14:textId="77777777"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3780BFA4" w14:textId="77777777" w:rsidR="00615E2D" w:rsidRDefault="00C83E46">
            <w:pPr>
              <w:pStyle w:val="P68B1DB1-Normal28"/>
              <w:spacing w:line="240" w:lineRule="auto"/>
              <w:rPr>
                <w:noProof/>
              </w:rPr>
            </w:pPr>
            <w:r>
              <w:rPr>
                <w:noProof/>
              </w:rPr>
              <w:t>Broj projekata koji sudjeluju u sufinanciranim sredstvima Europskog istraživačkog prostora (NET) i projektima koji su dobili pečat izvrsnosti</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6144DAAF" w14:textId="77777777" w:rsidR="00615E2D" w:rsidRDefault="00C83E46">
            <w:pPr>
              <w:pStyle w:val="P68B1DB1-Normal28"/>
              <w:spacing w:line="240" w:lineRule="auto"/>
              <w:jc w:val="center"/>
              <w:rPr>
                <w:noProof/>
              </w:rPr>
            </w:pPr>
            <w:r>
              <w:rPr>
                <w:noProof/>
              </w:rPr>
              <w:t>53</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29864FD4" w14:textId="77777777" w:rsidR="00615E2D" w:rsidRDefault="00C83E46">
            <w:pPr>
              <w:pStyle w:val="P68B1DB1-Normal28"/>
              <w:spacing w:line="240" w:lineRule="auto"/>
              <w:jc w:val="center"/>
              <w:rPr>
                <w:noProof/>
              </w:rPr>
            </w:pPr>
            <w:r>
              <w:rPr>
                <w:noProof/>
              </w:rPr>
              <w:t>79</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20B15335" w14:textId="6CB662FA"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4DD1CDE7" w14:textId="2BFFF3CD"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4D4F2DC" w14:textId="545ADB3E" w:rsidR="00615E2D" w:rsidRDefault="00C83E46">
            <w:pPr>
              <w:pStyle w:val="P68B1DB1-Normal12"/>
              <w:spacing w:line="240" w:lineRule="auto"/>
              <w:rPr>
                <w:noProof/>
              </w:rPr>
            </w:pPr>
            <w:r>
              <w:rPr>
                <w:noProof/>
              </w:rPr>
              <w:t>Podupire se</w:t>
            </w:r>
            <w:r>
              <w:rPr>
                <w:noProof/>
                <w:color w:val="006100"/>
              </w:rPr>
              <w:t>26</w:t>
            </w:r>
            <w:r>
              <w:rPr>
                <w:noProof/>
              </w:rPr>
              <w:t xml:space="preserve"> </w:t>
            </w:r>
            <w:r>
              <w:rPr>
                <w:noProof/>
                <w:color w:val="006100"/>
              </w:rPr>
              <w:t>projekata koji sudjeluju u sufinanciranim sredstvima europskog istraživačkog prostora (NET) i projektima koji su dobili pečat izvrsnosti (uključujući pilot-projekt Akceleratora EIC-a), uključujući 18 projekata koji sudjeluju u sufinanciranim sredstvima europskog istraživačkog prostora u okviru NET-a i osam projekata koji su dobili pečat izvrsnosti.</w:t>
            </w:r>
            <w:r>
              <w:rPr>
                <w:noProof/>
              </w:rPr>
              <w:t xml:space="preserve"> </w:t>
            </w:r>
          </w:p>
          <w:p w14:paraId="78759086" w14:textId="40AAE719" w:rsidR="00615E2D" w:rsidRDefault="00C83E46">
            <w:pPr>
              <w:pStyle w:val="P68B1DB1-Normal28"/>
              <w:spacing w:line="240" w:lineRule="auto"/>
              <w:rPr>
                <w:noProof/>
              </w:rPr>
            </w:pPr>
            <w:r>
              <w:rPr>
                <w:noProof/>
              </w:rPr>
              <w:t xml:space="preserve">Ukupni proračun izvršen u tu svrhu iznosi najmanje 19 000 000 EUR. </w:t>
            </w:r>
          </w:p>
        </w:tc>
      </w:tr>
      <w:tr w:rsidR="00615E2D" w14:paraId="004042F6"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238987A2" w14:textId="68E8C445" w:rsidR="00615E2D" w:rsidRDefault="00C83E46">
            <w:pPr>
              <w:pStyle w:val="P68B1DB1-Normal28"/>
              <w:spacing w:line="240" w:lineRule="auto"/>
              <w:jc w:val="center"/>
              <w:rPr>
                <w:noProof/>
                <w:highlight w:val="yellow"/>
              </w:rPr>
            </w:pPr>
            <w:r>
              <w:rPr>
                <w:noProof/>
              </w:rPr>
              <w:t>292</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6C6AC594" w14:textId="77707B87" w:rsidR="00615E2D" w:rsidRDefault="00C83E46">
            <w:pPr>
              <w:pStyle w:val="P68B1DB1-Normal28"/>
              <w:spacing w:line="240" w:lineRule="auto"/>
              <w:rPr>
                <w:noProof/>
              </w:rPr>
            </w:pPr>
            <w:r>
              <w:rPr>
                <w:noProof/>
              </w:rPr>
              <w:t>Ulaganje 5: Potpore za istraživanje i razvoj u poduzećima u skladu s nacionalnom strategijom RIS3</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6DCE8CE" w14:textId="1B732F1D"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083D9377" w14:textId="1B4D4251" w:rsidR="00615E2D" w:rsidRDefault="00C83E46">
            <w:pPr>
              <w:pStyle w:val="P68B1DB1-Normal28"/>
              <w:spacing w:line="240" w:lineRule="auto"/>
              <w:rPr>
                <w:noProof/>
              </w:rPr>
            </w:pPr>
            <w:r>
              <w:rPr>
                <w:noProof/>
              </w:rPr>
              <w:t>Istraživanje i razvoj u skladu sa strategijom RIS3</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DEFB7F4" w14:textId="7BE7D182"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393868B5" w14:textId="313FD4E4" w:rsidR="00615E2D" w:rsidRDefault="00C83E46">
            <w:pPr>
              <w:pStyle w:val="P68B1DB1-Normal28"/>
              <w:spacing w:line="240" w:lineRule="auto"/>
              <w:rPr>
                <w:noProof/>
              </w:rPr>
            </w:pPr>
            <w:r>
              <w:rPr>
                <w:noProof/>
              </w:rPr>
              <w:t>Broj projekata u skladu sa strategijom RIS3 za koje je potpisan sporazum o dodjeli bespovratnih sredstava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EA13204" w14:textId="5B8646C3"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2980E410" w14:textId="44363708" w:rsidR="00615E2D" w:rsidRDefault="00C83E46">
            <w:pPr>
              <w:pStyle w:val="P68B1DB1-Normal28"/>
              <w:spacing w:line="240" w:lineRule="auto"/>
              <w:jc w:val="center"/>
              <w:rPr>
                <w:noProof/>
                <w:highlight w:val="yellow"/>
              </w:rPr>
            </w:pPr>
            <w:r>
              <w:rPr>
                <w:noProof/>
              </w:rPr>
              <w:t>68</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15C14A06" w14:textId="0AF415AA"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544D6F04" w14:textId="6204586D" w:rsidR="00615E2D" w:rsidRDefault="00C83E46">
            <w:pPr>
              <w:pStyle w:val="P68B1DB1-Normal28"/>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24FCCBDA" w14:textId="140BDF4E" w:rsidR="00615E2D" w:rsidRDefault="00C83E46">
            <w:pPr>
              <w:pStyle w:val="P68B1DB1-Normal28"/>
              <w:spacing w:line="240" w:lineRule="auto"/>
              <w:rPr>
                <w:noProof/>
              </w:rPr>
            </w:pPr>
            <w:r>
              <w:rPr>
                <w:noProof/>
              </w:rPr>
              <w:t xml:space="preserve">Sporazumi o dodjeli bespovratnih sredstava potpisuju se za potporu najmanje 68 projekata u skladu s nacionalnom strategijom RIS3. Cilj je natječaja poduprijeti projekte industrijskog istraživanja i eksperimentalnog razvoja usmjerene na provedbu rezultata u praksi, posebno u industrijskoj proizvodnji i opskrbi proizvodima na tržištu, projektima za razvoj novih usluga, tehnologija i materijala, povećanju automatizacije i robotizacije te upotrebi digitalnih tehnologija.  </w:t>
            </w:r>
          </w:p>
          <w:p w14:paraId="124FF063" w14:textId="26827AAB" w:rsidR="00615E2D" w:rsidRDefault="00C83E46">
            <w:pPr>
              <w:pStyle w:val="P68B1DB1-Normal28"/>
              <w:spacing w:line="240" w:lineRule="auto"/>
              <w:rPr>
                <w:noProof/>
              </w:rPr>
            </w:pPr>
            <w:r>
              <w:rPr>
                <w:noProof/>
              </w:rPr>
              <w:t xml:space="preserve">Projekti odabrani za potporu moraju biti u skladu s jednim područjem specijalizacije istraživanja, razvoja i inovacija u okviru nacionalne strategije RIS3. </w:t>
            </w:r>
          </w:p>
          <w:p w14:paraId="0B115252" w14:textId="44327336" w:rsidR="00615E2D" w:rsidRDefault="00C83E46">
            <w:pPr>
              <w:pStyle w:val="P68B1DB1-Normal28"/>
              <w:spacing w:line="240" w:lineRule="auto"/>
              <w:rPr>
                <w:noProof/>
              </w:rPr>
            </w:pPr>
            <w:r>
              <w:rPr>
                <w:noProof/>
              </w:rPr>
              <w:t>Ukupni proračun dodijeljen sporazumima o dodjeli bespovratnih sredstava za sve projekte i cjelokupno razdoblje provedbe iznosi najmanje 53,9 milijuna EUR.</w:t>
            </w:r>
          </w:p>
        </w:tc>
      </w:tr>
      <w:tr w:rsidR="00615E2D" w14:paraId="476996DC"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A996C89" w14:textId="4CCC2928" w:rsidR="00615E2D" w:rsidRDefault="00C83E46">
            <w:pPr>
              <w:pStyle w:val="P68B1DB1-Normal28"/>
              <w:spacing w:line="240" w:lineRule="auto"/>
              <w:jc w:val="center"/>
              <w:rPr>
                <w:noProof/>
                <w:highlight w:val="yellow"/>
              </w:rPr>
            </w:pPr>
            <w:r>
              <w:rPr>
                <w:noProof/>
              </w:rPr>
              <w:t>293</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72905298" w14:textId="4B3E0952" w:rsidR="00615E2D" w:rsidRDefault="00C83E46">
            <w:pPr>
              <w:pStyle w:val="P68B1DB1-Normal28"/>
              <w:spacing w:line="240" w:lineRule="auto"/>
              <w:rPr>
                <w:noProof/>
              </w:rPr>
            </w:pPr>
            <w:r>
              <w:rPr>
                <w:noProof/>
              </w:rPr>
              <w:t>Ulaganje 5: Potpore za istraživanje i razvoj u poduzećima u skladu s nacionalnom strategijom RIS3</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EF729B6" w14:textId="13D67050"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5D36C675" w14:textId="77777777" w:rsidR="00615E2D" w:rsidRDefault="00615E2D">
            <w:pPr>
              <w:spacing w:line="240" w:lineRule="auto"/>
              <w:rPr>
                <w:noProof/>
                <w:color w:val="006100"/>
                <w:sz w:val="18"/>
              </w:rPr>
            </w:pPr>
          </w:p>
          <w:p w14:paraId="62ACDB0B" w14:textId="4D33F47A" w:rsidR="00615E2D" w:rsidRDefault="00C83E46">
            <w:pPr>
              <w:pStyle w:val="P68B1DB1-Normal28"/>
              <w:spacing w:line="240" w:lineRule="auto"/>
              <w:rPr>
                <w:noProof/>
              </w:rPr>
            </w:pPr>
            <w:r>
              <w:rPr>
                <w:noProof/>
              </w:rPr>
              <w:t>Istraživanje i razvoj u skladu sa strategijom RIS3</w:t>
            </w:r>
          </w:p>
          <w:p w14:paraId="7EDED1DA" w14:textId="017FF2E6" w:rsidR="00615E2D" w:rsidRDefault="00615E2D">
            <w:pPr>
              <w:spacing w:line="240" w:lineRule="auto"/>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6953B01" w14:textId="012A7AB8"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43B32A5F" w14:textId="353CC67D" w:rsidR="00615E2D" w:rsidRDefault="00C83E46">
            <w:pPr>
              <w:pStyle w:val="P68B1DB1-Normal28"/>
              <w:spacing w:line="240" w:lineRule="auto"/>
              <w:rPr>
                <w:noProof/>
              </w:rPr>
            </w:pPr>
            <w:r>
              <w:rPr>
                <w:noProof/>
              </w:rPr>
              <w:t>%</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A0127A4" w14:textId="7BC503A4"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23AA6C78" w14:textId="507C06CC" w:rsidR="00615E2D" w:rsidRDefault="00C83E46">
            <w:pPr>
              <w:pStyle w:val="P68B1DB1-Normal28"/>
              <w:spacing w:line="240" w:lineRule="auto"/>
              <w:jc w:val="center"/>
              <w:rPr>
                <w:noProof/>
                <w:highlight w:val="yellow"/>
              </w:rPr>
            </w:pPr>
            <w:r>
              <w:rPr>
                <w:noProof/>
              </w:rPr>
              <w:t>90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712B8762" w14:textId="4E51FB98"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2E78A904" w14:textId="62C4021F"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3F96DFDA" w14:textId="475DF98E" w:rsidR="00615E2D" w:rsidRDefault="00C83E46">
            <w:pPr>
              <w:pStyle w:val="P68B1DB1-Normal28"/>
              <w:spacing w:line="240" w:lineRule="auto"/>
              <w:rPr>
                <w:noProof/>
              </w:rPr>
            </w:pPr>
            <w:r>
              <w:rPr>
                <w:noProof/>
              </w:rPr>
              <w:t>Najmanje 90 % proračuna dodijeljenog za projekte u okviru cilja 292 mora biti isplaćeno.</w:t>
            </w:r>
          </w:p>
        </w:tc>
      </w:tr>
      <w:tr w:rsidR="00615E2D" w14:paraId="17E98F63"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2944D1C3" w14:textId="376A3F75" w:rsidR="00615E2D" w:rsidRDefault="00C83E46">
            <w:pPr>
              <w:pStyle w:val="P68B1DB1-Normal28"/>
              <w:spacing w:line="240" w:lineRule="auto"/>
              <w:jc w:val="center"/>
              <w:rPr>
                <w:noProof/>
                <w:highlight w:val="yellow"/>
              </w:rPr>
            </w:pPr>
            <w:r>
              <w:rPr>
                <w:noProof/>
              </w:rPr>
              <w:t>294</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60EF9ED7" w14:textId="5A6ACC08" w:rsidR="00615E2D" w:rsidRDefault="00C83E46">
            <w:pPr>
              <w:pStyle w:val="P68B1DB1-Normal28"/>
              <w:spacing w:line="240" w:lineRule="auto"/>
              <w:rPr>
                <w:noProof/>
              </w:rPr>
            </w:pPr>
            <w:r>
              <w:rPr>
                <w:noProof/>
              </w:rPr>
              <w:t>Ulaganje 6: Potpore za istraživanje i razvoj u području prometa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D8639E0" w14:textId="4F47D3CA"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722D66DB" w14:textId="0C162D67" w:rsidR="00615E2D" w:rsidRDefault="00C83E46">
            <w:pPr>
              <w:pStyle w:val="P68B1DB1-Normal28"/>
              <w:spacing w:line="240" w:lineRule="auto"/>
              <w:rPr>
                <w:noProof/>
              </w:rPr>
            </w:pPr>
            <w:r>
              <w:rPr>
                <w:noProof/>
              </w:rPr>
              <w:t>Istraživanje i razvoj u području prometa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7984F358" w14:textId="1F075AAE"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1EE98CDB" w14:textId="325FC007" w:rsidR="00615E2D" w:rsidRDefault="00C83E46">
            <w:pPr>
              <w:pStyle w:val="P68B1DB1-Normal28"/>
              <w:spacing w:line="240" w:lineRule="auto"/>
              <w:rPr>
                <w:noProof/>
              </w:rPr>
            </w:pPr>
            <w:r>
              <w:rPr>
                <w:noProof/>
              </w:rPr>
              <w:t>Broj projekata u području prometa za koje je potpisan sporazum o dodjeli bespovratnih sredstava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6D0A9B89" w14:textId="39DB4720"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15EEDA92" w14:textId="1BA68A61" w:rsidR="00615E2D" w:rsidRDefault="00C83E46">
            <w:pPr>
              <w:pStyle w:val="P68B1DB1-Normal28"/>
              <w:spacing w:line="240" w:lineRule="auto"/>
              <w:jc w:val="center"/>
              <w:rPr>
                <w:noProof/>
                <w:highlight w:val="yellow"/>
              </w:rPr>
            </w:pPr>
            <w:r>
              <w:rPr>
                <w:noProof/>
              </w:rPr>
              <w:t>16</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4DE37E44" w14:textId="155B7D18"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4F8B3804" w14:textId="5AEBAA29" w:rsidR="00615E2D" w:rsidRDefault="00C83E46">
            <w:pPr>
              <w:pStyle w:val="P68B1DB1-Normal28"/>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54ADA98" w14:textId="38D87BD4" w:rsidR="00615E2D" w:rsidRDefault="00C83E46">
            <w:pPr>
              <w:pStyle w:val="P68B1DB1-Normal28"/>
              <w:spacing w:line="240" w:lineRule="auto"/>
              <w:rPr>
                <w:noProof/>
              </w:rPr>
            </w:pPr>
            <w:r>
              <w:rPr>
                <w:noProof/>
              </w:rPr>
              <w:t xml:space="preserve">Sporazumi o dodjeli bespovratnih sredstava potpisuju se za potporu najmanje 16 projekata istraživanja i razvoja u području prometa. Cilj je natječaja poduprijeti projekte za primijenjeno istraživanje, eksperimentalni razvoj i inovacije u jednom od sljedećih područja: i. održiv, pristupačan i siguran promet, ii. automatizacija, digitalizacija i tehnološki napredni promet, iii. promet s nultom stopom emisija.  </w:t>
            </w:r>
          </w:p>
          <w:p w14:paraId="142376A4" w14:textId="3F61DB21" w:rsidR="00615E2D" w:rsidRDefault="00C83E46">
            <w:pPr>
              <w:pStyle w:val="P68B1DB1-Normal28"/>
              <w:spacing w:line="240" w:lineRule="auto"/>
              <w:rPr>
                <w:noProof/>
              </w:rPr>
            </w:pPr>
            <w:r>
              <w:rPr>
                <w:noProof/>
              </w:rPr>
              <w:t xml:space="preserve">Projekti odabrani za potporu također su u skladu s jednim od sljedeća dva područja specijalizacije nacionalne strategije RIS3: i. zeleni prijevoz; i ii. tehnološki naprednog i sigurnog prijevoza. </w:t>
            </w:r>
          </w:p>
          <w:p w14:paraId="51EBAC07" w14:textId="54791267" w:rsidR="00615E2D" w:rsidRDefault="00C83E46">
            <w:pPr>
              <w:pStyle w:val="P68B1DB1-Normal28"/>
              <w:spacing w:line="240" w:lineRule="auto"/>
              <w:rPr>
                <w:noProof/>
              </w:rPr>
            </w:pPr>
            <w:r>
              <w:rPr>
                <w:noProof/>
              </w:rPr>
              <w:t>Ukupni proračun dodijeljen sporazumima o dodjeli bespovratnih sredstava za sve projekte i cjelokupno razdoblje provedbe iznosi najmanje 8 milijuna EUR.</w:t>
            </w:r>
          </w:p>
          <w:p w14:paraId="0D57BB3D" w14:textId="633FAE85" w:rsidR="00615E2D" w:rsidRDefault="00615E2D">
            <w:pPr>
              <w:spacing w:line="240" w:lineRule="auto"/>
              <w:rPr>
                <w:noProof/>
                <w:color w:val="006100"/>
                <w:sz w:val="18"/>
              </w:rPr>
            </w:pPr>
          </w:p>
        </w:tc>
      </w:tr>
      <w:tr w:rsidR="00615E2D" w14:paraId="35DAE04E"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F08B30A" w14:textId="3E74EFC8" w:rsidR="00615E2D" w:rsidRDefault="00C83E46">
            <w:pPr>
              <w:pStyle w:val="P68B1DB1-Normal28"/>
              <w:spacing w:line="240" w:lineRule="auto"/>
              <w:jc w:val="center"/>
              <w:rPr>
                <w:noProof/>
                <w:highlight w:val="yellow"/>
              </w:rPr>
            </w:pPr>
            <w:r>
              <w:rPr>
                <w:noProof/>
              </w:rPr>
              <w:t>295</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718D63F9" w14:textId="07C7BA21" w:rsidR="00615E2D" w:rsidRDefault="00C83E46">
            <w:pPr>
              <w:pStyle w:val="P68B1DB1-Normal28"/>
              <w:spacing w:line="240" w:lineRule="auto"/>
              <w:rPr>
                <w:noProof/>
              </w:rPr>
            </w:pPr>
            <w:r>
              <w:rPr>
                <w:noProof/>
              </w:rPr>
              <w:t>Ulaganje 6: Potpore za istraživanje i razvoj u području prometa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8B12FF3" w14:textId="3B2E6748"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5E4789E7" w14:textId="12704697" w:rsidR="00615E2D" w:rsidRDefault="00C83E46">
            <w:pPr>
              <w:pStyle w:val="P68B1DB1-Normal28"/>
              <w:spacing w:line="240" w:lineRule="auto"/>
              <w:rPr>
                <w:noProof/>
              </w:rPr>
            </w:pPr>
            <w:r>
              <w:rPr>
                <w:noProof/>
              </w:rPr>
              <w:t>Istraživanje i razvoj u području prometa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A20F8AD" w14:textId="7DD35FB6"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3671822C" w14:textId="056FC46D" w:rsidR="00615E2D" w:rsidRDefault="00C83E46">
            <w:pPr>
              <w:pStyle w:val="P68B1DB1-Normal28"/>
              <w:spacing w:line="240" w:lineRule="auto"/>
              <w:rPr>
                <w:noProof/>
              </w:rPr>
            </w:pPr>
            <w:r>
              <w:rPr>
                <w:noProof/>
              </w:rPr>
              <w:t>%</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1B2960DD" w14:textId="6806A555"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0F7B31EF" w14:textId="656006A5" w:rsidR="00615E2D" w:rsidRDefault="00C83E46">
            <w:pPr>
              <w:pStyle w:val="P68B1DB1-Normal28"/>
              <w:spacing w:line="240" w:lineRule="auto"/>
              <w:jc w:val="center"/>
              <w:rPr>
                <w:noProof/>
                <w:highlight w:val="yellow"/>
              </w:rPr>
            </w:pPr>
            <w:r>
              <w:rPr>
                <w:noProof/>
              </w:rPr>
              <w:t>90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14516A5B" w14:textId="516DDE51"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029B037C" w14:textId="741D03B1"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524DDB94" w14:textId="4109EB89" w:rsidR="00615E2D" w:rsidRDefault="00C83E46">
            <w:pPr>
              <w:pStyle w:val="P68B1DB1-Normal28"/>
              <w:spacing w:line="240" w:lineRule="auto"/>
              <w:rPr>
                <w:noProof/>
              </w:rPr>
            </w:pPr>
            <w:r>
              <w:rPr>
                <w:noProof/>
              </w:rPr>
              <w:t>Najmanje 90 % proračuna dodijeljenog za projekte u okviru cilja 294 mora biti isplaćeno.</w:t>
            </w:r>
          </w:p>
        </w:tc>
      </w:tr>
      <w:tr w:rsidR="00615E2D" w14:paraId="6647E826"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2CAA34B2" w14:textId="43869105" w:rsidR="00615E2D" w:rsidRDefault="00C83E46">
            <w:pPr>
              <w:pStyle w:val="P68B1DB1-Normal28"/>
              <w:spacing w:line="240" w:lineRule="auto"/>
              <w:jc w:val="center"/>
              <w:rPr>
                <w:noProof/>
                <w:highlight w:val="yellow"/>
              </w:rPr>
            </w:pPr>
            <w:r>
              <w:rPr>
                <w:noProof/>
              </w:rPr>
              <w:t>296</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0DF339C5" w14:textId="3000EEDE" w:rsidR="00615E2D" w:rsidRDefault="00C83E46">
            <w:pPr>
              <w:pStyle w:val="P68B1DB1-Normal28"/>
              <w:spacing w:line="240" w:lineRule="auto"/>
              <w:rPr>
                <w:noProof/>
              </w:rPr>
            </w:pPr>
            <w:r>
              <w:rPr>
                <w:noProof/>
              </w:rPr>
              <w:t>Ulaganje 7: Potpore za istraživanje i razvoj u području zaštite okoliša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5A9BE64" w14:textId="0FAC4A08"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3FAB1897" w14:textId="37B726BA" w:rsidR="00615E2D" w:rsidRDefault="00C83E46">
            <w:pPr>
              <w:pStyle w:val="P68B1DB1-Normal28"/>
              <w:spacing w:line="240" w:lineRule="auto"/>
              <w:rPr>
                <w:noProof/>
              </w:rPr>
            </w:pPr>
            <w:r>
              <w:rPr>
                <w:noProof/>
              </w:rPr>
              <w:t>Istraživanje i razvoj u području okoliša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54ED64A5" w14:textId="52010FB3"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67B5E260" w14:textId="3015E3F9" w:rsidR="00615E2D" w:rsidRDefault="00C83E46">
            <w:pPr>
              <w:pStyle w:val="P68B1DB1-Normal28"/>
              <w:spacing w:line="240" w:lineRule="auto"/>
              <w:rPr>
                <w:noProof/>
              </w:rPr>
            </w:pPr>
            <w:r>
              <w:rPr>
                <w:noProof/>
              </w:rPr>
              <w:t>Broj projekata za koje je potpisan sporazum o dodjeli bespovratnih sredstava</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6612DCCA" w14:textId="03184C62"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5A530FE3" w14:textId="650691CD" w:rsidR="00615E2D" w:rsidRDefault="00C83E46">
            <w:pPr>
              <w:pStyle w:val="P68B1DB1-Normal28"/>
              <w:spacing w:line="240" w:lineRule="auto"/>
              <w:jc w:val="center"/>
              <w:rPr>
                <w:noProof/>
                <w:highlight w:val="yellow"/>
              </w:rPr>
            </w:pPr>
            <w:r>
              <w:rPr>
                <w:noProof/>
              </w:rPr>
              <w:t>35</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13CC8B32" w14:textId="2BCEAE75"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284AB98F" w14:textId="0F77FD2A" w:rsidR="00615E2D" w:rsidRDefault="00C83E46">
            <w:pPr>
              <w:pStyle w:val="P68B1DB1-Normal28"/>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67079A68" w14:textId="25BB8748" w:rsidR="00615E2D" w:rsidRDefault="00C83E46">
            <w:pPr>
              <w:pStyle w:val="P68B1DB1-Normal28"/>
              <w:spacing w:line="259" w:lineRule="auto"/>
              <w:rPr>
                <w:noProof/>
              </w:rPr>
            </w:pPr>
            <w:r>
              <w:rPr>
                <w:noProof/>
              </w:rPr>
              <w:t>Sporazumi o dodjeli bespovratnih sredstava potpisuju se za potporu najmanje 35 projekata istraživanja, razvoja i inovacija u području okoliša. Projekti odabrani za potporu također su u skladu s jednim područjem specijalizacije istraživanja, razvoja i inovacija u okviru nacionalne strategije RIS3.</w:t>
            </w:r>
          </w:p>
          <w:p w14:paraId="2F69AAB3" w14:textId="3B2C2023" w:rsidR="00615E2D" w:rsidRDefault="00C83E46">
            <w:pPr>
              <w:pStyle w:val="P68B1DB1-Normal28"/>
              <w:spacing w:line="259" w:lineRule="auto"/>
              <w:rPr>
                <w:noProof/>
              </w:rPr>
            </w:pPr>
            <w:r>
              <w:rPr>
                <w:noProof/>
              </w:rPr>
              <w:t>Ukupni proračun dodijeljen sporazumima o dodjeli bespovratnih sredstava za sve projekte i cjelokupno razdoblje provedbe iznosi najmanje 17,9 milijuna EUR.</w:t>
            </w:r>
          </w:p>
          <w:p w14:paraId="4AC0EE38" w14:textId="11963A50" w:rsidR="00615E2D" w:rsidRDefault="00615E2D">
            <w:pPr>
              <w:spacing w:line="240" w:lineRule="auto"/>
              <w:rPr>
                <w:noProof/>
                <w:color w:val="006100"/>
                <w:sz w:val="18"/>
              </w:rPr>
            </w:pPr>
          </w:p>
        </w:tc>
      </w:tr>
      <w:tr w:rsidR="00615E2D" w14:paraId="752F8DBB" w14:textId="77777777">
        <w:trPr>
          <w:trHeight w:val="945"/>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AEEB109" w14:textId="293DAE2C" w:rsidR="00615E2D" w:rsidRDefault="00C83E46">
            <w:pPr>
              <w:pStyle w:val="P68B1DB1-Normal28"/>
              <w:spacing w:line="240" w:lineRule="auto"/>
              <w:jc w:val="center"/>
              <w:rPr>
                <w:noProof/>
                <w:highlight w:val="yellow"/>
              </w:rPr>
            </w:pPr>
            <w:r>
              <w:rPr>
                <w:noProof/>
              </w:rPr>
              <w:t>297</w:t>
            </w:r>
          </w:p>
        </w:tc>
        <w:tc>
          <w:tcPr>
            <w:tcW w:w="1276" w:type="dxa"/>
            <w:tcBorders>
              <w:top w:val="single" w:sz="8" w:space="0" w:color="auto"/>
              <w:left w:val="single" w:sz="8" w:space="0" w:color="auto"/>
              <w:bottom w:val="single" w:sz="8" w:space="0" w:color="auto"/>
              <w:right w:val="single" w:sz="8" w:space="0" w:color="auto"/>
            </w:tcBorders>
            <w:shd w:val="clear" w:color="auto" w:fill="C6EFCE"/>
            <w:vAlign w:val="center"/>
          </w:tcPr>
          <w:p w14:paraId="17138B80" w14:textId="1E959B11" w:rsidR="00615E2D" w:rsidRDefault="00C83E46">
            <w:pPr>
              <w:pStyle w:val="P68B1DB1-Normal28"/>
              <w:spacing w:line="240" w:lineRule="auto"/>
              <w:rPr>
                <w:noProof/>
              </w:rPr>
            </w:pPr>
            <w:r>
              <w:rPr>
                <w:noProof/>
              </w:rPr>
              <w:t>Ulaganje 7: Potpore za istraživanje i razvoj u području zaštite okoliša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07C86BA" w14:textId="2A022E04" w:rsidR="00615E2D" w:rsidRDefault="00C83E46">
            <w:pPr>
              <w:pStyle w:val="P68B1DB1-Normal28"/>
              <w:spacing w:line="240" w:lineRule="auto"/>
              <w:rPr>
                <w:noProof/>
              </w:rPr>
            </w:pPr>
            <w:r>
              <w:rPr>
                <w:noProof/>
              </w:rPr>
              <w:t>Ciljna</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783D422E" w14:textId="37B726BA" w:rsidR="00615E2D" w:rsidRDefault="00C83E46">
            <w:pPr>
              <w:pStyle w:val="P68B1DB1-Normal28"/>
              <w:spacing w:line="240" w:lineRule="auto"/>
              <w:rPr>
                <w:noProof/>
              </w:rPr>
            </w:pPr>
            <w:r>
              <w:rPr>
                <w:noProof/>
              </w:rPr>
              <w:t>Istraživanje i razvoj u području okoliša</w:t>
            </w:r>
          </w:p>
          <w:p w14:paraId="1527BCBA" w14:textId="42BCDE6C" w:rsidR="00615E2D" w:rsidRDefault="00615E2D">
            <w:pPr>
              <w:spacing w:line="240" w:lineRule="auto"/>
              <w:rPr>
                <w:noProof/>
                <w:color w:val="006100"/>
                <w:sz w:val="18"/>
              </w:rPr>
            </w:pP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4CFA813E" w14:textId="36C1D00C" w:rsidR="00615E2D" w:rsidRDefault="00615E2D">
            <w:pPr>
              <w:spacing w:line="240" w:lineRule="auto"/>
              <w:rPr>
                <w:noProof/>
                <w:color w:val="006100"/>
                <w:sz w:val="18"/>
              </w:rPr>
            </w:pPr>
          </w:p>
        </w:tc>
        <w:tc>
          <w:tcPr>
            <w:tcW w:w="1417" w:type="dxa"/>
            <w:tcBorders>
              <w:top w:val="single" w:sz="8" w:space="0" w:color="auto"/>
              <w:left w:val="single" w:sz="8" w:space="0" w:color="auto"/>
              <w:bottom w:val="single" w:sz="8" w:space="0" w:color="auto"/>
              <w:right w:val="single" w:sz="8" w:space="0" w:color="auto"/>
            </w:tcBorders>
            <w:shd w:val="clear" w:color="auto" w:fill="C6EFCE"/>
            <w:vAlign w:val="center"/>
          </w:tcPr>
          <w:p w14:paraId="29AC1B1E" w14:textId="00553110" w:rsidR="00615E2D" w:rsidRDefault="00C83E46">
            <w:pPr>
              <w:pStyle w:val="P68B1DB1-Normal28"/>
              <w:spacing w:line="240" w:lineRule="auto"/>
              <w:rPr>
                <w:noProof/>
              </w:rPr>
            </w:pPr>
            <w:r>
              <w:rPr>
                <w:noProof/>
              </w:rPr>
              <w:t>%</w:t>
            </w:r>
          </w:p>
        </w:tc>
        <w:tc>
          <w:tcPr>
            <w:tcW w:w="1134" w:type="dxa"/>
            <w:tcBorders>
              <w:top w:val="single" w:sz="8" w:space="0" w:color="auto"/>
              <w:left w:val="single" w:sz="8" w:space="0" w:color="auto"/>
              <w:bottom w:val="single" w:sz="8" w:space="0" w:color="auto"/>
              <w:right w:val="single" w:sz="8" w:space="0" w:color="auto"/>
            </w:tcBorders>
            <w:shd w:val="clear" w:color="auto" w:fill="C6EFCE"/>
            <w:vAlign w:val="center"/>
          </w:tcPr>
          <w:p w14:paraId="0F1E999D" w14:textId="077652A9" w:rsidR="00615E2D" w:rsidRDefault="00C83E46">
            <w:pPr>
              <w:pStyle w:val="P68B1DB1-Normal28"/>
              <w:spacing w:line="240" w:lineRule="auto"/>
              <w:jc w:val="center"/>
              <w:rPr>
                <w:noProof/>
              </w:rPr>
            </w:pPr>
            <w:r>
              <w:rPr>
                <w:noProof/>
              </w:rPr>
              <w:t>0</w:t>
            </w:r>
          </w:p>
        </w:tc>
        <w:tc>
          <w:tcPr>
            <w:tcW w:w="709" w:type="dxa"/>
            <w:tcBorders>
              <w:top w:val="single" w:sz="8" w:space="0" w:color="auto"/>
              <w:left w:val="single" w:sz="8" w:space="0" w:color="auto"/>
              <w:bottom w:val="single" w:sz="8" w:space="0" w:color="auto"/>
              <w:right w:val="single" w:sz="8" w:space="0" w:color="auto"/>
            </w:tcBorders>
            <w:shd w:val="clear" w:color="auto" w:fill="C6EFCE"/>
            <w:vAlign w:val="center"/>
          </w:tcPr>
          <w:p w14:paraId="25DA2640" w14:textId="38EBFBB5" w:rsidR="00615E2D" w:rsidRDefault="00C83E46">
            <w:pPr>
              <w:pStyle w:val="P68B1DB1-Normal28"/>
              <w:spacing w:line="240" w:lineRule="auto"/>
              <w:jc w:val="center"/>
              <w:rPr>
                <w:noProof/>
              </w:rPr>
            </w:pPr>
            <w:r>
              <w:rPr>
                <w:noProof/>
              </w:rPr>
              <w:t>90</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13AF7910" w14:textId="7FEFAF56" w:rsidR="00615E2D" w:rsidRDefault="00C83E46">
            <w:pPr>
              <w:pStyle w:val="P68B1DB1-Normal28"/>
              <w:spacing w:line="240" w:lineRule="auto"/>
              <w:jc w:val="center"/>
              <w:rPr>
                <w:noProof/>
              </w:rPr>
            </w:pPr>
            <w:r>
              <w:rPr>
                <w:noProof/>
              </w:rPr>
              <w:t>TROMJESEČJE</w:t>
            </w:r>
          </w:p>
        </w:tc>
        <w:tc>
          <w:tcPr>
            <w:tcW w:w="639" w:type="dxa"/>
            <w:tcBorders>
              <w:top w:val="single" w:sz="8" w:space="0" w:color="auto"/>
              <w:left w:val="single" w:sz="8" w:space="0" w:color="auto"/>
              <w:bottom w:val="single" w:sz="8" w:space="0" w:color="auto"/>
              <w:right w:val="single" w:sz="8" w:space="0" w:color="auto"/>
            </w:tcBorders>
            <w:shd w:val="clear" w:color="auto" w:fill="C6EFCE"/>
            <w:vAlign w:val="center"/>
          </w:tcPr>
          <w:p w14:paraId="55514DBD" w14:textId="0DB6C768" w:rsidR="00615E2D" w:rsidRDefault="00C83E46">
            <w:pPr>
              <w:pStyle w:val="P68B1DB1-Normal28"/>
              <w:spacing w:line="240" w:lineRule="auto"/>
              <w:jc w:val="center"/>
              <w:rPr>
                <w:noProof/>
              </w:rPr>
            </w:pPr>
            <w:r>
              <w:rPr>
                <w:noProof/>
              </w:rPr>
              <w:t>2026</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484CD560" w14:textId="26D9ABBE" w:rsidR="00615E2D" w:rsidRDefault="00C83E46">
            <w:pPr>
              <w:pStyle w:val="P68B1DB1-Normal28"/>
              <w:spacing w:line="240" w:lineRule="auto"/>
              <w:rPr>
                <w:noProof/>
              </w:rPr>
            </w:pPr>
            <w:r>
              <w:rPr>
                <w:noProof/>
              </w:rPr>
              <w:t>Najmanje 90 % proračuna dodijeljenog za projekte u okviru ciljne vrijednosti [296] mora biti isplaćeno.</w:t>
            </w:r>
          </w:p>
          <w:p w14:paraId="1273F249" w14:textId="31EA74C1" w:rsidR="00615E2D" w:rsidRDefault="00615E2D">
            <w:pPr>
              <w:spacing w:line="240" w:lineRule="auto"/>
              <w:rPr>
                <w:noProof/>
                <w:color w:val="006100"/>
                <w:sz w:val="18"/>
              </w:rPr>
            </w:pPr>
          </w:p>
        </w:tc>
      </w:tr>
    </w:tbl>
    <w:p w14:paraId="2EAC4525" w14:textId="77777777" w:rsidR="00615E2D" w:rsidRDefault="00615E2D">
      <w:pPr>
        <w:spacing w:line="240" w:lineRule="auto"/>
        <w:rPr>
          <w:b/>
          <w:smallCaps/>
          <w:noProof/>
        </w:rPr>
        <w:sectPr w:rsidR="00615E2D" w:rsidSect="00997F50">
          <w:headerReference w:type="even" r:id="rId396"/>
          <w:headerReference w:type="default" r:id="rId397"/>
          <w:footerReference w:type="even" r:id="rId398"/>
          <w:footerReference w:type="default" r:id="rId399"/>
          <w:headerReference w:type="first" r:id="rId400"/>
          <w:footerReference w:type="first" r:id="rId401"/>
          <w:pgSz w:w="16839" w:h="11907" w:orient="landscape"/>
          <w:pgMar w:top="1134" w:right="1134" w:bottom="1134" w:left="1134" w:header="567" w:footer="567" w:gutter="0"/>
          <w:cols w:space="708"/>
          <w:docGrid w:linePitch="326"/>
        </w:sectPr>
      </w:pPr>
    </w:p>
    <w:p w14:paraId="01A21B35" w14:textId="2FF313B4" w:rsidR="00615E2D" w:rsidRDefault="00C83E46">
      <w:pPr>
        <w:pStyle w:val="P68B1DB1-Normal36"/>
        <w:keepNext/>
        <w:spacing w:line="240" w:lineRule="auto"/>
        <w:jc w:val="both"/>
        <w:outlineLvl w:val="0"/>
        <w:rPr>
          <w:noProof/>
        </w:rPr>
      </w:pPr>
      <w:r>
        <w:rPr>
          <w:noProof/>
        </w:rPr>
        <w:t>B. SASTAVNI DIO 5.3.: Strateški upravljani i međunarodno konkurentni ekosustav istraživanja, razvoja i inovacija</w:t>
      </w:r>
    </w:p>
    <w:p w14:paraId="498640C1" w14:textId="4E94894F" w:rsidR="00615E2D" w:rsidRDefault="00C83E46">
      <w:pPr>
        <w:pStyle w:val="P68B1DB1-Normal3"/>
        <w:spacing w:line="240" w:lineRule="auto"/>
        <w:jc w:val="both"/>
        <w:rPr>
          <w:noProof/>
        </w:rPr>
      </w:pPr>
      <w:r>
        <w:rPr>
          <w:noProof/>
        </w:rPr>
        <w:t>Cilj je te komponente češkog plana za oporavak i otpornost povećati konkurentnost te socioekonomske koristi i učinke istraživanja, razvoja i inovacija promicanjem izvrsnosti, jačanjem međunarodne suradnje i strateškog razvoja ljudskog kapitala. To se postiže poboljšanjem postupka razvoja, provedbe, praćenja i evaluacije politike istraživanja, razvoja i inovacija, usklađivanjem metodološkog okruženja za javnu potporu istraživanju, razvoju i inovacijama te podupiranjem međunarodno konkurentnih timova koji osiguravaju izvrsnost u istraživanju, razvoju i inovacijama.</w:t>
      </w:r>
    </w:p>
    <w:p w14:paraId="39D2B3CD" w14:textId="0B651A61" w:rsidR="00615E2D" w:rsidRDefault="00C83E46">
      <w:pPr>
        <w:pStyle w:val="P68B1DB1-Normal3"/>
        <w:spacing w:line="240" w:lineRule="auto"/>
        <w:jc w:val="both"/>
        <w:rPr>
          <w:noProof/>
        </w:rPr>
      </w:pPr>
      <w:r>
        <w:rPr>
          <w:noProof/>
        </w:rPr>
        <w:t>Komponentom se podupire odgovor na preporuku za pojedinu zemlju 3. 2019., u skladu s kojom će Češka ukloniti prepreke koje ometaju razvoj potpuno funkcionalnog inovacijskog ekosustava.</w:t>
      </w:r>
    </w:p>
    <w:p w14:paraId="3A0DF967" w14:textId="77777777" w:rsidR="00615E2D" w:rsidRDefault="00615E2D">
      <w:pPr>
        <w:spacing w:line="240" w:lineRule="auto"/>
        <w:jc w:val="both"/>
        <w:rPr>
          <w:rFonts w:eastAsia="Times New Roman"/>
          <w:noProof/>
          <w:color w:val="000000" w:themeColor="text1"/>
        </w:rPr>
      </w:pPr>
    </w:p>
    <w:p w14:paraId="0B880527" w14:textId="4ECF638F" w:rsidR="00615E2D" w:rsidRDefault="00C83E46">
      <w:pPr>
        <w:pStyle w:val="P68B1DB1-Normal33"/>
        <w:spacing w:line="240" w:lineRule="auto"/>
        <w:jc w:val="both"/>
        <w:rPr>
          <w:noProof/>
        </w:rPr>
      </w:pPr>
      <w:r>
        <w:rPr>
          <w:noProof/>
        </w:rPr>
        <w:t>BB1. Opis reformi i ulaganja za programe bespovratne financijske potpore</w:t>
      </w:r>
    </w:p>
    <w:p w14:paraId="6ED92B98" w14:textId="56351E33" w:rsidR="00615E2D" w:rsidRDefault="00C83E46">
      <w:pPr>
        <w:pStyle w:val="P68B1DB1-Normal26"/>
        <w:spacing w:line="240" w:lineRule="auto"/>
        <w:jc w:val="both"/>
        <w:rPr>
          <w:noProof/>
        </w:rPr>
      </w:pPr>
      <w:r>
        <w:rPr>
          <w:noProof/>
        </w:rPr>
        <w:t>Reforma 1.: Ekosustav istraživanja, razvoja i inovacija kojim se strateški upravlja i koji je konkurentan na međunarodnoj razini</w:t>
      </w:r>
    </w:p>
    <w:p w14:paraId="58678E5C" w14:textId="130844BD" w:rsidR="00615E2D" w:rsidRDefault="00C83E46">
      <w:pPr>
        <w:pStyle w:val="P68B1DB1-Normal3"/>
        <w:spacing w:line="240" w:lineRule="auto"/>
        <w:jc w:val="both"/>
        <w:rPr>
          <w:noProof/>
        </w:rPr>
      </w:pPr>
      <w:r>
        <w:rPr>
          <w:noProof/>
        </w:rPr>
        <w:t xml:space="preserve">Reforma uključuje jačanje strateških obavještajnih kapaciteta za politiku istraživanja, razvoja i inovacija u Češkoj, uspostavu programa izvrsnosti i usklađivanje postupovnih pravila za dodjelu javne potpore istraživanju, razvoju i inovacijama. </w:t>
      </w:r>
    </w:p>
    <w:p w14:paraId="17B72C1A" w14:textId="6DFAF408" w:rsidR="00615E2D" w:rsidRDefault="00C83E46">
      <w:pPr>
        <w:pStyle w:val="P68B1DB1-Normal3"/>
        <w:spacing w:line="240" w:lineRule="auto"/>
        <w:jc w:val="both"/>
        <w:rPr>
          <w:noProof/>
        </w:rPr>
        <w:sectPr w:rsidR="00615E2D" w:rsidSect="00997F50">
          <w:headerReference w:type="even" r:id="rId402"/>
          <w:headerReference w:type="default" r:id="rId403"/>
          <w:footerReference w:type="even" r:id="rId404"/>
          <w:footerReference w:type="default" r:id="rId405"/>
          <w:headerReference w:type="first" r:id="rId406"/>
          <w:footerReference w:type="first" r:id="rId407"/>
          <w:pgSz w:w="11907" w:h="16839"/>
          <w:pgMar w:top="1134" w:right="1134" w:bottom="1134" w:left="1134" w:header="567" w:footer="567" w:gutter="0"/>
          <w:cols w:space="708"/>
          <w:docGrid w:linePitch="326"/>
        </w:sectPr>
      </w:pPr>
      <w:r>
        <w:rPr>
          <w:noProof/>
        </w:rPr>
        <w:t>Reforma se provodi do 30. lipnja 2025.</w:t>
      </w:r>
    </w:p>
    <w:p w14:paraId="2CDEFAA2" w14:textId="340AD3C2" w:rsidR="00615E2D" w:rsidRDefault="00C83E46">
      <w:pPr>
        <w:pStyle w:val="P68B1DB1-Normal5"/>
        <w:tabs>
          <w:tab w:val="left" w:pos="993"/>
        </w:tabs>
        <w:spacing w:line="240" w:lineRule="auto"/>
        <w:jc w:val="both"/>
        <w:rPr>
          <w:noProof/>
        </w:rPr>
      </w:pPr>
      <w:r>
        <w:rPr>
          <w:noProof/>
        </w:rPr>
        <w:t>BB.2. Ključne etape, ciljne vrijednosti i vremenski raspored za praćenje i provedbu programa bespovratne financijske potpore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7"/>
        <w:gridCol w:w="1565"/>
        <w:gridCol w:w="1095"/>
        <w:gridCol w:w="1489"/>
        <w:gridCol w:w="1731"/>
        <w:gridCol w:w="955"/>
        <w:gridCol w:w="955"/>
        <w:gridCol w:w="955"/>
        <w:gridCol w:w="961"/>
        <w:gridCol w:w="719"/>
        <w:gridCol w:w="3959"/>
      </w:tblGrid>
      <w:tr w:rsidR="00615E2D" w14:paraId="340426A6" w14:textId="77777777">
        <w:trPr>
          <w:trHeight w:val="672"/>
          <w:tblHeader/>
          <w:jc w:val="center"/>
        </w:trPr>
        <w:tc>
          <w:tcPr>
            <w:tcW w:w="637" w:type="dxa"/>
            <w:vMerge w:val="restart"/>
            <w:shd w:val="clear" w:color="auto" w:fill="BDD7EE"/>
            <w:vAlign w:val="center"/>
            <w:hideMark/>
          </w:tcPr>
          <w:p w14:paraId="13ACF413" w14:textId="77777777" w:rsidR="00615E2D" w:rsidRDefault="00C83E46">
            <w:pPr>
              <w:pStyle w:val="P68B1DB1-Normal9"/>
              <w:spacing w:before="0" w:after="0" w:line="240" w:lineRule="auto"/>
              <w:jc w:val="center"/>
              <w:rPr>
                <w:noProof/>
              </w:rPr>
            </w:pPr>
            <w:r>
              <w:rPr>
                <w:noProof/>
              </w:rPr>
              <w:t>Sljedeće NUM.</w:t>
            </w:r>
          </w:p>
        </w:tc>
        <w:tc>
          <w:tcPr>
            <w:tcW w:w="1565" w:type="dxa"/>
            <w:vMerge w:val="restart"/>
            <w:shd w:val="clear" w:color="auto" w:fill="BDD7EE"/>
            <w:vAlign w:val="center"/>
            <w:hideMark/>
          </w:tcPr>
          <w:p w14:paraId="6D1C46C7" w14:textId="77777777" w:rsidR="00615E2D" w:rsidRDefault="00C83E46">
            <w:pPr>
              <w:pStyle w:val="P68B1DB1-Normal9"/>
              <w:spacing w:before="0" w:after="0" w:line="240" w:lineRule="auto"/>
              <w:jc w:val="center"/>
              <w:rPr>
                <w:noProof/>
              </w:rPr>
            </w:pPr>
            <w:r>
              <w:rPr>
                <w:noProof/>
              </w:rPr>
              <w:t>Povezana mjera (reforma ili ulaganje)</w:t>
            </w:r>
          </w:p>
        </w:tc>
        <w:tc>
          <w:tcPr>
            <w:tcW w:w="1095" w:type="dxa"/>
            <w:vMerge w:val="restart"/>
            <w:shd w:val="clear" w:color="auto" w:fill="BDD7EE"/>
            <w:vAlign w:val="center"/>
            <w:hideMark/>
          </w:tcPr>
          <w:p w14:paraId="70D4443D" w14:textId="77777777" w:rsidR="00615E2D" w:rsidRDefault="00C83E46">
            <w:pPr>
              <w:pStyle w:val="P68B1DB1-Normal9"/>
              <w:spacing w:before="0" w:after="0" w:line="240" w:lineRule="auto"/>
              <w:jc w:val="center"/>
              <w:rPr>
                <w:noProof/>
              </w:rPr>
            </w:pPr>
            <w:r>
              <w:rPr>
                <w:noProof/>
              </w:rPr>
              <w:t>Ključna etapa/ciljna vrijednost</w:t>
            </w:r>
          </w:p>
        </w:tc>
        <w:tc>
          <w:tcPr>
            <w:tcW w:w="1489" w:type="dxa"/>
            <w:vMerge w:val="restart"/>
            <w:shd w:val="clear" w:color="auto" w:fill="BDD7EE"/>
            <w:vAlign w:val="center"/>
            <w:hideMark/>
          </w:tcPr>
          <w:p w14:paraId="1A4AD36B" w14:textId="77777777" w:rsidR="00615E2D" w:rsidRDefault="00C83E46">
            <w:pPr>
              <w:pStyle w:val="P68B1DB1-Normal9"/>
              <w:spacing w:before="0" w:after="0" w:line="240" w:lineRule="auto"/>
              <w:jc w:val="center"/>
              <w:rPr>
                <w:noProof/>
              </w:rPr>
            </w:pPr>
            <w:r>
              <w:rPr>
                <w:noProof/>
              </w:rPr>
              <w:t>Ime</w:t>
            </w:r>
          </w:p>
        </w:tc>
        <w:tc>
          <w:tcPr>
            <w:tcW w:w="1731" w:type="dxa"/>
            <w:vMerge w:val="restart"/>
            <w:shd w:val="clear" w:color="auto" w:fill="BDD7EE"/>
            <w:vAlign w:val="center"/>
            <w:hideMark/>
          </w:tcPr>
          <w:p w14:paraId="439D8211"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2865" w:type="dxa"/>
            <w:gridSpan w:val="3"/>
            <w:shd w:val="clear" w:color="auto" w:fill="BDD7EE"/>
            <w:vAlign w:val="center"/>
            <w:hideMark/>
          </w:tcPr>
          <w:p w14:paraId="0C93A9FC"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680" w:type="dxa"/>
            <w:gridSpan w:val="2"/>
            <w:shd w:val="clear" w:color="auto" w:fill="BDD7EE"/>
            <w:vAlign w:val="center"/>
            <w:hideMark/>
          </w:tcPr>
          <w:p w14:paraId="17ECD9ED"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3959" w:type="dxa"/>
            <w:vMerge w:val="restart"/>
            <w:shd w:val="clear" w:color="auto" w:fill="BDD7EE"/>
            <w:vAlign w:val="center"/>
            <w:hideMark/>
          </w:tcPr>
          <w:p w14:paraId="74712778"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7289764F" w14:textId="77777777">
        <w:trPr>
          <w:trHeight w:val="458"/>
          <w:tblHeader/>
          <w:jc w:val="center"/>
        </w:trPr>
        <w:tc>
          <w:tcPr>
            <w:tcW w:w="637" w:type="dxa"/>
            <w:vMerge/>
            <w:vAlign w:val="center"/>
            <w:hideMark/>
          </w:tcPr>
          <w:p w14:paraId="1E4B721E" w14:textId="77777777" w:rsidR="00615E2D" w:rsidRDefault="00615E2D">
            <w:pPr>
              <w:spacing w:before="0" w:after="0" w:line="240" w:lineRule="auto"/>
              <w:rPr>
                <w:rFonts w:eastAsia="Times New Roman"/>
                <w:b/>
                <w:noProof/>
                <w:sz w:val="18"/>
              </w:rPr>
            </w:pPr>
          </w:p>
        </w:tc>
        <w:tc>
          <w:tcPr>
            <w:tcW w:w="1565" w:type="dxa"/>
            <w:vMerge/>
            <w:vAlign w:val="center"/>
            <w:hideMark/>
          </w:tcPr>
          <w:p w14:paraId="4F65AB22" w14:textId="77777777" w:rsidR="00615E2D" w:rsidRDefault="00615E2D">
            <w:pPr>
              <w:spacing w:before="0" w:after="0" w:line="240" w:lineRule="auto"/>
              <w:rPr>
                <w:rFonts w:eastAsia="Times New Roman"/>
                <w:b/>
                <w:noProof/>
                <w:sz w:val="18"/>
              </w:rPr>
            </w:pPr>
          </w:p>
        </w:tc>
        <w:tc>
          <w:tcPr>
            <w:tcW w:w="1095" w:type="dxa"/>
            <w:vMerge/>
            <w:vAlign w:val="center"/>
            <w:hideMark/>
          </w:tcPr>
          <w:p w14:paraId="0A632713" w14:textId="77777777" w:rsidR="00615E2D" w:rsidRDefault="00615E2D">
            <w:pPr>
              <w:spacing w:before="0" w:after="0" w:line="240" w:lineRule="auto"/>
              <w:rPr>
                <w:rFonts w:eastAsia="Times New Roman"/>
                <w:b/>
                <w:noProof/>
                <w:sz w:val="18"/>
              </w:rPr>
            </w:pPr>
          </w:p>
        </w:tc>
        <w:tc>
          <w:tcPr>
            <w:tcW w:w="1489" w:type="dxa"/>
            <w:vMerge/>
            <w:vAlign w:val="center"/>
            <w:hideMark/>
          </w:tcPr>
          <w:p w14:paraId="18DEB0B6" w14:textId="77777777" w:rsidR="00615E2D" w:rsidRDefault="00615E2D">
            <w:pPr>
              <w:spacing w:before="0" w:after="0" w:line="240" w:lineRule="auto"/>
              <w:rPr>
                <w:rFonts w:eastAsia="Times New Roman"/>
                <w:b/>
                <w:noProof/>
                <w:sz w:val="18"/>
              </w:rPr>
            </w:pPr>
          </w:p>
        </w:tc>
        <w:tc>
          <w:tcPr>
            <w:tcW w:w="1731" w:type="dxa"/>
            <w:vMerge/>
            <w:vAlign w:val="center"/>
            <w:hideMark/>
          </w:tcPr>
          <w:p w14:paraId="322E016C" w14:textId="77777777" w:rsidR="00615E2D" w:rsidRDefault="00615E2D">
            <w:pPr>
              <w:spacing w:before="0" w:after="0" w:line="240" w:lineRule="auto"/>
              <w:rPr>
                <w:rFonts w:eastAsia="Times New Roman"/>
                <w:b/>
                <w:noProof/>
                <w:sz w:val="18"/>
              </w:rPr>
            </w:pPr>
          </w:p>
        </w:tc>
        <w:tc>
          <w:tcPr>
            <w:tcW w:w="955" w:type="dxa"/>
            <w:shd w:val="clear" w:color="auto" w:fill="BDD7EE"/>
            <w:vAlign w:val="center"/>
            <w:hideMark/>
          </w:tcPr>
          <w:p w14:paraId="29F954C4" w14:textId="77777777" w:rsidR="00615E2D" w:rsidRDefault="00C83E46">
            <w:pPr>
              <w:pStyle w:val="P68B1DB1-Normal9"/>
              <w:spacing w:before="0" w:after="0" w:line="240" w:lineRule="auto"/>
              <w:jc w:val="center"/>
              <w:rPr>
                <w:noProof/>
              </w:rPr>
            </w:pPr>
            <w:r>
              <w:rPr>
                <w:noProof/>
              </w:rPr>
              <w:t>Jedinica mjere</w:t>
            </w:r>
          </w:p>
        </w:tc>
        <w:tc>
          <w:tcPr>
            <w:tcW w:w="955" w:type="dxa"/>
            <w:shd w:val="clear" w:color="auto" w:fill="BDD7EE"/>
            <w:vAlign w:val="center"/>
            <w:hideMark/>
          </w:tcPr>
          <w:p w14:paraId="5D35B672" w14:textId="77777777" w:rsidR="00615E2D" w:rsidRDefault="00C83E46">
            <w:pPr>
              <w:pStyle w:val="P68B1DB1-Normal9"/>
              <w:spacing w:before="0" w:after="0" w:line="240" w:lineRule="auto"/>
              <w:jc w:val="center"/>
              <w:rPr>
                <w:noProof/>
              </w:rPr>
            </w:pPr>
            <w:r>
              <w:rPr>
                <w:noProof/>
              </w:rPr>
              <w:t xml:space="preserve">Osnovna vrijednost </w:t>
            </w:r>
          </w:p>
        </w:tc>
        <w:tc>
          <w:tcPr>
            <w:tcW w:w="955" w:type="dxa"/>
            <w:shd w:val="clear" w:color="auto" w:fill="BDD7EE"/>
            <w:vAlign w:val="center"/>
            <w:hideMark/>
          </w:tcPr>
          <w:p w14:paraId="70A52C0C" w14:textId="77777777" w:rsidR="00615E2D" w:rsidRDefault="00C83E46">
            <w:pPr>
              <w:pStyle w:val="P68B1DB1-Normal9"/>
              <w:spacing w:before="0" w:after="0" w:line="240" w:lineRule="auto"/>
              <w:jc w:val="center"/>
              <w:rPr>
                <w:noProof/>
              </w:rPr>
            </w:pPr>
            <w:r>
              <w:rPr>
                <w:noProof/>
              </w:rPr>
              <w:t xml:space="preserve">Cilj </w:t>
            </w:r>
          </w:p>
        </w:tc>
        <w:tc>
          <w:tcPr>
            <w:tcW w:w="961" w:type="dxa"/>
            <w:shd w:val="clear" w:color="auto" w:fill="BDD7EE"/>
            <w:vAlign w:val="center"/>
            <w:hideMark/>
          </w:tcPr>
          <w:p w14:paraId="0B97B323" w14:textId="77777777" w:rsidR="00615E2D" w:rsidRDefault="00C83E46">
            <w:pPr>
              <w:pStyle w:val="P68B1DB1-Normal9"/>
              <w:spacing w:before="0" w:after="0" w:line="240" w:lineRule="auto"/>
              <w:jc w:val="center"/>
              <w:rPr>
                <w:noProof/>
              </w:rPr>
            </w:pPr>
            <w:r>
              <w:rPr>
                <w:noProof/>
              </w:rPr>
              <w:t>Tromjesečje</w:t>
            </w:r>
          </w:p>
        </w:tc>
        <w:tc>
          <w:tcPr>
            <w:tcW w:w="719" w:type="dxa"/>
            <w:shd w:val="clear" w:color="auto" w:fill="BDD7EE"/>
            <w:vAlign w:val="center"/>
            <w:hideMark/>
          </w:tcPr>
          <w:p w14:paraId="55BFF30C" w14:textId="77777777" w:rsidR="00615E2D" w:rsidRDefault="00C83E46">
            <w:pPr>
              <w:pStyle w:val="P68B1DB1-Normal9"/>
              <w:spacing w:before="0" w:after="0" w:line="240" w:lineRule="auto"/>
              <w:jc w:val="center"/>
              <w:rPr>
                <w:noProof/>
              </w:rPr>
            </w:pPr>
            <w:r>
              <w:rPr>
                <w:noProof/>
              </w:rPr>
              <w:t>Godina</w:t>
            </w:r>
          </w:p>
        </w:tc>
        <w:tc>
          <w:tcPr>
            <w:tcW w:w="3959" w:type="dxa"/>
            <w:vMerge/>
            <w:vAlign w:val="center"/>
            <w:hideMark/>
          </w:tcPr>
          <w:p w14:paraId="3FDBE914" w14:textId="77777777" w:rsidR="00615E2D" w:rsidRDefault="00615E2D">
            <w:pPr>
              <w:spacing w:before="0" w:after="0" w:line="240" w:lineRule="auto"/>
              <w:rPr>
                <w:rFonts w:eastAsia="Times New Roman"/>
                <w:b/>
                <w:noProof/>
                <w:sz w:val="18"/>
              </w:rPr>
            </w:pPr>
          </w:p>
        </w:tc>
      </w:tr>
      <w:tr w:rsidR="00615E2D" w14:paraId="771549EE" w14:textId="77777777">
        <w:trPr>
          <w:trHeight w:val="309"/>
          <w:jc w:val="center"/>
        </w:trPr>
        <w:tc>
          <w:tcPr>
            <w:tcW w:w="637" w:type="dxa"/>
            <w:shd w:val="clear" w:color="auto" w:fill="C6EFCE"/>
            <w:vAlign w:val="center"/>
            <w:hideMark/>
          </w:tcPr>
          <w:p w14:paraId="1E8CB0EF" w14:textId="2032DBCE" w:rsidR="00615E2D" w:rsidRDefault="00C83E46">
            <w:pPr>
              <w:pStyle w:val="P68B1DB1-Normal11"/>
              <w:spacing w:before="0" w:after="0" w:line="240" w:lineRule="auto"/>
              <w:jc w:val="center"/>
              <w:rPr>
                <w:noProof/>
              </w:rPr>
            </w:pPr>
            <w:r>
              <w:rPr>
                <w:noProof/>
              </w:rPr>
              <w:t>298</w:t>
            </w:r>
          </w:p>
        </w:tc>
        <w:tc>
          <w:tcPr>
            <w:tcW w:w="1565" w:type="dxa"/>
            <w:shd w:val="clear" w:color="auto" w:fill="C6EFCE"/>
            <w:vAlign w:val="center"/>
            <w:hideMark/>
          </w:tcPr>
          <w:p w14:paraId="42B6D3BF" w14:textId="77777777" w:rsidR="00615E2D" w:rsidRDefault="00C83E46">
            <w:pPr>
              <w:pStyle w:val="P68B1DB1-Normal11"/>
              <w:spacing w:before="0" w:after="0" w:line="240" w:lineRule="auto"/>
              <w:rPr>
                <w:noProof/>
              </w:rPr>
            </w:pPr>
            <w:r>
              <w:rPr>
                <w:noProof/>
              </w:rPr>
              <w:t xml:space="preserve">Reforma 1.: </w:t>
            </w:r>
          </w:p>
          <w:p w14:paraId="166C7A99" w14:textId="5461B057" w:rsidR="00615E2D" w:rsidRDefault="00C83E46">
            <w:pPr>
              <w:pStyle w:val="P68B1DB1-Normal11"/>
              <w:spacing w:before="0" w:after="0" w:line="240" w:lineRule="auto"/>
              <w:rPr>
                <w:noProof/>
                <w:color w:val="004300"/>
              </w:rPr>
            </w:pPr>
            <w:r>
              <w:rPr>
                <w:noProof/>
              </w:rPr>
              <w:t>Ekosustav istraživanja, razvoja i inovacija kojim se strateški upravlja i koji je konkurentan na međunarodnoj razini</w:t>
            </w:r>
          </w:p>
        </w:tc>
        <w:tc>
          <w:tcPr>
            <w:tcW w:w="1095" w:type="dxa"/>
            <w:shd w:val="clear" w:color="auto" w:fill="C6EFCE"/>
            <w:vAlign w:val="center"/>
            <w:hideMark/>
          </w:tcPr>
          <w:p w14:paraId="5AA7F4C8" w14:textId="3D4A52CF" w:rsidR="00615E2D" w:rsidRDefault="00C83E46">
            <w:pPr>
              <w:pStyle w:val="P68B1DB1-Normal11"/>
              <w:spacing w:before="0" w:after="0" w:line="240" w:lineRule="auto"/>
              <w:rPr>
                <w:noProof/>
                <w:color w:val="004300"/>
              </w:rPr>
            </w:pPr>
            <w:r>
              <w:rPr>
                <w:noProof/>
              </w:rPr>
              <w:t xml:space="preserve">Prekretnica </w:t>
            </w:r>
          </w:p>
        </w:tc>
        <w:tc>
          <w:tcPr>
            <w:tcW w:w="1489" w:type="dxa"/>
            <w:shd w:val="clear" w:color="auto" w:fill="C6EFCE"/>
            <w:vAlign w:val="center"/>
            <w:hideMark/>
          </w:tcPr>
          <w:p w14:paraId="78667525" w14:textId="259E5D1B" w:rsidR="00615E2D" w:rsidRDefault="00C83E46">
            <w:pPr>
              <w:pStyle w:val="P68B1DB1-Normal11"/>
              <w:spacing w:before="0" w:after="0" w:line="240" w:lineRule="auto"/>
              <w:rPr>
                <w:noProof/>
              </w:rPr>
            </w:pPr>
            <w:r>
              <w:rPr>
                <w:noProof/>
              </w:rPr>
              <w:t>Jačanje strateških obavještajnih kapaciteta, stvaranje programa izvrsnosti i donošenje metodoloških smjernica za pružatelje potpore</w:t>
            </w:r>
          </w:p>
        </w:tc>
        <w:tc>
          <w:tcPr>
            <w:tcW w:w="1731" w:type="dxa"/>
            <w:shd w:val="clear" w:color="auto" w:fill="C6EFCE"/>
            <w:vAlign w:val="center"/>
            <w:hideMark/>
          </w:tcPr>
          <w:p w14:paraId="0DA8FA24" w14:textId="44C35BF7" w:rsidR="00615E2D" w:rsidRDefault="00C83E46">
            <w:pPr>
              <w:pStyle w:val="P68B1DB1-Normal11"/>
              <w:spacing w:before="0" w:after="0" w:line="240" w:lineRule="auto"/>
              <w:rPr>
                <w:noProof/>
                <w:color w:val="004300"/>
              </w:rPr>
            </w:pPr>
            <w:r>
              <w:rPr>
                <w:noProof/>
              </w:rPr>
              <w:t>Donošenje vladinih rezolucija i metodoloških smjernica</w:t>
            </w:r>
          </w:p>
        </w:tc>
        <w:tc>
          <w:tcPr>
            <w:tcW w:w="955" w:type="dxa"/>
            <w:shd w:val="clear" w:color="auto" w:fill="C6EFCE"/>
            <w:vAlign w:val="center"/>
          </w:tcPr>
          <w:p w14:paraId="2690E78F" w14:textId="15ABF32B" w:rsidR="00615E2D" w:rsidRDefault="00C83E46">
            <w:pPr>
              <w:pStyle w:val="P68B1DB1-Normal11"/>
              <w:spacing w:before="0" w:after="0" w:line="240" w:lineRule="auto"/>
              <w:rPr>
                <w:noProof/>
                <w:color w:val="004300"/>
              </w:rPr>
            </w:pPr>
            <w:r>
              <w:rPr>
                <w:noProof/>
              </w:rPr>
              <w:t xml:space="preserve"> </w:t>
            </w:r>
          </w:p>
        </w:tc>
        <w:tc>
          <w:tcPr>
            <w:tcW w:w="955" w:type="dxa"/>
            <w:shd w:val="clear" w:color="auto" w:fill="C6EFCE"/>
            <w:vAlign w:val="center"/>
          </w:tcPr>
          <w:p w14:paraId="2010206F" w14:textId="009C6356" w:rsidR="00615E2D" w:rsidRDefault="00C83E46">
            <w:pPr>
              <w:pStyle w:val="P68B1DB1-Normal11"/>
              <w:spacing w:before="0" w:after="0" w:line="240" w:lineRule="auto"/>
              <w:jc w:val="center"/>
              <w:rPr>
                <w:noProof/>
                <w:color w:val="004300"/>
              </w:rPr>
            </w:pPr>
            <w:r>
              <w:rPr>
                <w:noProof/>
              </w:rPr>
              <w:t xml:space="preserve"> </w:t>
            </w:r>
          </w:p>
        </w:tc>
        <w:tc>
          <w:tcPr>
            <w:tcW w:w="955" w:type="dxa"/>
            <w:shd w:val="clear" w:color="auto" w:fill="C6EFCE"/>
            <w:vAlign w:val="center"/>
          </w:tcPr>
          <w:p w14:paraId="25B900BE" w14:textId="0A9B7BE3" w:rsidR="00615E2D" w:rsidRDefault="00C83E46">
            <w:pPr>
              <w:pStyle w:val="P68B1DB1-Normal11"/>
              <w:spacing w:before="0" w:after="0" w:line="240" w:lineRule="auto"/>
              <w:jc w:val="center"/>
              <w:rPr>
                <w:noProof/>
                <w:color w:val="004300"/>
              </w:rPr>
            </w:pPr>
            <w:r>
              <w:rPr>
                <w:noProof/>
              </w:rPr>
              <w:t xml:space="preserve"> </w:t>
            </w:r>
          </w:p>
        </w:tc>
        <w:tc>
          <w:tcPr>
            <w:tcW w:w="961" w:type="dxa"/>
            <w:shd w:val="clear" w:color="auto" w:fill="C6EFCE"/>
            <w:vAlign w:val="center"/>
            <w:hideMark/>
          </w:tcPr>
          <w:p w14:paraId="455E3843" w14:textId="715D6C15" w:rsidR="00615E2D" w:rsidRDefault="00C83E46">
            <w:pPr>
              <w:pStyle w:val="P68B1DB1-Normal11"/>
              <w:spacing w:before="0" w:after="0" w:line="240" w:lineRule="auto"/>
              <w:jc w:val="center"/>
              <w:rPr>
                <w:noProof/>
                <w:color w:val="004300"/>
              </w:rPr>
            </w:pPr>
            <w:r>
              <w:rPr>
                <w:noProof/>
              </w:rPr>
              <w:t>TROMJESEČJE</w:t>
            </w:r>
          </w:p>
        </w:tc>
        <w:tc>
          <w:tcPr>
            <w:tcW w:w="719" w:type="dxa"/>
            <w:shd w:val="clear" w:color="auto" w:fill="C6EFCE"/>
            <w:vAlign w:val="center"/>
            <w:hideMark/>
          </w:tcPr>
          <w:p w14:paraId="4AA147DE" w14:textId="2DCA6864" w:rsidR="00615E2D" w:rsidRDefault="00C83E46">
            <w:pPr>
              <w:pStyle w:val="P68B1DB1-Normal11"/>
              <w:spacing w:before="0" w:after="0" w:line="240" w:lineRule="auto"/>
              <w:jc w:val="center"/>
              <w:rPr>
                <w:noProof/>
                <w:color w:val="004300"/>
              </w:rPr>
            </w:pPr>
            <w:r>
              <w:rPr>
                <w:noProof/>
              </w:rPr>
              <w:t>2025</w:t>
            </w:r>
          </w:p>
        </w:tc>
        <w:tc>
          <w:tcPr>
            <w:tcW w:w="3959" w:type="dxa"/>
            <w:shd w:val="clear" w:color="auto" w:fill="C6EFCE"/>
            <w:vAlign w:val="center"/>
            <w:hideMark/>
          </w:tcPr>
          <w:p w14:paraId="65BC6B5A" w14:textId="77777777" w:rsidR="00615E2D" w:rsidRDefault="00C83E46">
            <w:pPr>
              <w:pStyle w:val="P68B1DB1-Normal11"/>
              <w:spacing w:after="160" w:line="257" w:lineRule="auto"/>
              <w:rPr>
                <w:noProof/>
              </w:rPr>
            </w:pPr>
            <w:r>
              <w:rPr>
                <w:noProof/>
              </w:rPr>
              <w:t>Reforma uključuje sljedeće mjere:</w:t>
            </w:r>
          </w:p>
          <w:p w14:paraId="086F438D" w14:textId="06641187" w:rsidR="00615E2D" w:rsidRDefault="00C83E46">
            <w:pPr>
              <w:pStyle w:val="P68B1DB1-ListParagraph31"/>
              <w:numPr>
                <w:ilvl w:val="0"/>
                <w:numId w:val="115"/>
              </w:numPr>
              <w:spacing w:before="0" w:after="0"/>
              <w:rPr>
                <w:noProof/>
              </w:rPr>
            </w:pPr>
            <w:r>
              <w:rPr>
                <w:noProof/>
              </w:rPr>
              <w:t xml:space="preserve">Donošenje vladine rezolucije kojom se stvara novi projekt zajedničkih aktivnosti za jačanje strateških obavještajnih kapaciteta za politiku istraživanja, razvoja i inovacija. Rezolucijom Vlade utvrđuje se da projekt omogućuje redovito objavljivanje rezultata analize i da analitički opseg projekta omogućuje analizu sljedećeg: </w:t>
            </w:r>
          </w:p>
          <w:p w14:paraId="2F7F2242" w14:textId="77777777" w:rsidR="00615E2D" w:rsidRDefault="00615E2D">
            <w:pPr>
              <w:spacing w:after="0" w:line="257" w:lineRule="auto"/>
              <w:rPr>
                <w:rFonts w:eastAsia="Times New Roman"/>
                <w:noProof/>
                <w:color w:val="006100"/>
                <w:sz w:val="18"/>
              </w:rPr>
            </w:pPr>
          </w:p>
          <w:p w14:paraId="3B5213FF" w14:textId="77777777" w:rsidR="00615E2D" w:rsidRDefault="00C83E46">
            <w:pPr>
              <w:pStyle w:val="P68B1DB1-ListParagraph31"/>
              <w:numPr>
                <w:ilvl w:val="0"/>
                <w:numId w:val="114"/>
              </w:numPr>
              <w:spacing w:before="0" w:after="0"/>
              <w:rPr>
                <w:noProof/>
              </w:rPr>
            </w:pPr>
            <w:r>
              <w:rPr>
                <w:noProof/>
              </w:rPr>
              <w:t>Međunarodna suradnja Češke u području istraživanja, razvoja i inovacija;</w:t>
            </w:r>
          </w:p>
          <w:p w14:paraId="56D5E531" w14:textId="77777777" w:rsidR="00615E2D" w:rsidRDefault="00C83E46">
            <w:pPr>
              <w:pStyle w:val="P68B1DB1-ListParagraph31"/>
              <w:numPr>
                <w:ilvl w:val="0"/>
                <w:numId w:val="114"/>
              </w:numPr>
              <w:spacing w:before="0" w:after="0"/>
              <w:rPr>
                <w:noProof/>
              </w:rPr>
            </w:pPr>
            <w:r>
              <w:rPr>
                <w:noProof/>
              </w:rPr>
              <w:t>Ulogu i društveno-gospodarski učinak velike istraživačke infrastrukture;</w:t>
            </w:r>
          </w:p>
          <w:p w14:paraId="66C6748C" w14:textId="77777777" w:rsidR="00615E2D" w:rsidRDefault="00C83E46">
            <w:pPr>
              <w:pStyle w:val="P68B1DB1-ListParagraph31"/>
              <w:numPr>
                <w:ilvl w:val="0"/>
                <w:numId w:val="114"/>
              </w:numPr>
              <w:spacing w:before="0" w:after="0"/>
              <w:rPr>
                <w:noProof/>
              </w:rPr>
            </w:pPr>
            <w:r>
              <w:rPr>
                <w:noProof/>
              </w:rPr>
              <w:t>Nacionalne istraživačke i inovacijske strategije za pametnu specijalizaciju;</w:t>
            </w:r>
          </w:p>
          <w:p w14:paraId="66720057" w14:textId="486C253F" w:rsidR="00615E2D" w:rsidRDefault="00C83E46">
            <w:pPr>
              <w:pStyle w:val="P68B1DB1-ListParagraph31"/>
              <w:numPr>
                <w:ilvl w:val="0"/>
                <w:numId w:val="114"/>
              </w:numPr>
              <w:spacing w:before="0" w:after="0"/>
              <w:rPr>
                <w:noProof/>
              </w:rPr>
            </w:pPr>
            <w:r>
              <w:rPr>
                <w:noProof/>
              </w:rPr>
              <w:t>Razvoj ljudskih resursa u području istraživanja i razvoja, uključujući uvjete za sudjelovanje žena u istraživanju i razvoju;</w:t>
            </w:r>
          </w:p>
          <w:p w14:paraId="3E83EF82" w14:textId="77777777" w:rsidR="00615E2D" w:rsidRDefault="00C83E46">
            <w:pPr>
              <w:pStyle w:val="P68B1DB1-ListParagraph31"/>
              <w:numPr>
                <w:ilvl w:val="0"/>
                <w:numId w:val="114"/>
              </w:numPr>
              <w:spacing w:before="0" w:after="0"/>
              <w:rPr>
                <w:noProof/>
              </w:rPr>
            </w:pPr>
            <w:r>
              <w:rPr>
                <w:noProof/>
              </w:rPr>
              <w:t>Sustav dodjele potpore inovativnim poduzećima.</w:t>
            </w:r>
          </w:p>
          <w:p w14:paraId="0B99D723" w14:textId="77777777" w:rsidR="00615E2D" w:rsidRDefault="00615E2D">
            <w:pPr>
              <w:pStyle w:val="ListParagraph"/>
              <w:spacing w:before="0" w:after="0"/>
              <w:rPr>
                <w:rFonts w:ascii="Times New Roman" w:eastAsia="Times New Roman" w:hAnsi="Times New Roman"/>
                <w:noProof/>
                <w:color w:val="006100"/>
                <w:sz w:val="18"/>
              </w:rPr>
            </w:pPr>
          </w:p>
          <w:p w14:paraId="5FA284E6" w14:textId="49AD048C" w:rsidR="00615E2D" w:rsidRDefault="00C83E46">
            <w:pPr>
              <w:pStyle w:val="P68B1DB1-ListParagraph31"/>
              <w:spacing w:line="257" w:lineRule="auto"/>
              <w:rPr>
                <w:noProof/>
              </w:rPr>
            </w:pPr>
            <w:r>
              <w:rPr>
                <w:noProof/>
              </w:rPr>
              <w:t>Rezolucijom Vlade utvrđuje se i da su kapaciteti i analitički rezultati dostupni svim pružateljima potpore.</w:t>
            </w:r>
          </w:p>
          <w:p w14:paraId="309F14DD" w14:textId="77777777" w:rsidR="00615E2D" w:rsidRDefault="00615E2D">
            <w:pPr>
              <w:pStyle w:val="ListParagraph"/>
              <w:spacing w:line="257" w:lineRule="auto"/>
              <w:rPr>
                <w:rFonts w:eastAsia="Times New Roman"/>
                <w:noProof/>
                <w:color w:val="006100"/>
                <w:sz w:val="18"/>
              </w:rPr>
            </w:pPr>
          </w:p>
          <w:p w14:paraId="1BF0046F" w14:textId="08802027" w:rsidR="00615E2D" w:rsidRDefault="00C83E46">
            <w:pPr>
              <w:pStyle w:val="P68B1DB1-ListParagraph31"/>
              <w:numPr>
                <w:ilvl w:val="0"/>
                <w:numId w:val="115"/>
              </w:numPr>
              <w:spacing w:before="0" w:after="0"/>
              <w:rPr>
                <w:noProof/>
              </w:rPr>
            </w:pPr>
            <w:r>
              <w:rPr>
                <w:noProof/>
              </w:rPr>
              <w:t>Donošenje vladine rezolucije kojom se stvara novi program izvrsnosti. Ovim novim programom izvrsnosti uvodi se dodatni naziv bespovratnih sredstava za podnositelje zahtjeva koji:</w:t>
            </w:r>
          </w:p>
          <w:p w14:paraId="1A22CB70" w14:textId="77777777" w:rsidR="00615E2D" w:rsidRDefault="00C83E46">
            <w:pPr>
              <w:pStyle w:val="P68B1DB1-ListParagraph31"/>
              <w:numPr>
                <w:ilvl w:val="0"/>
                <w:numId w:val="359"/>
              </w:numPr>
              <w:spacing w:before="0" w:after="0"/>
              <w:rPr>
                <w:noProof/>
              </w:rPr>
            </w:pPr>
            <w:r>
              <w:rPr>
                <w:noProof/>
              </w:rPr>
              <w:t xml:space="preserve">primili financijsku potporu iz međunarodnih bespovratnih sredstava, </w:t>
            </w:r>
          </w:p>
          <w:p w14:paraId="27CC74F0" w14:textId="5A66F9FA" w:rsidR="00615E2D" w:rsidRDefault="00C83E46">
            <w:pPr>
              <w:pStyle w:val="P68B1DB1-ListParagraph31"/>
              <w:numPr>
                <w:ilvl w:val="0"/>
                <w:numId w:val="359"/>
              </w:numPr>
              <w:spacing w:before="0" w:after="0"/>
              <w:rPr>
                <w:noProof/>
              </w:rPr>
            </w:pPr>
            <w:r>
              <w:rPr>
                <w:noProof/>
              </w:rPr>
              <w:t>primili nacionalnu potporu nakon podnošenja zahtjeva za međunarodna bespovratna sredstva, ili</w:t>
            </w:r>
          </w:p>
          <w:p w14:paraId="10A3E3C8" w14:textId="27DF34D6" w:rsidR="00615E2D" w:rsidRDefault="00C83E46">
            <w:pPr>
              <w:pStyle w:val="P68B1DB1-ListParagraph31"/>
              <w:numPr>
                <w:ilvl w:val="0"/>
                <w:numId w:val="359"/>
              </w:numPr>
              <w:spacing w:before="0" w:after="0"/>
              <w:rPr>
                <w:noProof/>
              </w:rPr>
            </w:pPr>
            <w:r>
              <w:rPr>
                <w:noProof/>
              </w:rPr>
              <w:t>primili financijsku potporu u okviru nacionalnih bespovratnih sredstava EXPRO.</w:t>
            </w:r>
          </w:p>
          <w:p w14:paraId="7A662D78" w14:textId="77777777" w:rsidR="00615E2D" w:rsidRDefault="00C83E46">
            <w:pPr>
              <w:pStyle w:val="P68B1DB1-Normal11"/>
              <w:spacing w:before="0" w:after="0" w:line="257" w:lineRule="auto"/>
              <w:rPr>
                <w:noProof/>
              </w:rPr>
            </w:pPr>
            <w:r>
              <w:rPr>
                <w:noProof/>
              </w:rPr>
              <w:t xml:space="preserve"> </w:t>
            </w:r>
          </w:p>
          <w:p w14:paraId="1AF846A7" w14:textId="4801136D" w:rsidR="00615E2D" w:rsidRDefault="00C83E46">
            <w:pPr>
              <w:pStyle w:val="P68B1DB1-Normal11"/>
              <w:spacing w:before="0" w:after="0" w:line="257" w:lineRule="auto"/>
              <w:rPr>
                <w:noProof/>
              </w:rPr>
            </w:pPr>
            <w:r>
              <w:rPr>
                <w:noProof/>
              </w:rPr>
              <w:t>Prije donošenja programa savjetuje se s predstavnicima istraživačkog sektora.</w:t>
            </w:r>
          </w:p>
          <w:p w14:paraId="2A49517B" w14:textId="6C531CF4" w:rsidR="00615E2D" w:rsidRDefault="00615E2D">
            <w:pPr>
              <w:spacing w:before="0" w:after="0" w:line="257" w:lineRule="auto"/>
              <w:rPr>
                <w:rFonts w:eastAsia="Times New Roman"/>
                <w:noProof/>
                <w:color w:val="006100"/>
                <w:sz w:val="18"/>
              </w:rPr>
            </w:pPr>
          </w:p>
          <w:p w14:paraId="59C7B73F" w14:textId="77777777" w:rsidR="00615E2D" w:rsidRDefault="00C83E46">
            <w:pPr>
              <w:pStyle w:val="P68B1DB1-ListParagraph31"/>
              <w:numPr>
                <w:ilvl w:val="0"/>
                <w:numId w:val="115"/>
              </w:numPr>
              <w:spacing w:before="0" w:after="0"/>
              <w:rPr>
                <w:noProof/>
              </w:rPr>
            </w:pPr>
            <w:r>
              <w:rPr>
                <w:noProof/>
              </w:rPr>
              <w:t xml:space="preserve">Donošenje metodološke smjernice koja: </w:t>
            </w:r>
          </w:p>
          <w:p w14:paraId="5DCDC460" w14:textId="365E383C" w:rsidR="00615E2D" w:rsidRDefault="00C83E46">
            <w:pPr>
              <w:pStyle w:val="P68B1DB1-ListParagraph31"/>
              <w:numPr>
                <w:ilvl w:val="0"/>
                <w:numId w:val="104"/>
              </w:numPr>
              <w:spacing w:before="0" w:after="0"/>
              <w:rPr>
                <w:noProof/>
              </w:rPr>
            </w:pPr>
            <w:r>
              <w:rPr>
                <w:noProof/>
              </w:rPr>
              <w:t>Uskladiti postupovna pravila za pružanje potpore istraživanju, razvoju i inovacijama za sve pružatelje potpore. Uključuje i vremenski okvir za provedbu relevantnih mjera.</w:t>
            </w:r>
          </w:p>
          <w:p w14:paraId="39F38492" w14:textId="1B47A135" w:rsidR="00615E2D" w:rsidRDefault="00C83E46">
            <w:pPr>
              <w:pStyle w:val="P68B1DB1-ListParagraph31"/>
              <w:numPr>
                <w:ilvl w:val="0"/>
                <w:numId w:val="104"/>
              </w:numPr>
              <w:spacing w:before="0" w:after="0"/>
              <w:rPr>
                <w:noProof/>
              </w:rPr>
            </w:pPr>
            <w:r>
              <w:rPr>
                <w:noProof/>
              </w:rPr>
              <w:t>Uskladiti kriterije za potporu projektima iz nacionalnog proračuna sa standardnim kriterijima za sudjelovanje u projektima u okviru Okvirnog programa EU-a za istraživanje i inovacije.</w:t>
            </w:r>
          </w:p>
          <w:p w14:paraId="4E31ABE1" w14:textId="77777777" w:rsidR="00615E2D" w:rsidRDefault="00C83E46">
            <w:pPr>
              <w:pStyle w:val="P68B1DB1-Normal11"/>
              <w:spacing w:before="0" w:after="0" w:line="257" w:lineRule="auto"/>
              <w:rPr>
                <w:noProof/>
              </w:rPr>
            </w:pPr>
            <w:r>
              <w:rPr>
                <w:noProof/>
              </w:rPr>
              <w:t xml:space="preserve"> </w:t>
            </w:r>
          </w:p>
          <w:p w14:paraId="284EEE36" w14:textId="629BC495" w:rsidR="00615E2D" w:rsidRDefault="00C83E46">
            <w:pPr>
              <w:pStyle w:val="P68B1DB1-Normal11"/>
              <w:spacing w:before="0" w:after="0" w:line="240" w:lineRule="auto"/>
              <w:rPr>
                <w:noProof/>
                <w:color w:val="004300"/>
              </w:rPr>
            </w:pPr>
            <w:r>
              <w:rPr>
                <w:noProof/>
              </w:rPr>
              <w:t>Pružatelji potpore i predstavnici korisnika potpore uključeni su u razvoj metodološke smjernice.</w:t>
            </w:r>
          </w:p>
        </w:tc>
      </w:tr>
    </w:tbl>
    <w:p w14:paraId="4C4B9752" w14:textId="6604049C" w:rsidR="00615E2D" w:rsidRDefault="00615E2D">
      <w:pPr>
        <w:tabs>
          <w:tab w:val="left" w:pos="993"/>
        </w:tabs>
        <w:spacing w:line="240" w:lineRule="auto"/>
        <w:jc w:val="both"/>
        <w:rPr>
          <w:b/>
          <w:noProof/>
          <w:u w:val="single"/>
        </w:rPr>
      </w:pPr>
    </w:p>
    <w:p w14:paraId="66746E98" w14:textId="77777777" w:rsidR="00615E2D" w:rsidRDefault="00615E2D">
      <w:pPr>
        <w:tabs>
          <w:tab w:val="left" w:pos="993"/>
        </w:tabs>
        <w:spacing w:line="240" w:lineRule="auto"/>
        <w:jc w:val="both"/>
        <w:rPr>
          <w:b/>
          <w:noProof/>
          <w:u w:val="single"/>
        </w:rPr>
      </w:pPr>
    </w:p>
    <w:p w14:paraId="3BF3B22E" w14:textId="77777777" w:rsidR="00615E2D" w:rsidRDefault="00615E2D">
      <w:pPr>
        <w:rPr>
          <w:noProof/>
        </w:rPr>
        <w:sectPr w:rsidR="00615E2D" w:rsidSect="00997F50">
          <w:headerReference w:type="even" r:id="rId408"/>
          <w:headerReference w:type="default" r:id="rId409"/>
          <w:footerReference w:type="even" r:id="rId410"/>
          <w:footerReference w:type="default" r:id="rId411"/>
          <w:headerReference w:type="first" r:id="rId412"/>
          <w:footerReference w:type="first" r:id="rId413"/>
          <w:pgSz w:w="16839" w:h="11907" w:orient="landscape"/>
          <w:pgMar w:top="1134" w:right="1134" w:bottom="1134" w:left="1134" w:header="567" w:footer="567" w:gutter="0"/>
          <w:cols w:space="708"/>
          <w:docGrid w:linePitch="326"/>
        </w:sectPr>
      </w:pPr>
    </w:p>
    <w:p w14:paraId="21E55949" w14:textId="4EB88C50" w:rsidR="00615E2D" w:rsidRDefault="00C83E46">
      <w:pPr>
        <w:pStyle w:val="P68B1DB1-Normal36"/>
        <w:keepNext/>
        <w:spacing w:line="240" w:lineRule="auto"/>
        <w:jc w:val="both"/>
        <w:outlineLvl w:val="0"/>
        <w:rPr>
          <w:noProof/>
        </w:rPr>
      </w:pPr>
      <w:r>
        <w:rPr>
          <w:noProof/>
        </w:rPr>
        <w:t xml:space="preserve">CC. SASTAVNI DIO 6.1.: Povećanje otpornosti zdravstvenog sustava </w:t>
      </w:r>
    </w:p>
    <w:p w14:paraId="769F0BE0" w14:textId="77777777" w:rsidR="00615E2D" w:rsidRDefault="00C83E46">
      <w:pPr>
        <w:spacing w:line="240" w:lineRule="auto"/>
        <w:jc w:val="both"/>
        <w:rPr>
          <w:noProof/>
        </w:rPr>
      </w:pPr>
      <w:r>
        <w:rPr>
          <w:noProof/>
        </w:rPr>
        <w:t xml:space="preserve">Ta komponenta </w:t>
      </w:r>
      <w:r>
        <w:rPr>
          <w:rFonts w:eastAsia="Times New Roman"/>
          <w:noProof/>
        </w:rPr>
        <w:t xml:space="preserve">češkog plana za oporavak i otpornost </w:t>
      </w:r>
      <w:r>
        <w:rPr>
          <w:noProof/>
        </w:rPr>
        <w:t xml:space="preserve">usmjerena je na jačanje otpornosti zdravstvenog sustava ulaganjem u zdravstvenu infrastrukturu i poboljšanjem obrazovanja zdravstvenih radnika u području akutne skrbi. Kad je riječ o zdravstvenoj infrastrukturi, cilj je povećati dostupnost i kvalitetu rehabilitacijske skrbi za pacijente koji se oporavljaju od kritičnih stanja </w:t>
      </w:r>
      <w:r>
        <w:rPr>
          <w:rFonts w:eastAsia="Times New Roman"/>
          <w:noProof/>
        </w:rPr>
        <w:t>(akutna zdravstvena stanja)</w:t>
      </w:r>
      <w:r>
        <w:rPr>
          <w:noProof/>
        </w:rPr>
        <w:t>, što se pokazalo nedovoljnim tijekom pandemije. Osim toga, cilj je komponente riješiti problem nedostatka visokospecijaliziranih dijagnostičkih alata i liječenja ozbiljnih kardiovaskularnih bolesti, uključujući transplantaciju. Kad je riječ o obrazovanju zdravstvenog osoblja, predviđene su sustavne mjere i ulaganja kako bi se riješio problem sve većeg manjka zdravstvenih radnika.</w:t>
      </w:r>
    </w:p>
    <w:p w14:paraId="4E977FB8" w14:textId="77777777" w:rsidR="00615E2D" w:rsidRDefault="00C83E46">
      <w:pPr>
        <w:spacing w:line="240" w:lineRule="auto"/>
        <w:jc w:val="both"/>
        <w:rPr>
          <w:noProof/>
        </w:rPr>
      </w:pPr>
      <w:r>
        <w:rPr>
          <w:noProof/>
        </w:rPr>
        <w:t>Komponenta pridonosi odgovoru na 1. preporuku za pojedinu zemlju, u skladu s kojom Češka osigurava otpornost zdravstvenog sustava, povećava dostupnost zdravstvenih radnika, primarnu skrb i integraciju skrbi te uvođenje usluga e-zdravstva.</w:t>
      </w:r>
    </w:p>
    <w:p w14:paraId="250B8CB0" w14:textId="77777777" w:rsidR="00615E2D" w:rsidRDefault="00C83E46">
      <w:pPr>
        <w:spacing w:line="240" w:lineRule="auto"/>
        <w:jc w:val="both"/>
        <w:rPr>
          <w:noProof/>
        </w:rPr>
      </w:pPr>
      <w:r>
        <w:rPr>
          <w:noProof/>
        </w:rPr>
        <w:t>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w:t>
      </w:r>
    </w:p>
    <w:p w14:paraId="4721036B" w14:textId="77777777" w:rsidR="00615E2D" w:rsidRDefault="00615E2D">
      <w:pPr>
        <w:spacing w:line="240" w:lineRule="auto"/>
        <w:jc w:val="both"/>
        <w:rPr>
          <w:i/>
          <w:noProof/>
        </w:rPr>
      </w:pPr>
    </w:p>
    <w:p w14:paraId="588D04A6" w14:textId="19386D41" w:rsidR="00615E2D" w:rsidRDefault="00C83E46">
      <w:pPr>
        <w:pStyle w:val="P68B1DB1-Normal5"/>
        <w:spacing w:line="240" w:lineRule="auto"/>
        <w:jc w:val="both"/>
        <w:rPr>
          <w:noProof/>
        </w:rPr>
      </w:pPr>
      <w:r>
        <w:rPr>
          <w:noProof/>
        </w:rPr>
        <w:t>CC.1. Opis reformi i ulaganja za programe bespovratne financijske potpore</w:t>
      </w:r>
    </w:p>
    <w:p w14:paraId="34F839E9" w14:textId="77777777" w:rsidR="00615E2D" w:rsidRDefault="00C83E46">
      <w:pPr>
        <w:pStyle w:val="P68B1DB1-Normal7"/>
        <w:spacing w:line="240" w:lineRule="auto"/>
        <w:jc w:val="both"/>
        <w:rPr>
          <w:noProof/>
        </w:rPr>
      </w:pPr>
      <w:r>
        <w:rPr>
          <w:noProof/>
        </w:rPr>
        <w:t>Reforma 1.: Poboljšanje obrazovanja zdravstvenih djelatnika</w:t>
      </w:r>
    </w:p>
    <w:p w14:paraId="31D25ECF" w14:textId="77777777" w:rsidR="00615E2D" w:rsidRDefault="00C83E46">
      <w:pPr>
        <w:spacing w:line="240" w:lineRule="auto"/>
        <w:jc w:val="both"/>
        <w:rPr>
          <w:noProof/>
        </w:rPr>
      </w:pPr>
      <w:r>
        <w:rPr>
          <w:noProof/>
        </w:rPr>
        <w:t xml:space="preserve">Osposobljavanje i obrazovanje zdravstvenih radnika prilagođavaju se s ciljem poboljšanja dostupnosti visokospecijaliziranih zdravstvenih djelatnika. Planiranje zdravstvenog osoblja na nacionalnoj i regionalnoj razini poboljšava se stvaranjem elektroničkog sustava (kojim se povezuju postojeće baze podataka zdravstvenih djelatnika) za upravljanje, administraciju i procjenu potreba za osposobljavanjem zdravstvenih djelatnika. Poboljšanje organizacije poslijediplomskog osposobljavanja zdravstvenih djelatnika pomoći će u skraćivanju trajanja specijalističkog usavršavanja i omogućiti mlađim liječnicima da ranije počnu pružati skrb, čime se poboljšava pristup skrbi. </w:t>
      </w:r>
    </w:p>
    <w:p w14:paraId="6E8C09C2" w14:textId="77777777" w:rsidR="00615E2D" w:rsidRDefault="00C83E46">
      <w:pPr>
        <w:spacing w:line="240" w:lineRule="auto"/>
        <w:jc w:val="both"/>
        <w:rPr>
          <w:noProof/>
        </w:rPr>
      </w:pPr>
      <w:r>
        <w:rPr>
          <w:noProof/>
        </w:rPr>
        <w:t xml:space="preserve">Ulaganje mora biti dovršeno do 30. lipnja 2024. </w:t>
      </w:r>
    </w:p>
    <w:p w14:paraId="0D5F3A29" w14:textId="77777777" w:rsidR="00615E2D" w:rsidRDefault="00C83E46">
      <w:pPr>
        <w:pStyle w:val="P68B1DB1-Normal7"/>
        <w:spacing w:line="240" w:lineRule="auto"/>
        <w:jc w:val="both"/>
        <w:rPr>
          <w:noProof/>
        </w:rPr>
      </w:pPr>
      <w:r>
        <w:rPr>
          <w:noProof/>
        </w:rPr>
        <w:t xml:space="preserve">Ulaganje 1: Osnivanje centra za intenzivnu medicinu </w:t>
      </w:r>
    </w:p>
    <w:p w14:paraId="1946F2EA" w14:textId="77777777" w:rsidR="00615E2D" w:rsidRDefault="00C83E46">
      <w:pPr>
        <w:spacing w:line="240" w:lineRule="auto"/>
        <w:jc w:val="both"/>
        <w:rPr>
          <w:rFonts w:eastAsia="Times New Roman"/>
          <w:noProof/>
        </w:rPr>
      </w:pPr>
      <w:r>
        <w:rPr>
          <w:noProof/>
        </w:rPr>
        <w:t>Ulaganje se sastoji od izgradnje centra za intenzivnu medicinu koji će proširiti infrastrukturu za poslijediplomsko osposobljavanje i cjeloživotno učenje zdravstvenih djelatnika. Centar pruža osposobljavanje s najsuvremenijim tehnologijama i opremom, čime se imitiraju stvarne situacije, među ostalim upotrebom virtualne stvarnosti. Time se omogućuje osposobljavanje složenih kliničkih zadataka u sigurnom okruženju bez utjecaja na sigurnost pacijenata, učinkovit prijenos stečenih vještina u kliničku praksu i poboljšanje suradnje među medicinskim disciplinama. Osposobljavanje za simulaciju obuhvaća širok raspon aktivnosti, od jednostavnog liječenja do sveobuhvatne skrbi pacijenata koje provode specijalizirani medicinski timovi u predbolničkoj skrbi, jedinicama intenzivne njege ili operacijskim prostorijama. Također se razvija sustav osposobljavanja medicinskog osoblja u intenzivnoj medicini.</w:t>
      </w:r>
    </w:p>
    <w:p w14:paraId="51E1C171" w14:textId="77777777" w:rsidR="00615E2D" w:rsidRDefault="00C83E46">
      <w:pPr>
        <w:spacing w:line="240" w:lineRule="auto"/>
        <w:jc w:val="both"/>
        <w:rPr>
          <w:noProof/>
        </w:rPr>
      </w:pPr>
      <w:r>
        <w:rPr>
          <w:noProof/>
        </w:rPr>
        <w:t xml:space="preserve">Ulaganje mora biti dovršeno do 31. prosinca 2025. </w:t>
      </w:r>
    </w:p>
    <w:p w14:paraId="5CC6DBFF" w14:textId="77777777" w:rsidR="00615E2D" w:rsidRDefault="00C83E46">
      <w:pPr>
        <w:pStyle w:val="P68B1DB1-Normal7"/>
        <w:keepNext/>
        <w:spacing w:line="240" w:lineRule="auto"/>
        <w:jc w:val="both"/>
        <w:rPr>
          <w:noProof/>
        </w:rPr>
      </w:pPr>
      <w:r>
        <w:rPr>
          <w:noProof/>
        </w:rPr>
        <w:t>Ulaganje 2: Rehabilitacijska skrb za pacijente koji se oporavljaju od kritičnog stanja</w:t>
      </w:r>
    </w:p>
    <w:p w14:paraId="53F2BE92" w14:textId="33204B21" w:rsidR="00615E2D" w:rsidRDefault="00C83E46">
      <w:pPr>
        <w:spacing w:line="240" w:lineRule="auto"/>
        <w:jc w:val="both"/>
        <w:rPr>
          <w:noProof/>
        </w:rPr>
      </w:pPr>
      <w:r>
        <w:rPr>
          <w:noProof/>
        </w:rPr>
        <w:t xml:space="preserve">Cilj je ulaganja odgovoriti na potrebu za jačanjem rehabilitacije pacijenata koji se oporavljaju od kritičnih stanja, koja se povećala zbog pandemije bolesti COVID-19. To se postiže preuređenjem i modernizacijom opreme u odjelima za rehabilitaciju te poboljšanjem organizacije rehabilitacijske skrbi. Nabavom najsuvremenije opreme za sveobuhvatnu rehabilitaciju smanjuje se potreba za osobljem, čime se povećava dostupnost rehabilitacijske skrbi za pacijente. Potpora se usmjerava putem programa bespovratnih sredstava u ukupnom iznosu od 61 660 000 EUR. Potpora se pruža najmanje 19 javnih bolnica koje pružaju akutnu bolničku skrb u jedinicama intenzivne njege i prate rehabilitaciju. Odabir projekata odražava povećane potrebe za rehabilitacijom nakon pandemije bolesti COVID-19. Cilj je povećati broj liječenja pacijenata nakon kritičnih stanja u jedinicama za rehabilitaciju za 10 %. </w:t>
      </w:r>
    </w:p>
    <w:p w14:paraId="2285C753" w14:textId="77777777" w:rsidR="00615E2D" w:rsidRDefault="00C83E46">
      <w:pPr>
        <w:spacing w:line="240" w:lineRule="auto"/>
        <w:jc w:val="both"/>
        <w:rPr>
          <w:noProof/>
        </w:rPr>
      </w:pPr>
      <w:r>
        <w:rPr>
          <w:noProof/>
        </w:rPr>
        <w:t>Ulaganje mora biti dovršeno do 31. prosinca 2025.</w:t>
      </w:r>
    </w:p>
    <w:p w14:paraId="013C7E4B" w14:textId="77777777" w:rsidR="00615E2D" w:rsidRDefault="00C83E46">
      <w:pPr>
        <w:pStyle w:val="P68B1DB1-Normal7"/>
        <w:spacing w:line="240" w:lineRule="auto"/>
        <w:jc w:val="both"/>
        <w:rPr>
          <w:noProof/>
        </w:rPr>
      </w:pPr>
      <w:r>
        <w:rPr>
          <w:noProof/>
        </w:rPr>
        <w:t>Ulaganje 3: Izgradnja centra za kardiovaskularnu i transplantacijsku medicinu</w:t>
      </w:r>
    </w:p>
    <w:p w14:paraId="08C5AD22" w14:textId="77777777" w:rsidR="00615E2D" w:rsidRDefault="00C83E46">
      <w:pPr>
        <w:spacing w:line="240" w:lineRule="auto"/>
        <w:jc w:val="both"/>
        <w:rPr>
          <w:noProof/>
        </w:rPr>
      </w:pPr>
      <w:r>
        <w:rPr>
          <w:noProof/>
        </w:rPr>
        <w:t xml:space="preserve">Cilj je ulaganja povećati dostupnost visokospecijalizirane skrbi u području kardiovaskularne i transplantacije u regiji Južne Moravske. Predviđa se izgradnja novih objekata kardiovaskularne i transplantacije kardiovaskularne i transplantacije u Brnu kako bi se povećao trenutačni kapacitet i modernizirala oprema kako bi odražavala moderne metode liječenja, s ciljem rješavanja problema nedostatka odgovarajućih objekata u Moravskoj regiji. Ulaganjem se povećava broj kreveta u trenutačnom Centru kardiovaskularne i transplantacije s trenutačnih 90 na najmanje 125 kreveta. </w:t>
      </w:r>
    </w:p>
    <w:p w14:paraId="228FB970" w14:textId="77777777" w:rsidR="00615E2D" w:rsidRDefault="00C83E46">
      <w:pPr>
        <w:spacing w:line="240" w:lineRule="auto"/>
        <w:jc w:val="both"/>
        <w:rPr>
          <w:noProof/>
        </w:rPr>
      </w:pPr>
      <w:r>
        <w:rPr>
          <w:noProof/>
        </w:rPr>
        <w:t xml:space="preserve">Ulaganje mora biti dovršeno do 31. prosinca 2025. </w:t>
      </w:r>
    </w:p>
    <w:p w14:paraId="7EC9B29F" w14:textId="77777777" w:rsidR="00615E2D" w:rsidRDefault="00C83E46">
      <w:pPr>
        <w:pStyle w:val="P68B1DB1-Normal34"/>
        <w:spacing w:line="240" w:lineRule="auto"/>
        <w:rPr>
          <w:noProof/>
        </w:rPr>
      </w:pPr>
      <w:r>
        <w:rPr>
          <w:noProof/>
        </w:rPr>
        <w:t xml:space="preserve"> </w:t>
      </w:r>
    </w:p>
    <w:p w14:paraId="1AD67769" w14:textId="77777777" w:rsidR="00615E2D" w:rsidRDefault="00615E2D">
      <w:pPr>
        <w:spacing w:line="240" w:lineRule="auto"/>
        <w:rPr>
          <w:rFonts w:ascii="Calibri" w:hAnsi="Calibri"/>
          <w:noProof/>
          <w:sz w:val="22"/>
        </w:rPr>
        <w:sectPr w:rsidR="00615E2D" w:rsidSect="00997F50">
          <w:headerReference w:type="even" r:id="rId414"/>
          <w:headerReference w:type="default" r:id="rId415"/>
          <w:footerReference w:type="even" r:id="rId416"/>
          <w:footerReference w:type="default" r:id="rId417"/>
          <w:headerReference w:type="first" r:id="rId418"/>
          <w:footerReference w:type="first" r:id="rId419"/>
          <w:pgSz w:w="11907" w:h="16839"/>
          <w:pgMar w:top="1134" w:right="1134" w:bottom="1134" w:left="1134" w:header="567" w:footer="567" w:gutter="0"/>
          <w:cols w:space="708"/>
          <w:docGrid w:linePitch="326"/>
        </w:sectPr>
      </w:pPr>
    </w:p>
    <w:p w14:paraId="60760D4F" w14:textId="3C208CAA" w:rsidR="00615E2D" w:rsidRDefault="00C83E46">
      <w:pPr>
        <w:pStyle w:val="P68B1DB1-Normal8"/>
        <w:pBdr>
          <w:top w:val="nil"/>
          <w:left w:val="nil"/>
          <w:bottom w:val="nil"/>
          <w:right w:val="nil"/>
          <w:between w:val="nil"/>
        </w:pBdr>
        <w:tabs>
          <w:tab w:val="left" w:pos="993"/>
        </w:tabs>
        <w:spacing w:line="240" w:lineRule="auto"/>
        <w:rPr>
          <w:noProof/>
        </w:rPr>
      </w:pPr>
      <w:r>
        <w:rPr>
          <w:noProof/>
        </w:rPr>
        <w:t xml:space="preserve">CC.2. Ključne etape, ciljne vrijednosti i vremenski raspored za praćenje i provedbu programa bespovratne financijske potpore </w:t>
      </w:r>
    </w:p>
    <w:tbl>
      <w:tblPr>
        <w:tblW w:w="0" w:type="auto"/>
        <w:jc w:val="center"/>
        <w:tblLayout w:type="fixed"/>
        <w:tblLook w:val="04A0" w:firstRow="1" w:lastRow="0" w:firstColumn="1" w:lastColumn="0" w:noHBand="0" w:noVBand="1"/>
      </w:tblPr>
      <w:tblGrid>
        <w:gridCol w:w="675"/>
        <w:gridCol w:w="1418"/>
        <w:gridCol w:w="1077"/>
        <w:gridCol w:w="1307"/>
        <w:gridCol w:w="1701"/>
        <w:gridCol w:w="1077"/>
        <w:gridCol w:w="1077"/>
        <w:gridCol w:w="1077"/>
        <w:gridCol w:w="850"/>
        <w:gridCol w:w="608"/>
        <w:gridCol w:w="4745"/>
      </w:tblGrid>
      <w:tr w:rsidR="00615E2D" w14:paraId="79916E4A" w14:textId="77777777">
        <w:trPr>
          <w:trHeight w:val="107"/>
          <w:tblHeade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2BE974A1" w14:textId="77777777" w:rsidR="00615E2D" w:rsidRDefault="00C83E46">
            <w:pPr>
              <w:pStyle w:val="P68B1DB1-Normal27"/>
              <w:spacing w:line="240" w:lineRule="auto"/>
              <w:jc w:val="center"/>
              <w:rPr>
                <w:noProof/>
              </w:rPr>
            </w:pPr>
            <w:r>
              <w:rPr>
                <w:noProof/>
              </w:rPr>
              <w:t>Sljedeće NUM.</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62C11AA" w14:textId="77777777" w:rsidR="00615E2D" w:rsidRDefault="00C83E46">
            <w:pPr>
              <w:pStyle w:val="P68B1DB1-Normal9"/>
              <w:spacing w:line="240" w:lineRule="auto"/>
              <w:jc w:val="center"/>
              <w:rPr>
                <w:noProof/>
              </w:rPr>
            </w:pPr>
            <w:r>
              <w:rPr>
                <w:noProof/>
              </w:rPr>
              <w:t xml:space="preserve">Povezana mjera (reforma ili ulaganje) </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53AE840B" w14:textId="77777777" w:rsidR="00615E2D" w:rsidRDefault="00C83E46">
            <w:pPr>
              <w:pStyle w:val="P68B1DB1-Normal9"/>
              <w:spacing w:line="240" w:lineRule="auto"/>
              <w:jc w:val="center"/>
              <w:rPr>
                <w:noProof/>
              </w:rPr>
            </w:pPr>
            <w:r>
              <w:rPr>
                <w:noProof/>
              </w:rPr>
              <w:t xml:space="preserve">Ključna etapa/ciljna vrijednost </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690C794D" w14:textId="77777777" w:rsidR="00615E2D" w:rsidRDefault="00C83E46">
            <w:pPr>
              <w:pStyle w:val="P68B1DB1-Normal9"/>
              <w:spacing w:line="240" w:lineRule="auto"/>
              <w:jc w:val="center"/>
              <w:rPr>
                <w:noProof/>
              </w:rPr>
            </w:pPr>
            <w:r>
              <w:rPr>
                <w:noProof/>
              </w:rPr>
              <w:t xml:space="preserve">Ime </w:t>
            </w:r>
          </w:p>
        </w:tc>
        <w:tc>
          <w:tcPr>
            <w:tcW w:w="1701" w:type="dxa"/>
            <w:vMerge w:val="restart"/>
            <w:tcBorders>
              <w:top w:val="single" w:sz="8" w:space="0" w:color="auto"/>
              <w:left w:val="single" w:sz="4" w:space="0" w:color="auto"/>
              <w:right w:val="single" w:sz="8" w:space="0" w:color="auto"/>
            </w:tcBorders>
            <w:shd w:val="clear" w:color="auto" w:fill="BDD7EE"/>
            <w:vAlign w:val="center"/>
          </w:tcPr>
          <w:p w14:paraId="1E9680FA"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1077" w:type="dxa"/>
            <w:gridSpan w:val="3"/>
            <w:tcBorders>
              <w:top w:val="single" w:sz="8" w:space="0" w:color="auto"/>
              <w:left w:val="single" w:sz="8" w:space="0" w:color="auto"/>
              <w:bottom w:val="single" w:sz="8" w:space="0" w:color="auto"/>
              <w:right w:val="single" w:sz="8" w:space="0" w:color="000000" w:themeColor="text1"/>
            </w:tcBorders>
            <w:shd w:val="clear" w:color="auto" w:fill="BDD7EE"/>
            <w:vAlign w:val="center"/>
          </w:tcPr>
          <w:p w14:paraId="0EDEAFEB"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1458" w:type="dxa"/>
            <w:gridSpan w:val="2"/>
            <w:tcBorders>
              <w:top w:val="single" w:sz="8" w:space="0" w:color="auto"/>
              <w:left w:val="nil"/>
              <w:bottom w:val="single" w:sz="8" w:space="0" w:color="auto"/>
              <w:right w:val="single" w:sz="4" w:space="0" w:color="auto"/>
            </w:tcBorders>
            <w:shd w:val="clear" w:color="auto" w:fill="BDD7EE"/>
            <w:vAlign w:val="center"/>
          </w:tcPr>
          <w:p w14:paraId="100F8D96" w14:textId="77777777" w:rsidR="00615E2D" w:rsidRDefault="00C83E46">
            <w:pPr>
              <w:pStyle w:val="P68B1DB1-Normal9"/>
              <w:spacing w:line="240" w:lineRule="auto"/>
              <w:jc w:val="center"/>
              <w:rPr>
                <w:noProof/>
              </w:rPr>
            </w:pPr>
            <w:r>
              <w:rPr>
                <w:noProof/>
              </w:rPr>
              <w:t xml:space="preserve">Okvirni vremenski okvir za dovršetak </w:t>
            </w:r>
          </w:p>
        </w:tc>
        <w:tc>
          <w:tcPr>
            <w:tcW w:w="4745" w:type="dxa"/>
            <w:vMerge w:val="restart"/>
            <w:tcBorders>
              <w:top w:val="single" w:sz="4" w:space="0" w:color="auto"/>
              <w:left w:val="single" w:sz="4" w:space="0" w:color="auto"/>
              <w:bottom w:val="single" w:sz="4" w:space="0" w:color="auto"/>
              <w:right w:val="single" w:sz="4" w:space="0" w:color="auto"/>
            </w:tcBorders>
            <w:shd w:val="clear" w:color="auto" w:fill="BDD7EE"/>
            <w:vAlign w:val="center"/>
          </w:tcPr>
          <w:p w14:paraId="3FB76459"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5315719D" w14:textId="77777777">
        <w:trPr>
          <w:trHeight w:val="173"/>
          <w:tblHeader/>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5B41036B" w14:textId="77777777" w:rsidR="00615E2D" w:rsidRDefault="00615E2D">
            <w:pPr>
              <w:spacing w:line="240" w:lineRule="auto"/>
              <w:jc w:val="center"/>
              <w:rPr>
                <w:noProof/>
                <w:sz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82D077F" w14:textId="77777777" w:rsidR="00615E2D" w:rsidRDefault="00615E2D">
            <w:pPr>
              <w:spacing w:line="240" w:lineRule="auto"/>
              <w:jc w:val="center"/>
              <w:rPr>
                <w:noProof/>
                <w:sz w:val="16"/>
              </w:rPr>
            </w:pPr>
          </w:p>
        </w:tc>
        <w:tc>
          <w:tcPr>
            <w:tcW w:w="1077" w:type="dxa"/>
            <w:vMerge/>
            <w:tcBorders>
              <w:left w:val="single" w:sz="4" w:space="0" w:color="auto"/>
              <w:right w:val="single" w:sz="4" w:space="0" w:color="auto"/>
            </w:tcBorders>
            <w:vAlign w:val="center"/>
          </w:tcPr>
          <w:p w14:paraId="228574FF" w14:textId="77777777" w:rsidR="00615E2D" w:rsidRDefault="00615E2D">
            <w:pPr>
              <w:spacing w:line="240" w:lineRule="auto"/>
              <w:jc w:val="center"/>
              <w:rPr>
                <w:noProof/>
                <w:sz w:val="16"/>
              </w:rPr>
            </w:pPr>
          </w:p>
        </w:tc>
        <w:tc>
          <w:tcPr>
            <w:tcW w:w="1307" w:type="dxa"/>
            <w:vMerge/>
            <w:tcBorders>
              <w:top w:val="single" w:sz="4" w:space="0" w:color="auto"/>
              <w:left w:val="single" w:sz="4" w:space="0" w:color="auto"/>
              <w:bottom w:val="single" w:sz="4" w:space="0" w:color="auto"/>
              <w:right w:val="single" w:sz="4" w:space="0" w:color="auto"/>
            </w:tcBorders>
            <w:vAlign w:val="center"/>
          </w:tcPr>
          <w:p w14:paraId="74E616A7" w14:textId="77777777" w:rsidR="00615E2D" w:rsidRDefault="00615E2D">
            <w:pPr>
              <w:spacing w:line="240" w:lineRule="auto"/>
              <w:jc w:val="center"/>
              <w:rPr>
                <w:noProof/>
                <w:sz w:val="16"/>
              </w:rPr>
            </w:pPr>
          </w:p>
        </w:tc>
        <w:tc>
          <w:tcPr>
            <w:tcW w:w="1701" w:type="dxa"/>
            <w:vMerge/>
            <w:tcBorders>
              <w:left w:val="single" w:sz="4" w:space="0" w:color="auto"/>
            </w:tcBorders>
            <w:vAlign w:val="center"/>
          </w:tcPr>
          <w:p w14:paraId="39FFF177" w14:textId="77777777" w:rsidR="00615E2D" w:rsidRDefault="00615E2D">
            <w:pPr>
              <w:spacing w:line="240" w:lineRule="auto"/>
              <w:jc w:val="center"/>
              <w:rPr>
                <w:noProof/>
                <w:sz w:val="16"/>
              </w:rPr>
            </w:pPr>
          </w:p>
        </w:tc>
        <w:tc>
          <w:tcPr>
            <w:tcW w:w="1077" w:type="dxa"/>
            <w:tcBorders>
              <w:top w:val="single" w:sz="8" w:space="0" w:color="auto"/>
              <w:left w:val="single" w:sz="8" w:space="0" w:color="auto"/>
              <w:bottom w:val="single" w:sz="8" w:space="0" w:color="auto"/>
              <w:right w:val="single" w:sz="8" w:space="0" w:color="000000" w:themeColor="text1"/>
            </w:tcBorders>
            <w:shd w:val="clear" w:color="auto" w:fill="BDD7EE"/>
            <w:vAlign w:val="center"/>
          </w:tcPr>
          <w:p w14:paraId="2ADF322E" w14:textId="77777777" w:rsidR="00615E2D" w:rsidRDefault="00C83E46">
            <w:pPr>
              <w:pStyle w:val="P68B1DB1-Normal9"/>
              <w:spacing w:line="240" w:lineRule="auto"/>
              <w:jc w:val="center"/>
              <w:rPr>
                <w:noProof/>
              </w:rPr>
            </w:pPr>
            <w:r>
              <w:rPr>
                <w:noProof/>
              </w:rPr>
              <w:t>Jedinica mjere</w:t>
            </w:r>
          </w:p>
        </w:tc>
        <w:tc>
          <w:tcPr>
            <w:tcW w:w="1077" w:type="dxa"/>
            <w:tcBorders>
              <w:top w:val="nil"/>
              <w:left w:val="single" w:sz="8" w:space="0" w:color="auto"/>
              <w:bottom w:val="single" w:sz="8" w:space="0" w:color="auto"/>
              <w:right w:val="single" w:sz="8" w:space="0" w:color="auto"/>
            </w:tcBorders>
            <w:shd w:val="clear" w:color="auto" w:fill="BDD7EE"/>
            <w:vAlign w:val="center"/>
          </w:tcPr>
          <w:p w14:paraId="4F94E148" w14:textId="77777777" w:rsidR="00615E2D" w:rsidRDefault="00C83E46">
            <w:pPr>
              <w:pStyle w:val="P68B1DB1-Normal9"/>
              <w:spacing w:line="240" w:lineRule="auto"/>
              <w:jc w:val="center"/>
              <w:rPr>
                <w:noProof/>
              </w:rPr>
            </w:pPr>
            <w:r>
              <w:rPr>
                <w:noProof/>
              </w:rPr>
              <w:t>Osnovna vrijednost</w:t>
            </w:r>
          </w:p>
        </w:tc>
        <w:tc>
          <w:tcPr>
            <w:tcW w:w="1077" w:type="dxa"/>
            <w:tcBorders>
              <w:top w:val="nil"/>
              <w:left w:val="single" w:sz="8" w:space="0" w:color="auto"/>
              <w:bottom w:val="single" w:sz="8" w:space="0" w:color="auto"/>
              <w:right w:val="single" w:sz="8" w:space="0" w:color="000000" w:themeColor="text1"/>
            </w:tcBorders>
            <w:shd w:val="clear" w:color="auto" w:fill="BDD7EE"/>
            <w:vAlign w:val="center"/>
          </w:tcPr>
          <w:p w14:paraId="1D936771" w14:textId="77777777" w:rsidR="00615E2D" w:rsidRDefault="00C83E46">
            <w:pPr>
              <w:pStyle w:val="P68B1DB1-Normal9"/>
              <w:spacing w:line="240" w:lineRule="auto"/>
              <w:jc w:val="center"/>
              <w:rPr>
                <w:noProof/>
              </w:rPr>
            </w:pPr>
            <w:r>
              <w:rPr>
                <w:noProof/>
              </w:rPr>
              <w:t>Cilj</w:t>
            </w:r>
          </w:p>
        </w:tc>
        <w:tc>
          <w:tcPr>
            <w:tcW w:w="850" w:type="dxa"/>
            <w:tcBorders>
              <w:top w:val="single" w:sz="8" w:space="0" w:color="auto"/>
              <w:left w:val="single" w:sz="8" w:space="0" w:color="auto"/>
              <w:bottom w:val="single" w:sz="8" w:space="0" w:color="auto"/>
              <w:right w:val="single" w:sz="8" w:space="0" w:color="000000" w:themeColor="text1"/>
            </w:tcBorders>
            <w:shd w:val="clear" w:color="auto" w:fill="BDD7EE"/>
            <w:vAlign w:val="center"/>
          </w:tcPr>
          <w:p w14:paraId="3AF41D30" w14:textId="77777777" w:rsidR="00615E2D" w:rsidRDefault="00C83E46">
            <w:pPr>
              <w:pStyle w:val="P68B1DB1-Normal9"/>
              <w:spacing w:line="240" w:lineRule="auto"/>
              <w:jc w:val="center"/>
              <w:rPr>
                <w:noProof/>
              </w:rPr>
            </w:pPr>
            <w:r>
              <w:rPr>
                <w:noProof/>
              </w:rPr>
              <w:t>Tromjesečje</w:t>
            </w:r>
          </w:p>
        </w:tc>
        <w:tc>
          <w:tcPr>
            <w:tcW w:w="608" w:type="dxa"/>
            <w:tcBorders>
              <w:top w:val="nil"/>
              <w:left w:val="single" w:sz="8" w:space="0" w:color="auto"/>
              <w:bottom w:val="single" w:sz="8" w:space="0" w:color="auto"/>
              <w:right w:val="single" w:sz="4" w:space="0" w:color="auto"/>
            </w:tcBorders>
            <w:shd w:val="clear" w:color="auto" w:fill="BDD7EE"/>
            <w:vAlign w:val="center"/>
          </w:tcPr>
          <w:p w14:paraId="42108AB0" w14:textId="77777777" w:rsidR="00615E2D" w:rsidRDefault="00C83E46">
            <w:pPr>
              <w:pStyle w:val="P68B1DB1-Normal9"/>
              <w:spacing w:line="240" w:lineRule="auto"/>
              <w:jc w:val="center"/>
              <w:rPr>
                <w:noProof/>
              </w:rPr>
            </w:pPr>
            <w:r>
              <w:rPr>
                <w:noProof/>
              </w:rPr>
              <w:t>Godina</w:t>
            </w:r>
          </w:p>
        </w:tc>
        <w:tc>
          <w:tcPr>
            <w:tcW w:w="4745" w:type="dxa"/>
            <w:vMerge/>
            <w:tcBorders>
              <w:bottom w:val="single" w:sz="4" w:space="0" w:color="auto"/>
              <w:right w:val="single" w:sz="4" w:space="0" w:color="auto"/>
            </w:tcBorders>
            <w:vAlign w:val="center"/>
          </w:tcPr>
          <w:p w14:paraId="0FA54A06" w14:textId="77777777" w:rsidR="00615E2D" w:rsidRDefault="00615E2D">
            <w:pPr>
              <w:spacing w:line="240" w:lineRule="auto"/>
              <w:jc w:val="center"/>
              <w:rPr>
                <w:noProof/>
                <w:sz w:val="16"/>
              </w:rPr>
            </w:pPr>
          </w:p>
        </w:tc>
      </w:tr>
      <w:tr w:rsidR="00615E2D" w14:paraId="7147F639" w14:textId="77777777">
        <w:trPr>
          <w:trHeight w:val="1845"/>
          <w:jc w:val="center"/>
        </w:trPr>
        <w:tc>
          <w:tcPr>
            <w:tcW w:w="675" w:type="dxa"/>
            <w:tcBorders>
              <w:top w:val="single" w:sz="4" w:space="0" w:color="auto"/>
              <w:left w:val="single" w:sz="8" w:space="0" w:color="auto"/>
              <w:bottom w:val="single" w:sz="8" w:space="0" w:color="auto"/>
              <w:right w:val="single" w:sz="8" w:space="0" w:color="auto"/>
            </w:tcBorders>
            <w:shd w:val="clear" w:color="auto" w:fill="C6EFCE"/>
            <w:vAlign w:val="center"/>
          </w:tcPr>
          <w:p w14:paraId="78B47F08" w14:textId="77777777" w:rsidR="00615E2D" w:rsidRDefault="00C83E46">
            <w:pPr>
              <w:pStyle w:val="P68B1DB1-Normal28"/>
              <w:spacing w:line="240" w:lineRule="auto"/>
              <w:jc w:val="center"/>
              <w:rPr>
                <w:noProof/>
              </w:rPr>
            </w:pPr>
            <w:r>
              <w:rPr>
                <w:noProof/>
              </w:rPr>
              <w:t>231</w:t>
            </w:r>
          </w:p>
        </w:tc>
        <w:tc>
          <w:tcPr>
            <w:tcW w:w="1418" w:type="dxa"/>
            <w:tcBorders>
              <w:top w:val="single" w:sz="4" w:space="0" w:color="auto"/>
              <w:left w:val="single" w:sz="8" w:space="0" w:color="auto"/>
              <w:bottom w:val="single" w:sz="8" w:space="0" w:color="auto"/>
              <w:right w:val="single" w:sz="8" w:space="0" w:color="auto"/>
            </w:tcBorders>
            <w:shd w:val="clear" w:color="auto" w:fill="C6EFCE"/>
            <w:vAlign w:val="center"/>
          </w:tcPr>
          <w:p w14:paraId="3F7A3E6E" w14:textId="77777777" w:rsidR="00615E2D" w:rsidRDefault="00C83E46">
            <w:pPr>
              <w:pStyle w:val="P68B1DB1-Normal28"/>
              <w:spacing w:line="240" w:lineRule="auto"/>
              <w:rPr>
                <w:noProof/>
              </w:rPr>
            </w:pPr>
            <w:r>
              <w:rPr>
                <w:noProof/>
              </w:rPr>
              <w:t xml:space="preserve">Reforma 1.: Poboljšanje obrazovanja zdravstvenih djelatnika </w:t>
            </w:r>
          </w:p>
        </w:tc>
        <w:tc>
          <w:tcPr>
            <w:tcW w:w="1077" w:type="dxa"/>
            <w:tcBorders>
              <w:top w:val="single" w:sz="4" w:space="0" w:color="auto"/>
              <w:left w:val="single" w:sz="8" w:space="0" w:color="auto"/>
              <w:bottom w:val="single" w:sz="8" w:space="0" w:color="auto"/>
              <w:right w:val="single" w:sz="8" w:space="0" w:color="auto"/>
            </w:tcBorders>
            <w:shd w:val="clear" w:color="auto" w:fill="C6EFCE"/>
            <w:vAlign w:val="center"/>
          </w:tcPr>
          <w:p w14:paraId="4FB9EAC9" w14:textId="77777777" w:rsidR="00615E2D" w:rsidRDefault="00C83E46">
            <w:pPr>
              <w:pStyle w:val="P68B1DB1-Normal28"/>
              <w:spacing w:line="240" w:lineRule="auto"/>
              <w:rPr>
                <w:noProof/>
              </w:rPr>
            </w:pPr>
            <w:r>
              <w:rPr>
                <w:noProof/>
              </w:rPr>
              <w:t>Prekretnica</w:t>
            </w:r>
          </w:p>
        </w:tc>
        <w:tc>
          <w:tcPr>
            <w:tcW w:w="1307" w:type="dxa"/>
            <w:tcBorders>
              <w:top w:val="single" w:sz="4" w:space="0" w:color="auto"/>
              <w:left w:val="single" w:sz="8" w:space="0" w:color="auto"/>
              <w:bottom w:val="single" w:sz="8" w:space="0" w:color="auto"/>
              <w:right w:val="single" w:sz="8" w:space="0" w:color="auto"/>
            </w:tcBorders>
            <w:shd w:val="clear" w:color="auto" w:fill="C6EFCE"/>
            <w:vAlign w:val="center"/>
          </w:tcPr>
          <w:p w14:paraId="2A70FF48" w14:textId="77777777" w:rsidR="00615E2D" w:rsidRDefault="00C83E46">
            <w:pPr>
              <w:pStyle w:val="P68B1DB1-Normal28"/>
              <w:spacing w:line="240" w:lineRule="auto"/>
              <w:rPr>
                <w:noProof/>
              </w:rPr>
            </w:pPr>
            <w:r>
              <w:rPr>
                <w:noProof/>
              </w:rPr>
              <w:t>Elektronički sustav za upravljanje, administraciju i evaluaciju osposobljavanja zdravstvenih djelatnika</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bottom"/>
          </w:tcPr>
          <w:p w14:paraId="4BFE33F7" w14:textId="77777777" w:rsidR="00615E2D" w:rsidRDefault="00C83E46">
            <w:pPr>
              <w:pStyle w:val="P68B1DB1-Normal28"/>
              <w:spacing w:line="240" w:lineRule="auto"/>
              <w:rPr>
                <w:noProof/>
              </w:rPr>
            </w:pPr>
            <w:r>
              <w:rPr>
                <w:noProof/>
              </w:rPr>
              <w:t xml:space="preserve">Osnovna platforma za elektronički sustav upravljanja, administracije i evaluacije obrazovanja zdravstvenih radnika koji je pušten u rad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21C5728"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4487DDC" w14:textId="77777777" w:rsidR="00615E2D" w:rsidRDefault="00615E2D">
            <w:pPr>
              <w:spacing w:line="240" w:lineRule="auto"/>
              <w:jc w:val="center"/>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C114328"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2D4A0E07" w14:textId="77777777" w:rsidR="00615E2D" w:rsidRDefault="00C83E46">
            <w:pPr>
              <w:pStyle w:val="P68B1DB1-Normal28"/>
              <w:spacing w:line="240" w:lineRule="auto"/>
              <w:jc w:val="center"/>
              <w:rPr>
                <w:noProof/>
              </w:rPr>
            </w:pPr>
            <w:r>
              <w:rPr>
                <w:noProof/>
              </w:rPr>
              <w:t>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0D08FABD" w14:textId="77777777" w:rsidR="00615E2D" w:rsidRDefault="00C83E46">
            <w:pPr>
              <w:pStyle w:val="P68B1DB1-Normal28"/>
              <w:spacing w:line="240" w:lineRule="auto"/>
              <w:jc w:val="center"/>
              <w:rPr>
                <w:noProof/>
              </w:rPr>
            </w:pPr>
            <w:r>
              <w:rPr>
                <w:noProof/>
              </w:rPr>
              <w:t>2024</w:t>
            </w:r>
          </w:p>
        </w:tc>
        <w:tc>
          <w:tcPr>
            <w:tcW w:w="4745" w:type="dxa"/>
            <w:tcBorders>
              <w:top w:val="single" w:sz="4" w:space="0" w:color="auto"/>
              <w:left w:val="single" w:sz="8" w:space="0" w:color="auto"/>
              <w:bottom w:val="single" w:sz="8" w:space="0" w:color="auto"/>
              <w:right w:val="single" w:sz="8" w:space="0" w:color="auto"/>
            </w:tcBorders>
            <w:shd w:val="clear" w:color="auto" w:fill="C6EFCE"/>
            <w:vAlign w:val="center"/>
          </w:tcPr>
          <w:p w14:paraId="2C87D01F" w14:textId="77777777" w:rsidR="00615E2D" w:rsidRDefault="00C83E46">
            <w:pPr>
              <w:pStyle w:val="P68B1DB1-Normal28"/>
              <w:spacing w:after="0" w:line="259" w:lineRule="auto"/>
              <w:contextualSpacing/>
              <w:rPr>
                <w:noProof/>
              </w:rPr>
            </w:pPr>
            <w:r>
              <w:rPr>
                <w:noProof/>
              </w:rPr>
              <w:t xml:space="preserve">Ministarstvo zdravstva uspostavilo je osnovnu platformu za novi elektronički sustav upravljanja, administracije i evaluacije obrazovanja zdravstvenih radnika. Elektronički sustav dalje se razvija i dopunjuje modulima u skladu s obrazovnim potrebama. </w:t>
            </w:r>
          </w:p>
        </w:tc>
      </w:tr>
      <w:tr w:rsidR="00615E2D" w14:paraId="40E2CB0E"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70BDD50D" w14:textId="77777777" w:rsidR="00615E2D" w:rsidRDefault="00C83E46">
            <w:pPr>
              <w:pStyle w:val="P68B1DB1-Normal28"/>
              <w:spacing w:line="240" w:lineRule="auto"/>
              <w:jc w:val="center"/>
              <w:rPr>
                <w:noProof/>
              </w:rPr>
            </w:pPr>
            <w:r>
              <w:rPr>
                <w:noProof/>
              </w:rPr>
              <w:t>232</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3DA346BD" w14:textId="77777777" w:rsidR="00615E2D" w:rsidRDefault="00C83E46">
            <w:pPr>
              <w:pStyle w:val="P68B1DB1-Normal28"/>
              <w:spacing w:line="240" w:lineRule="auto"/>
              <w:rPr>
                <w:noProof/>
              </w:rPr>
            </w:pPr>
            <w:r>
              <w:rPr>
                <w:noProof/>
              </w:rPr>
              <w:t>Ulaganje 1: Osnivanje centra za intenzivnu medicinu i optimizacija obrazovnog sustava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BDD939B" w14:textId="77777777" w:rsidR="00615E2D" w:rsidRDefault="00C83E46">
            <w:pPr>
              <w:pStyle w:val="P68B1DB1-Normal28"/>
              <w:spacing w:line="240" w:lineRule="auto"/>
              <w:rPr>
                <w:noProof/>
              </w:rPr>
            </w:pPr>
            <w:r>
              <w:rPr>
                <w:noProof/>
              </w:rPr>
              <w:t>Prekretnica</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3E747E12" w14:textId="77777777" w:rsidR="00615E2D" w:rsidRDefault="00C83E46">
            <w:pPr>
              <w:pStyle w:val="P68B1DB1-Normal11"/>
              <w:spacing w:line="240" w:lineRule="auto"/>
              <w:rPr>
                <w:noProof/>
              </w:rPr>
            </w:pPr>
            <w:r>
              <w:rPr>
                <w:noProof/>
              </w:rPr>
              <w:t xml:space="preserve">Poziv na podnošenje ponuda za izgradnju Centra za intenzivnu medicinu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16154D70" w14:textId="77777777" w:rsidR="00615E2D" w:rsidRDefault="00C83E46">
            <w:pPr>
              <w:pStyle w:val="P68B1DB1-Normal11"/>
              <w:spacing w:line="240" w:lineRule="auto"/>
              <w:rPr>
                <w:noProof/>
              </w:rPr>
            </w:pPr>
            <w:r>
              <w:rPr>
                <w:noProof/>
              </w:rPr>
              <w:t>Obavijest o dodjeli otvorenog i javnog natječaja ugovaratelju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4A486D72"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79B8B40" w14:textId="77777777" w:rsidR="00615E2D" w:rsidRDefault="00615E2D">
            <w:pPr>
              <w:spacing w:line="240" w:lineRule="auto"/>
              <w:jc w:val="center"/>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539F21E"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1B0A108A" w14:textId="77777777" w:rsidR="00615E2D" w:rsidRDefault="00C83E46">
            <w:pPr>
              <w:pStyle w:val="P68B1DB1-Normal28"/>
              <w:spacing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6C2934FA" w14:textId="77777777" w:rsidR="00615E2D" w:rsidRDefault="00C83E46">
            <w:pPr>
              <w:pStyle w:val="P68B1DB1-Normal28"/>
              <w:spacing w:line="240" w:lineRule="auto"/>
              <w:jc w:val="center"/>
              <w:rPr>
                <w:noProof/>
              </w:rPr>
            </w:pPr>
            <w:r>
              <w:rPr>
                <w:noProof/>
              </w:rPr>
              <w:t>2022</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03E25987" w14:textId="77777777" w:rsidR="00615E2D" w:rsidRDefault="00C83E46">
            <w:pPr>
              <w:pStyle w:val="P68B1DB1-Normal28"/>
              <w:spacing w:line="240" w:lineRule="auto"/>
              <w:rPr>
                <w:noProof/>
              </w:rPr>
            </w:pPr>
            <w:r>
              <w:rPr>
                <w:noProof/>
              </w:rPr>
              <w:t xml:space="preserve">Obavijest o dodjeli ugovora o javnoj nabavi za izgradnju Centra za intenzivnu medicinu koji će pružati osposobljavanje zdravstvenih djelatnika u širokom rasponu područja medicine: </w:t>
            </w:r>
          </w:p>
          <w:p w14:paraId="1D914984" w14:textId="77777777" w:rsidR="00615E2D" w:rsidRDefault="00C83E46">
            <w:pPr>
              <w:pStyle w:val="P68B1DB1-Normal28"/>
              <w:numPr>
                <w:ilvl w:val="0"/>
                <w:numId w:val="192"/>
              </w:numPr>
              <w:spacing w:before="0" w:after="0" w:line="240" w:lineRule="auto"/>
              <w:contextualSpacing/>
              <w:rPr>
                <w:noProof/>
              </w:rPr>
            </w:pPr>
            <w:r>
              <w:rPr>
                <w:noProof/>
              </w:rPr>
              <w:t xml:space="preserve">Anestezija i oživljavanje </w:t>
            </w:r>
          </w:p>
          <w:p w14:paraId="69BE0CA4" w14:textId="77777777" w:rsidR="00615E2D" w:rsidRDefault="00C83E46">
            <w:pPr>
              <w:pStyle w:val="P68B1DB1-Normal28"/>
              <w:numPr>
                <w:ilvl w:val="0"/>
                <w:numId w:val="192"/>
              </w:numPr>
              <w:spacing w:before="0" w:after="0" w:line="240" w:lineRule="auto"/>
              <w:contextualSpacing/>
              <w:rPr>
                <w:noProof/>
              </w:rPr>
            </w:pPr>
            <w:r>
              <w:rPr>
                <w:noProof/>
              </w:rPr>
              <w:t>Drugo osposobljavanje u području medicinskih i nemedicinskih vještina povezano s hitnim situacijama</w:t>
            </w:r>
          </w:p>
          <w:p w14:paraId="3AF7D88E" w14:textId="77777777" w:rsidR="00615E2D" w:rsidRDefault="00C83E46">
            <w:pPr>
              <w:pStyle w:val="P68B1DB1-Normal28"/>
              <w:numPr>
                <w:ilvl w:val="0"/>
                <w:numId w:val="192"/>
              </w:numPr>
              <w:spacing w:before="0" w:after="0" w:line="240" w:lineRule="auto"/>
              <w:contextualSpacing/>
              <w:rPr>
                <w:noProof/>
              </w:rPr>
            </w:pPr>
            <w:r>
              <w:rPr>
                <w:noProof/>
              </w:rPr>
              <w:t xml:space="preserve">Predbolnička skrb i vozilo hitne pomoći </w:t>
            </w:r>
          </w:p>
          <w:p w14:paraId="513B856B" w14:textId="77777777" w:rsidR="00615E2D" w:rsidRDefault="00C83E46">
            <w:pPr>
              <w:pStyle w:val="P68B1DB1-Normal28"/>
              <w:numPr>
                <w:ilvl w:val="0"/>
                <w:numId w:val="192"/>
              </w:numPr>
              <w:spacing w:before="0" w:after="0" w:line="240" w:lineRule="auto"/>
              <w:contextualSpacing/>
              <w:rPr>
                <w:noProof/>
              </w:rPr>
            </w:pPr>
            <w:r>
              <w:rPr>
                <w:noProof/>
              </w:rPr>
              <w:t xml:space="preserve">Hitan prihvat </w:t>
            </w:r>
          </w:p>
          <w:p w14:paraId="737A3ECC" w14:textId="77777777" w:rsidR="00615E2D" w:rsidRDefault="00C83E46">
            <w:pPr>
              <w:pStyle w:val="P68B1DB1-Normal28"/>
              <w:numPr>
                <w:ilvl w:val="0"/>
                <w:numId w:val="192"/>
              </w:numPr>
              <w:spacing w:before="0" w:after="0" w:line="240" w:lineRule="auto"/>
              <w:contextualSpacing/>
              <w:rPr>
                <w:noProof/>
              </w:rPr>
            </w:pPr>
            <w:r>
              <w:rPr>
                <w:noProof/>
              </w:rPr>
              <w:t>Jedinice za intenzivnu njegu i višenamjenska operativna prostorija</w:t>
            </w:r>
          </w:p>
          <w:p w14:paraId="33C80BA6" w14:textId="77777777" w:rsidR="00615E2D" w:rsidRDefault="00C83E46">
            <w:pPr>
              <w:pStyle w:val="P68B1DB1-Normal28"/>
              <w:numPr>
                <w:ilvl w:val="0"/>
                <w:numId w:val="192"/>
              </w:numPr>
              <w:spacing w:before="0" w:after="0" w:line="240" w:lineRule="auto"/>
              <w:contextualSpacing/>
              <w:rPr>
                <w:noProof/>
              </w:rPr>
            </w:pPr>
            <w:r>
              <w:rPr>
                <w:noProof/>
              </w:rPr>
              <w:t xml:space="preserve">Integrirani sustav spašavanja </w:t>
            </w:r>
          </w:p>
          <w:p w14:paraId="1C73BCBE" w14:textId="77777777" w:rsidR="00615E2D" w:rsidRDefault="00C83E46">
            <w:pPr>
              <w:pStyle w:val="P68B1DB1-Normal28"/>
              <w:numPr>
                <w:ilvl w:val="0"/>
                <w:numId w:val="192"/>
              </w:numPr>
              <w:spacing w:before="0" w:after="0" w:line="240" w:lineRule="auto"/>
              <w:contextualSpacing/>
              <w:rPr>
                <w:noProof/>
              </w:rPr>
            </w:pPr>
            <w:r>
              <w:rPr>
                <w:noProof/>
              </w:rPr>
              <w:t>Meke vještine – timska komunikacija, komunikacija u kriznim situacijama, vodstvo.</w:t>
            </w:r>
          </w:p>
          <w:p w14:paraId="1F1C8BE8" w14:textId="77777777" w:rsidR="00615E2D" w:rsidRDefault="00615E2D">
            <w:pPr>
              <w:spacing w:before="0" w:after="0" w:line="259" w:lineRule="auto"/>
              <w:rPr>
                <w:noProof/>
                <w:color w:val="006100"/>
                <w:sz w:val="18"/>
              </w:rPr>
            </w:pPr>
          </w:p>
          <w:p w14:paraId="253016AE" w14:textId="77777777" w:rsidR="00615E2D" w:rsidRDefault="00C83E46">
            <w:pPr>
              <w:pStyle w:val="P68B1DB1-Normal28"/>
              <w:spacing w:before="0" w:after="0" w:line="259" w:lineRule="auto"/>
              <w:rPr>
                <w:noProof/>
              </w:rPr>
            </w:pPr>
            <w:r>
              <w:rPr>
                <w:noProof/>
              </w:rPr>
              <w:t xml:space="preserve">Izvoditelj se odabire putem otvorenih postupaka javnog natječaja. Procjena potreba provodi se prije objave natječaja. </w:t>
            </w:r>
          </w:p>
        </w:tc>
      </w:tr>
      <w:tr w:rsidR="00615E2D" w14:paraId="44DCBEF2" w14:textId="77777777">
        <w:trPr>
          <w:trHeight w:val="461"/>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5794BA9E" w14:textId="77777777" w:rsidR="00615E2D" w:rsidRDefault="00C83E46">
            <w:pPr>
              <w:pStyle w:val="P68B1DB1-Normal28"/>
              <w:spacing w:line="240" w:lineRule="auto"/>
              <w:jc w:val="center"/>
              <w:rPr>
                <w:noProof/>
              </w:rPr>
            </w:pPr>
            <w:r>
              <w:rPr>
                <w:noProof/>
              </w:rPr>
              <w:t>233</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7FC813C4" w14:textId="77777777" w:rsidR="00615E2D" w:rsidRDefault="00C83E46">
            <w:pPr>
              <w:pStyle w:val="P68B1DB1-Normal28"/>
              <w:spacing w:line="240" w:lineRule="auto"/>
              <w:rPr>
                <w:noProof/>
              </w:rPr>
            </w:pPr>
            <w:r>
              <w:rPr>
                <w:noProof/>
              </w:rPr>
              <w:t>Ulaganje 1: Osnivanje centra za intenzivnu medicinu i optimizacija obrazovnog sustava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9AB3446" w14:textId="77777777" w:rsidR="00615E2D" w:rsidRDefault="00C83E46">
            <w:pPr>
              <w:pStyle w:val="P68B1DB1-Normal28"/>
              <w:spacing w:line="240" w:lineRule="auto"/>
              <w:rPr>
                <w:noProof/>
              </w:rPr>
            </w:pPr>
            <w:r>
              <w:rPr>
                <w:noProof/>
              </w:rPr>
              <w:t>Prekretnica</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780134D2" w14:textId="77777777" w:rsidR="00615E2D" w:rsidRDefault="00C83E46">
            <w:pPr>
              <w:pStyle w:val="P68B1DB1-Normal28"/>
              <w:spacing w:line="240" w:lineRule="auto"/>
              <w:rPr>
                <w:noProof/>
              </w:rPr>
            </w:pPr>
            <w:r>
              <w:rPr>
                <w:noProof/>
              </w:rPr>
              <w:t xml:space="preserve">Pušten u rad centra za intenzivnu medicinu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615462DC" w14:textId="77777777" w:rsidR="00615E2D" w:rsidRDefault="00C83E46">
            <w:pPr>
              <w:pStyle w:val="P68B1DB1-Normal28"/>
              <w:spacing w:line="240" w:lineRule="auto"/>
              <w:rPr>
                <w:noProof/>
              </w:rPr>
            </w:pPr>
            <w:r>
              <w:rPr>
                <w:noProof/>
              </w:rPr>
              <w:t>Izgrađen, potpuno opremljen i pušten u rad centra za intenzivnu medicinu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D617473"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1EBD5A83" w14:textId="77777777" w:rsidR="00615E2D" w:rsidRDefault="00615E2D">
            <w:pPr>
              <w:spacing w:line="240" w:lineRule="auto"/>
              <w:jc w:val="center"/>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61461B72"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5997C5AB" w14:textId="77777777" w:rsidR="00615E2D" w:rsidRDefault="00C83E46">
            <w:pPr>
              <w:pStyle w:val="P68B1DB1-Normal28"/>
              <w:spacing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2E87287C" w14:textId="77777777"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1228DE16" w14:textId="3AD853F2" w:rsidR="00615E2D" w:rsidRDefault="00C83E46">
            <w:pPr>
              <w:pStyle w:val="P68B1DB1-Normal28"/>
              <w:spacing w:line="240" w:lineRule="auto"/>
              <w:rPr>
                <w:noProof/>
              </w:rPr>
            </w:pPr>
            <w:r>
              <w:rPr>
                <w:noProof/>
              </w:rPr>
              <w:t xml:space="preserve">Centar za intenzivnu medicinu mora biti izgrađen, potpuno opremljen i pušten u rad. Kapacitet bi trebao biti dovoljan kako bi se osiguralo osposobljavanje najmanje 1500 zdravstvenih djelatnika godišnje u centru. </w:t>
            </w:r>
          </w:p>
        </w:tc>
      </w:tr>
      <w:tr w:rsidR="00615E2D" w14:paraId="2E31AB52"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6396124B" w14:textId="77777777" w:rsidR="00615E2D" w:rsidRDefault="00C83E46">
            <w:pPr>
              <w:pStyle w:val="P68B1DB1-Normal28"/>
              <w:spacing w:line="240" w:lineRule="auto"/>
              <w:jc w:val="center"/>
              <w:rPr>
                <w:noProof/>
              </w:rPr>
            </w:pPr>
            <w:r>
              <w:rPr>
                <w:noProof/>
              </w:rPr>
              <w:t>234</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0F48B2EC" w14:textId="77777777" w:rsidR="00615E2D" w:rsidRDefault="00C83E46">
            <w:pPr>
              <w:pStyle w:val="P68B1DB1-Normal28"/>
              <w:spacing w:line="240" w:lineRule="auto"/>
              <w:rPr>
                <w:noProof/>
              </w:rPr>
            </w:pPr>
            <w:r>
              <w:rPr>
                <w:noProof/>
              </w:rPr>
              <w:t>Ulaganje 2: Rehabilitacijska skrb za pacijente koji se oporavljaju od kritičnih stanja</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7304BBE2" w14:textId="77777777" w:rsidR="00615E2D" w:rsidRDefault="00C83E46">
            <w:pPr>
              <w:pStyle w:val="P68B1DB1-Normal28"/>
              <w:spacing w:line="240" w:lineRule="auto"/>
              <w:rPr>
                <w:noProof/>
              </w:rPr>
            </w:pPr>
            <w:r>
              <w:rPr>
                <w:noProof/>
              </w:rPr>
              <w:t>Ciljna</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17A8B721" w14:textId="77777777" w:rsidR="00615E2D" w:rsidRDefault="00C83E46">
            <w:pPr>
              <w:pStyle w:val="P68B1DB1-Normal28"/>
              <w:spacing w:line="240" w:lineRule="auto"/>
              <w:rPr>
                <w:noProof/>
              </w:rPr>
            </w:pPr>
            <w:r>
              <w:rPr>
                <w:noProof/>
              </w:rPr>
              <w:t xml:space="preserve">Potpora rehabilitaciji </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bottom"/>
          </w:tcPr>
          <w:p w14:paraId="3E86215D"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3ABAC55A" w14:textId="77777777" w:rsidR="00615E2D" w:rsidRDefault="00C83E46">
            <w:pPr>
              <w:pStyle w:val="P68B1DB1-Normal28"/>
              <w:spacing w:line="240" w:lineRule="auto"/>
              <w:rPr>
                <w:noProof/>
              </w:rPr>
            </w:pPr>
            <w:r>
              <w:rPr>
                <w:noProof/>
              </w:rPr>
              <w:t xml:space="preserve"> Broj</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A31DBFF" w14:textId="77777777" w:rsidR="00615E2D" w:rsidRDefault="00C83E46">
            <w:pPr>
              <w:pStyle w:val="P68B1DB1-Normal28"/>
              <w:spacing w:line="240" w:lineRule="auto"/>
              <w:jc w:val="center"/>
              <w:rPr>
                <w:noProof/>
              </w:rPr>
            </w:pPr>
            <w:r>
              <w:rPr>
                <w:noProof/>
              </w:rPr>
              <w:t>0</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5D1985B" w14:textId="77777777" w:rsidR="00615E2D" w:rsidRDefault="00C83E46">
            <w:pPr>
              <w:pStyle w:val="P68B1DB1-Normal28"/>
              <w:spacing w:line="240" w:lineRule="auto"/>
              <w:jc w:val="center"/>
              <w:rPr>
                <w:noProof/>
              </w:rPr>
            </w:pPr>
            <w:r>
              <w:rPr>
                <w:noProof/>
              </w:rPr>
              <w:t>19</w:t>
            </w: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64CEC947" w14:textId="77777777" w:rsidR="00615E2D" w:rsidRDefault="00C83E46">
            <w:pPr>
              <w:pStyle w:val="P68B1DB1-Normal28"/>
              <w:spacing w:line="240" w:lineRule="auto"/>
              <w:jc w:val="center"/>
              <w:rPr>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6C0C8A0C" w14:textId="77777777" w:rsidR="00615E2D" w:rsidRDefault="00C83E46">
            <w:pPr>
              <w:pStyle w:val="P68B1DB1-Normal28"/>
              <w:spacing w:line="240" w:lineRule="auto"/>
              <w:jc w:val="center"/>
              <w:rPr>
                <w:noProof/>
              </w:rPr>
            </w:pPr>
            <w:r>
              <w:rPr>
                <w:noProof/>
              </w:rPr>
              <w:t>2024</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3818E5B9" w14:textId="64EAE799" w:rsidR="00615E2D" w:rsidRDefault="00C83E46">
            <w:pPr>
              <w:pStyle w:val="P68B1DB1-Normal28"/>
              <w:pBdr>
                <w:top w:val="nil"/>
                <w:left w:val="nil"/>
                <w:bottom w:val="nil"/>
                <w:right w:val="nil"/>
                <w:between w:val="nil"/>
              </w:pBdr>
              <w:spacing w:after="0" w:line="259" w:lineRule="auto"/>
              <w:rPr>
                <w:noProof/>
              </w:rPr>
            </w:pPr>
            <w:r>
              <w:rPr>
                <w:noProof/>
              </w:rPr>
              <w:t>Potpora se usmjerava putem programa bespovratnih sredstava u ukupnom iznosu od 61 660 000 EUR. Njima se podupire najmanje 19 projekata za povećanje kapaciteta rehabilitacije pacijenata nakon kritičnih stanja u javnim bolnicama.</w:t>
            </w:r>
          </w:p>
        </w:tc>
      </w:tr>
      <w:tr w:rsidR="00615E2D" w14:paraId="013C7FB6" w14:textId="77777777">
        <w:trPr>
          <w:trHeight w:val="945"/>
          <w:jc w:val="center"/>
        </w:trPr>
        <w:tc>
          <w:tcPr>
            <w:tcW w:w="675" w:type="dxa"/>
            <w:tcBorders>
              <w:top w:val="single" w:sz="8" w:space="0" w:color="auto"/>
              <w:left w:val="single" w:sz="8" w:space="0" w:color="auto"/>
              <w:bottom w:val="single" w:sz="8" w:space="0" w:color="auto"/>
              <w:right w:val="single" w:sz="8" w:space="0" w:color="auto"/>
            </w:tcBorders>
            <w:shd w:val="clear" w:color="auto" w:fill="C6EFCE"/>
            <w:vAlign w:val="center"/>
          </w:tcPr>
          <w:p w14:paraId="42863CB5" w14:textId="77777777" w:rsidR="00615E2D" w:rsidRDefault="00C83E46">
            <w:pPr>
              <w:pStyle w:val="P68B1DB1-Normal28"/>
              <w:spacing w:line="240" w:lineRule="auto"/>
              <w:jc w:val="center"/>
              <w:rPr>
                <w:noProof/>
              </w:rPr>
            </w:pPr>
            <w:r>
              <w:rPr>
                <w:noProof/>
              </w:rPr>
              <w:t>235</w:t>
            </w:r>
          </w:p>
        </w:tc>
        <w:tc>
          <w:tcPr>
            <w:tcW w:w="1418" w:type="dxa"/>
            <w:tcBorders>
              <w:top w:val="single" w:sz="8" w:space="0" w:color="auto"/>
              <w:left w:val="single" w:sz="8" w:space="0" w:color="auto"/>
              <w:bottom w:val="single" w:sz="8" w:space="0" w:color="auto"/>
              <w:right w:val="single" w:sz="8" w:space="0" w:color="auto"/>
            </w:tcBorders>
            <w:shd w:val="clear" w:color="auto" w:fill="C6EFCE"/>
            <w:vAlign w:val="center"/>
          </w:tcPr>
          <w:p w14:paraId="32D3D661" w14:textId="77777777" w:rsidR="00615E2D" w:rsidRDefault="00C83E46">
            <w:pPr>
              <w:pStyle w:val="P68B1DB1-Normal28"/>
              <w:spacing w:line="240" w:lineRule="auto"/>
              <w:rPr>
                <w:noProof/>
              </w:rPr>
            </w:pPr>
            <w:r>
              <w:rPr>
                <w:noProof/>
              </w:rPr>
              <w:t>Ulaganje 3: Izgradnja centra za kardiovaskularnu i transplantacijsku medicinu</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03D40CED" w14:textId="77777777" w:rsidR="00615E2D" w:rsidRDefault="00C83E46">
            <w:pPr>
              <w:pStyle w:val="P68B1DB1-Normal28"/>
              <w:spacing w:line="240" w:lineRule="auto"/>
              <w:rPr>
                <w:noProof/>
              </w:rPr>
            </w:pPr>
            <w:r>
              <w:rPr>
                <w:noProof/>
              </w:rPr>
              <w:t>Prekretnica</w:t>
            </w:r>
          </w:p>
        </w:tc>
        <w:tc>
          <w:tcPr>
            <w:tcW w:w="1307" w:type="dxa"/>
            <w:tcBorders>
              <w:top w:val="single" w:sz="8" w:space="0" w:color="auto"/>
              <w:left w:val="single" w:sz="8" w:space="0" w:color="auto"/>
              <w:bottom w:val="single" w:sz="8" w:space="0" w:color="auto"/>
              <w:right w:val="single" w:sz="8" w:space="0" w:color="auto"/>
            </w:tcBorders>
            <w:shd w:val="clear" w:color="auto" w:fill="C6EFCE"/>
            <w:vAlign w:val="center"/>
          </w:tcPr>
          <w:p w14:paraId="790090B9" w14:textId="77777777" w:rsidR="00615E2D" w:rsidRDefault="00C83E46">
            <w:pPr>
              <w:pStyle w:val="P68B1DB1-Normal28"/>
              <w:spacing w:line="240" w:lineRule="auto"/>
              <w:rPr>
                <w:noProof/>
              </w:rPr>
            </w:pPr>
            <w:r>
              <w:rPr>
                <w:noProof/>
              </w:rPr>
              <w:t>Potpuno operativan centar za kardiovaskularnu i transplantacijsku medicinu</w:t>
            </w:r>
          </w:p>
        </w:tc>
        <w:tc>
          <w:tcPr>
            <w:tcW w:w="1701" w:type="dxa"/>
            <w:tcBorders>
              <w:top w:val="single" w:sz="8" w:space="0" w:color="auto"/>
              <w:left w:val="single" w:sz="8" w:space="0" w:color="auto"/>
              <w:bottom w:val="single" w:sz="8" w:space="0" w:color="auto"/>
              <w:right w:val="single" w:sz="8" w:space="0" w:color="auto"/>
            </w:tcBorders>
            <w:shd w:val="clear" w:color="auto" w:fill="C6EFCE"/>
            <w:vAlign w:val="center"/>
          </w:tcPr>
          <w:p w14:paraId="25BD04FE" w14:textId="77777777" w:rsidR="00615E2D" w:rsidRDefault="00C83E46">
            <w:pPr>
              <w:pStyle w:val="P68B1DB1-Normal28"/>
              <w:spacing w:line="240" w:lineRule="auto"/>
              <w:rPr>
                <w:noProof/>
              </w:rPr>
            </w:pPr>
            <w:r>
              <w:rPr>
                <w:noProof/>
              </w:rPr>
              <w:t xml:space="preserve">Potpuno operativan centar za kardiovaskularnu i transplantacijsku medicinu </w:t>
            </w: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5F753A72" w14:textId="77777777" w:rsidR="00615E2D" w:rsidRDefault="00615E2D">
            <w:pPr>
              <w:spacing w:line="240" w:lineRule="auto"/>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F500DC4" w14:textId="77777777" w:rsidR="00615E2D" w:rsidRDefault="00615E2D">
            <w:pPr>
              <w:spacing w:line="240" w:lineRule="auto"/>
              <w:jc w:val="center"/>
              <w:rPr>
                <w:noProof/>
                <w:color w:val="006100"/>
                <w:sz w:val="18"/>
              </w:rPr>
            </w:pPr>
          </w:p>
        </w:tc>
        <w:tc>
          <w:tcPr>
            <w:tcW w:w="1077" w:type="dxa"/>
            <w:tcBorders>
              <w:top w:val="single" w:sz="8" w:space="0" w:color="auto"/>
              <w:left w:val="single" w:sz="8" w:space="0" w:color="auto"/>
              <w:bottom w:val="single" w:sz="8" w:space="0" w:color="auto"/>
              <w:right w:val="single" w:sz="8" w:space="0" w:color="auto"/>
            </w:tcBorders>
            <w:shd w:val="clear" w:color="auto" w:fill="C6EFCE"/>
            <w:vAlign w:val="center"/>
          </w:tcPr>
          <w:p w14:paraId="2D2CF6B0" w14:textId="77777777" w:rsidR="00615E2D" w:rsidRDefault="00615E2D">
            <w:pPr>
              <w:spacing w:line="240" w:lineRule="auto"/>
              <w:jc w:val="center"/>
              <w:rPr>
                <w:noProof/>
                <w:color w:val="006100"/>
                <w:sz w:val="18"/>
              </w:rPr>
            </w:pPr>
          </w:p>
        </w:tc>
        <w:tc>
          <w:tcPr>
            <w:tcW w:w="850" w:type="dxa"/>
            <w:tcBorders>
              <w:top w:val="single" w:sz="8" w:space="0" w:color="auto"/>
              <w:left w:val="single" w:sz="8" w:space="0" w:color="auto"/>
              <w:bottom w:val="single" w:sz="8" w:space="0" w:color="auto"/>
              <w:right w:val="single" w:sz="8" w:space="0" w:color="auto"/>
            </w:tcBorders>
            <w:shd w:val="clear" w:color="auto" w:fill="C6EFCE"/>
            <w:vAlign w:val="center"/>
          </w:tcPr>
          <w:p w14:paraId="310099A7" w14:textId="77777777" w:rsidR="00615E2D" w:rsidRDefault="00C83E46">
            <w:pPr>
              <w:pStyle w:val="P68B1DB1-Normal28"/>
              <w:spacing w:line="240" w:lineRule="auto"/>
              <w:jc w:val="center"/>
              <w:rPr>
                <w:rFonts w:eastAsia="Times New Roman"/>
                <w:noProof/>
              </w:rPr>
            </w:pPr>
            <w:r>
              <w:rPr>
                <w:noProof/>
              </w:rPr>
              <w:t>ČETVRTO TROMJESEČJE</w:t>
            </w:r>
          </w:p>
        </w:tc>
        <w:tc>
          <w:tcPr>
            <w:tcW w:w="608" w:type="dxa"/>
            <w:tcBorders>
              <w:top w:val="single" w:sz="8" w:space="0" w:color="auto"/>
              <w:left w:val="single" w:sz="8" w:space="0" w:color="auto"/>
              <w:bottom w:val="single" w:sz="8" w:space="0" w:color="auto"/>
              <w:right w:val="single" w:sz="8" w:space="0" w:color="auto"/>
            </w:tcBorders>
            <w:shd w:val="clear" w:color="auto" w:fill="C6EFCE"/>
            <w:vAlign w:val="center"/>
          </w:tcPr>
          <w:p w14:paraId="7F135BBA" w14:textId="77777777" w:rsidR="00615E2D" w:rsidRDefault="00C83E46">
            <w:pPr>
              <w:pStyle w:val="P68B1DB1-Normal28"/>
              <w:spacing w:line="240" w:lineRule="auto"/>
              <w:jc w:val="center"/>
              <w:rPr>
                <w:noProof/>
              </w:rPr>
            </w:pPr>
            <w:r>
              <w:rPr>
                <w:noProof/>
              </w:rPr>
              <w:t>2025</w:t>
            </w:r>
          </w:p>
        </w:tc>
        <w:tc>
          <w:tcPr>
            <w:tcW w:w="4745" w:type="dxa"/>
            <w:tcBorders>
              <w:top w:val="single" w:sz="8" w:space="0" w:color="auto"/>
              <w:left w:val="single" w:sz="8" w:space="0" w:color="auto"/>
              <w:bottom w:val="single" w:sz="8" w:space="0" w:color="auto"/>
              <w:right w:val="single" w:sz="8" w:space="0" w:color="auto"/>
            </w:tcBorders>
            <w:shd w:val="clear" w:color="auto" w:fill="C6EFCE"/>
            <w:vAlign w:val="center"/>
          </w:tcPr>
          <w:p w14:paraId="24B2FA63" w14:textId="77777777" w:rsidR="00615E2D" w:rsidRDefault="00C83E46">
            <w:pPr>
              <w:pStyle w:val="P68B1DB1-Normal16"/>
              <w:spacing w:line="240" w:lineRule="auto"/>
              <w:rPr>
                <w:rFonts w:eastAsia="Times New Roman"/>
                <w:noProof/>
              </w:rPr>
            </w:pPr>
            <w:r>
              <w:rPr>
                <w:noProof/>
              </w:rPr>
              <w:t xml:space="preserve">Potpuno operativni novi objekti Centra za kardiovaskularnu i transplantacijsku medicinu. Izgradnjom novog objekta stvara se najmanje 35 novih kreveta u Centru za kardiovaskularnu i transplantacijsku medicinu. </w:t>
            </w:r>
            <w:r>
              <w:rPr>
                <w:rFonts w:eastAsia="Times New Roman"/>
                <w:noProof/>
              </w:rPr>
              <w:t>Izgradnja podliježe otvorenim i javnim natječajima. Procjena potreba provodi se prije objave natječaja.</w:t>
            </w:r>
          </w:p>
        </w:tc>
      </w:tr>
    </w:tbl>
    <w:p w14:paraId="08FC1122" w14:textId="77777777" w:rsidR="00615E2D" w:rsidRDefault="00615E2D">
      <w:pPr>
        <w:pBdr>
          <w:top w:val="nil"/>
          <w:left w:val="nil"/>
          <w:bottom w:val="nil"/>
          <w:right w:val="nil"/>
          <w:between w:val="nil"/>
        </w:pBdr>
        <w:spacing w:line="240" w:lineRule="auto"/>
        <w:rPr>
          <w:rFonts w:ascii="Calibri" w:hAnsi="Calibri"/>
          <w:noProof/>
          <w:color w:val="000000"/>
          <w:sz w:val="22"/>
        </w:rPr>
        <w:sectPr w:rsidR="00615E2D" w:rsidSect="00997F50">
          <w:headerReference w:type="even" r:id="rId420"/>
          <w:headerReference w:type="default" r:id="rId421"/>
          <w:footerReference w:type="even" r:id="rId422"/>
          <w:footerReference w:type="default" r:id="rId423"/>
          <w:headerReference w:type="first" r:id="rId424"/>
          <w:footerReference w:type="first" r:id="rId425"/>
          <w:pgSz w:w="16839" w:h="11907" w:orient="landscape"/>
          <w:pgMar w:top="1134" w:right="1134" w:bottom="1134" w:left="1134" w:header="567" w:footer="567" w:gutter="0"/>
          <w:cols w:space="708"/>
          <w:docGrid w:linePitch="326"/>
        </w:sectPr>
      </w:pPr>
    </w:p>
    <w:p w14:paraId="4929F8AE" w14:textId="59EDD5DD" w:rsidR="00615E2D" w:rsidRDefault="00C83E46">
      <w:pPr>
        <w:pStyle w:val="P68B1DB1-Normal2"/>
        <w:keepNext/>
        <w:tabs>
          <w:tab w:val="left" w:pos="850"/>
        </w:tabs>
        <w:spacing w:line="240" w:lineRule="auto"/>
        <w:jc w:val="both"/>
        <w:outlineLvl w:val="0"/>
        <w:rPr>
          <w:noProof/>
        </w:rPr>
      </w:pPr>
      <w:r>
        <w:rPr>
          <w:noProof/>
        </w:rPr>
        <w:t>DD. SASTAVNI DIO 6.2.: Nacionalni plan za jačanje onkološke prevencije i skrbi</w:t>
      </w:r>
    </w:p>
    <w:p w14:paraId="6A35FA72" w14:textId="77777777" w:rsidR="00615E2D" w:rsidRDefault="00C83E46">
      <w:pPr>
        <w:pStyle w:val="P68B1DB1-Normal3"/>
        <w:spacing w:line="240" w:lineRule="auto"/>
        <w:jc w:val="both"/>
        <w:rPr>
          <w:noProof/>
        </w:rPr>
      </w:pPr>
      <w:r>
        <w:rPr>
          <w:noProof/>
        </w:rPr>
        <w:t xml:space="preserve">Ta komponenta češkog plana za oporavak i otpornost bavi se izazovom povećanja otpornosti sustava prevencije raka i skrbi o raku, na koji su utjecali dugoročni negativni učinci pandemije bolesti COVID-19. </w:t>
      </w:r>
    </w:p>
    <w:p w14:paraId="33D5D7A8" w14:textId="77777777" w:rsidR="00615E2D" w:rsidRDefault="00C83E46">
      <w:pPr>
        <w:pStyle w:val="P68B1DB1-Normal3"/>
        <w:spacing w:line="240" w:lineRule="auto"/>
        <w:jc w:val="both"/>
        <w:rPr>
          <w:noProof/>
        </w:rPr>
      </w:pPr>
      <w:r>
        <w:rPr>
          <w:noProof/>
        </w:rPr>
        <w:t>Kad je riječ o reformama, uspostavit će se novi Nacionalni onkološki program za Češku Republiku za razdoblje 2022. – 2030. te će se povećati opseg i kvaliteta programa probira za prevenciju raka.</w:t>
      </w:r>
    </w:p>
    <w:p w14:paraId="2DBF259E" w14:textId="2D278D63" w:rsidR="00615E2D" w:rsidRDefault="00C83E46">
      <w:pPr>
        <w:pStyle w:val="P68B1DB1-Normal3"/>
        <w:spacing w:line="240" w:lineRule="auto"/>
        <w:jc w:val="both"/>
        <w:rPr>
          <w:noProof/>
        </w:rPr>
      </w:pPr>
      <w:r>
        <w:rPr>
          <w:noProof/>
        </w:rPr>
        <w:t xml:space="preserve">Kad je riječ o zdravstvenoj infrastrukturi, cilj je poduprijeti izgradnju češkog zavoda za onkologiju u Pragu i Centra za onkološku prevenciju. Nadalje, podupiru se i ustanove za onkološka i hematoonkološka skrb, kao i nove ustanove na Institutu za liječenje raka Masaryk Memorial u Brnu kako bi se ojačala prevencija raka. </w:t>
      </w:r>
    </w:p>
    <w:p w14:paraId="1912F338" w14:textId="77777777" w:rsidR="00615E2D" w:rsidRDefault="00C83E46">
      <w:pPr>
        <w:pStyle w:val="P68B1DB1-Normal3"/>
        <w:spacing w:line="240" w:lineRule="auto"/>
        <w:jc w:val="both"/>
        <w:rPr>
          <w:noProof/>
        </w:rPr>
      </w:pPr>
      <w:r>
        <w:rPr>
          <w:noProof/>
        </w:rPr>
        <w:t>Komponenta pridonosi odgovoru na 1. preporuku za pojedinu zemlju, u skladu s kojom Češka osigurava otpornost zdravstvenog sustava, povećava dostupnost zdravstvenih radnika, primarnu skrb i integraciju skrbi te uvođenje usluga e-zdravstva.</w:t>
      </w:r>
    </w:p>
    <w:p w14:paraId="07097680" w14:textId="77777777" w:rsidR="00615E2D" w:rsidRDefault="00C83E46">
      <w:pPr>
        <w:pStyle w:val="P68B1DB1-Normal3"/>
        <w:spacing w:line="240" w:lineRule="auto"/>
        <w:jc w:val="both"/>
        <w:rPr>
          <w:noProof/>
        </w:rPr>
      </w:pPr>
      <w:r>
        <w:rPr>
          <w:noProof/>
        </w:rPr>
        <w:t xml:space="preserve">Očekuje se da se nijednom mjerom u ovoj komponenti ne nanosi bitna šteta okolišnim ciljevima u smislu članka 17. Uredbe (EU) 2020/852, uzimajući u obzir opis mjera i mjere ublažavanja utvrđene u planu u skladu s Tehničkim smjernicama o primjeni načela nenanošenja bitne štete (2021/C58/01). </w:t>
      </w:r>
    </w:p>
    <w:p w14:paraId="1113C719" w14:textId="77777777" w:rsidR="00615E2D" w:rsidRDefault="00615E2D">
      <w:pPr>
        <w:spacing w:line="240" w:lineRule="auto"/>
        <w:jc w:val="both"/>
        <w:rPr>
          <w:rFonts w:eastAsia="Times New Roman"/>
          <w:noProof/>
          <w:highlight w:val="yellow"/>
        </w:rPr>
      </w:pPr>
    </w:p>
    <w:p w14:paraId="3EC9BF35" w14:textId="3EBCFF68" w:rsidR="00615E2D" w:rsidRDefault="00C83E46">
      <w:pPr>
        <w:pStyle w:val="P68B1DB1-Normal32"/>
        <w:spacing w:line="240" w:lineRule="auto"/>
        <w:jc w:val="both"/>
        <w:rPr>
          <w:noProof/>
        </w:rPr>
      </w:pPr>
      <w:r>
        <w:rPr>
          <w:noProof/>
        </w:rPr>
        <w:t>DD.1. Opis reformi i ulaganja za programe bespovratne financijske potpore</w:t>
      </w:r>
    </w:p>
    <w:p w14:paraId="5CB925C6" w14:textId="77777777" w:rsidR="00615E2D" w:rsidRDefault="00C83E46">
      <w:pPr>
        <w:pStyle w:val="P68B1DB1-Normal26"/>
        <w:spacing w:line="240" w:lineRule="auto"/>
        <w:rPr>
          <w:noProof/>
        </w:rPr>
      </w:pPr>
      <w:r>
        <w:rPr>
          <w:noProof/>
        </w:rPr>
        <w:t>Reforma 1.: Nacionalni onkološki program Češke Republike – NOP CZ 2030.</w:t>
      </w:r>
    </w:p>
    <w:p w14:paraId="45EB0EBF" w14:textId="2AC70DEF" w:rsidR="00615E2D" w:rsidRDefault="00C83E46">
      <w:pPr>
        <w:pStyle w:val="P68B1DB1-Normal3"/>
        <w:spacing w:line="240" w:lineRule="auto"/>
        <w:jc w:val="both"/>
        <w:rPr>
          <w:noProof/>
        </w:rPr>
      </w:pPr>
      <w:r>
        <w:rPr>
          <w:noProof/>
        </w:rPr>
        <w:t>Reformom se nastoji uspostaviti češki nacionalni onkološki program za razdoblje 2022. – 2030. (NOP CR 2030). Nacionalni operativni program za razdoblje 2022. – 2030. odražava prioritete utvrđene u europskom planu za borbu protiv raka, uključujući načela kulture skrbi usmjerene na pacijente</w:t>
      </w:r>
      <w:r>
        <w:rPr>
          <w:noProof/>
        </w:rPr>
        <w:footnoteReference w:id="26"/>
      </w:r>
      <w:r>
        <w:rPr>
          <w:noProof/>
        </w:rPr>
        <w:t>. Priprema programa u nadležnosti je češkog Onkološkog društva. Ministarstvo zdravstva osniva Nacionalno vijeće za provedbu NOP-a, koje ima koordinacijsku ulogu u fazama pripreme, provedbe i evaluacije.</w:t>
      </w:r>
    </w:p>
    <w:p w14:paraId="65A18BDA" w14:textId="77777777" w:rsidR="00615E2D" w:rsidRDefault="00C83E46">
      <w:pPr>
        <w:pStyle w:val="P68B1DB1-Normal3"/>
        <w:spacing w:line="240" w:lineRule="auto"/>
        <w:jc w:val="both"/>
        <w:rPr>
          <w:noProof/>
        </w:rPr>
      </w:pPr>
      <w:r>
        <w:rPr>
          <w:noProof/>
        </w:rPr>
        <w:t>Reforma mora biti dovršena do 31. prosinca 2025.</w:t>
      </w:r>
    </w:p>
    <w:p w14:paraId="017F1B91" w14:textId="77777777" w:rsidR="00615E2D" w:rsidRDefault="00C83E46">
      <w:pPr>
        <w:pStyle w:val="P68B1DB1-Normal26"/>
        <w:spacing w:line="240" w:lineRule="auto"/>
        <w:rPr>
          <w:noProof/>
        </w:rPr>
      </w:pPr>
      <w:r>
        <w:rPr>
          <w:noProof/>
        </w:rPr>
        <w:t>Reforma br. 2: Podupiranje i poboljšanje kvalitete programa preventivnog probira</w:t>
      </w:r>
    </w:p>
    <w:p w14:paraId="04513656" w14:textId="77777777" w:rsidR="00615E2D" w:rsidRDefault="00C83E46">
      <w:pPr>
        <w:pStyle w:val="P68B1DB1-Normal3"/>
        <w:spacing w:line="240" w:lineRule="auto"/>
        <w:jc w:val="both"/>
        <w:rPr>
          <w:noProof/>
        </w:rPr>
      </w:pPr>
      <w:r>
        <w:rPr>
          <w:noProof/>
        </w:rPr>
        <w:t>Reforma je usmjerena na povećanje opsega i kvalitete programa prevencije raka s ciljem smanjenja pobolijevanja i smrtnosti slučajeva raka, ograničavanja troškova liječenja u naprednim fazama bolesti i povećanja očekivanog životnog vijeka i kvalitete života. Te mjere uključuju:</w:t>
      </w:r>
    </w:p>
    <w:p w14:paraId="3A9E3E9C" w14:textId="77777777" w:rsidR="00615E2D" w:rsidRDefault="00C83E46">
      <w:pPr>
        <w:pStyle w:val="P68B1DB1-Normal3"/>
        <w:numPr>
          <w:ilvl w:val="0"/>
          <w:numId w:val="163"/>
        </w:numPr>
        <w:spacing w:line="259" w:lineRule="auto"/>
        <w:ind w:left="360"/>
        <w:contextualSpacing/>
        <w:jc w:val="both"/>
        <w:rPr>
          <w:rFonts w:ascii="Calibri" w:hAnsi="Calibri" w:cs="Calibri"/>
          <w:noProof/>
          <w:sz w:val="22"/>
        </w:rPr>
      </w:pPr>
      <w:r>
        <w:rPr>
          <w:noProof/>
        </w:rPr>
        <w:t>imenovanje Nacionalnog centra za probir, do 30. lipnja 2025., kao tijela odgovornog za koordinaciju programa probira raka u Češkoj;</w:t>
      </w:r>
    </w:p>
    <w:p w14:paraId="63D4C2F1" w14:textId="77777777" w:rsidR="00615E2D" w:rsidRDefault="00C83E46">
      <w:pPr>
        <w:pStyle w:val="P68B1DB1-Normal3"/>
        <w:numPr>
          <w:ilvl w:val="0"/>
          <w:numId w:val="163"/>
        </w:numPr>
        <w:spacing w:line="259" w:lineRule="auto"/>
        <w:ind w:left="360"/>
        <w:contextualSpacing/>
        <w:jc w:val="both"/>
        <w:rPr>
          <w:noProof/>
        </w:rPr>
      </w:pPr>
      <w:r>
        <w:rPr>
          <w:noProof/>
        </w:rPr>
        <w:t>povećanje opsega, dostupnosti, uspješnosti i učinka postojećih programa probira, posebno povećanjem pokrivenosti ciljne populacije. Na primjer, pokrivenost ciljnog stanovništva programom probira raka debelog crijeva povećat će se na najmanje 40 % do 30. lipnja 2026.;</w:t>
      </w:r>
    </w:p>
    <w:p w14:paraId="74477116" w14:textId="77777777" w:rsidR="00615E2D" w:rsidRDefault="00C83E46">
      <w:pPr>
        <w:pStyle w:val="P68B1DB1-Normal3"/>
        <w:numPr>
          <w:ilvl w:val="0"/>
          <w:numId w:val="163"/>
        </w:numPr>
        <w:spacing w:line="259" w:lineRule="auto"/>
        <w:ind w:left="360"/>
        <w:contextualSpacing/>
        <w:jc w:val="both"/>
        <w:rPr>
          <w:noProof/>
        </w:rPr>
      </w:pPr>
      <w:r>
        <w:rPr>
          <w:noProof/>
        </w:rPr>
        <w:t xml:space="preserve">pokusno izvođenje novih programa probira, uključujući njihovu provjeru s pomoću ispitivanja populacije i kliničkih studija. Konkretno, pokreće se program ranog otkrivanja raka pluća, a najmanje 20000 sudionika ciljne populacije mora sudjelovati do 30. lipnja 2026. </w:t>
      </w:r>
    </w:p>
    <w:p w14:paraId="73CA5B84" w14:textId="77777777" w:rsidR="00615E2D" w:rsidRDefault="00C83E46">
      <w:pPr>
        <w:pStyle w:val="P68B1DB1-Normal3"/>
        <w:numPr>
          <w:ilvl w:val="0"/>
          <w:numId w:val="163"/>
        </w:numPr>
        <w:spacing w:line="259" w:lineRule="auto"/>
        <w:ind w:left="360"/>
        <w:contextualSpacing/>
        <w:jc w:val="both"/>
        <w:rPr>
          <w:noProof/>
        </w:rPr>
      </w:pPr>
      <w:r>
        <w:rPr>
          <w:noProof/>
        </w:rPr>
        <w:t>uspostava sustava za planiranje novih programa prevencije i procjenu njihove isplativosti i učinka na sustav javnog zdravstvenog osiguranja;</w:t>
      </w:r>
    </w:p>
    <w:p w14:paraId="3525C0FA" w14:textId="77777777" w:rsidR="00615E2D" w:rsidRDefault="00C83E46">
      <w:pPr>
        <w:pStyle w:val="P68B1DB1-Normal3"/>
        <w:numPr>
          <w:ilvl w:val="0"/>
          <w:numId w:val="163"/>
        </w:numPr>
        <w:spacing w:line="259" w:lineRule="auto"/>
        <w:ind w:left="360"/>
        <w:contextualSpacing/>
        <w:jc w:val="both"/>
        <w:rPr>
          <w:noProof/>
        </w:rPr>
      </w:pPr>
      <w:r>
        <w:rPr>
          <w:noProof/>
        </w:rPr>
        <w:t>stvaranje baze podataka za sveobuhvatno praćenje i evaluaciju programa probira, uključujući široku skupinu pokazatelja kvalitete i procjenu učinkovitosti.</w:t>
      </w:r>
    </w:p>
    <w:p w14:paraId="04691190" w14:textId="77777777" w:rsidR="00615E2D" w:rsidRDefault="00C83E46">
      <w:pPr>
        <w:pStyle w:val="P68B1DB1-Normal3"/>
        <w:spacing w:line="240" w:lineRule="auto"/>
        <w:jc w:val="both"/>
        <w:rPr>
          <w:noProof/>
        </w:rPr>
      </w:pPr>
      <w:r>
        <w:rPr>
          <w:noProof/>
        </w:rPr>
        <w:t xml:space="preserve">Mjera mora biti dovršena do 30. lipnja 2026. </w:t>
      </w:r>
    </w:p>
    <w:p w14:paraId="4DD37384" w14:textId="77777777" w:rsidR="00615E2D" w:rsidRDefault="00C83E46">
      <w:pPr>
        <w:pStyle w:val="P68B1DB1-Normal26"/>
        <w:spacing w:line="240" w:lineRule="auto"/>
        <w:rPr>
          <w:noProof/>
        </w:rPr>
      </w:pPr>
      <w:r>
        <w:rPr>
          <w:noProof/>
        </w:rPr>
        <w:t>Ulaganje 1: Osnivanje češkog onkološkog instituta</w:t>
      </w:r>
    </w:p>
    <w:p w14:paraId="44035D41" w14:textId="65A68379" w:rsidR="00615E2D" w:rsidRDefault="00C83E46">
      <w:pPr>
        <w:pStyle w:val="P68B1DB1-Normal3"/>
        <w:spacing w:line="240" w:lineRule="auto"/>
        <w:jc w:val="both"/>
        <w:rPr>
          <w:noProof/>
        </w:rPr>
      </w:pPr>
      <w:r>
        <w:rPr>
          <w:noProof/>
        </w:rPr>
        <w:t>Ulaganje je usmjereno na izgradnju češkog instituta za onkologiju u Pragu s ciljem pružanja prevencije raka, dijagnoze i svih načina liječenja na jednom mjestu skrbi. Ulaganje uključuje izgradnju nove zgrade i nabavu opreme (uključujući, među ostalim, kliničku opremu te opremu informacijske i komunikacijske tehnologije i sigurnosnu opremu). Cilj je i uspostaviti centar za rak s međunarodnim dosegom u srednjoj i istočnoj Europi. Cilj je kapacitet od 8500 do 11200 hospitaliziranih pacijenata godišnje.</w:t>
      </w:r>
    </w:p>
    <w:p w14:paraId="501D5955" w14:textId="77777777" w:rsidR="00615E2D" w:rsidRDefault="00C83E46">
      <w:pPr>
        <w:pStyle w:val="P68B1DB1-Normal3"/>
        <w:spacing w:line="240" w:lineRule="auto"/>
        <w:jc w:val="both"/>
        <w:rPr>
          <w:noProof/>
        </w:rPr>
      </w:pPr>
      <w:r>
        <w:rPr>
          <w:noProof/>
        </w:rPr>
        <w:t>Ministarstvo zdravstva dužno je do 15. ožujka 2022. dostaviti niz potrebnih dokumenata, uključujući:</w:t>
      </w:r>
    </w:p>
    <w:p w14:paraId="10F9001A" w14:textId="77777777" w:rsidR="00615E2D" w:rsidRDefault="00C83E46">
      <w:pPr>
        <w:numPr>
          <w:ilvl w:val="0"/>
          <w:numId w:val="200"/>
        </w:numPr>
        <w:spacing w:line="240" w:lineRule="auto"/>
        <w:rPr>
          <w:noProof/>
        </w:rPr>
      </w:pPr>
      <w:r>
        <w:rPr>
          <w:noProof/>
        </w:rPr>
        <w:t xml:space="preserve">Medicinski program/funkcionalni plan i nacrt projekta prikladan za potrebe projektiranja i izgradnje nabave, </w:t>
      </w:r>
    </w:p>
    <w:p w14:paraId="3B85A057" w14:textId="77777777" w:rsidR="00615E2D" w:rsidRDefault="00C83E46">
      <w:pPr>
        <w:numPr>
          <w:ilvl w:val="0"/>
          <w:numId w:val="200"/>
        </w:numPr>
        <w:spacing w:line="240" w:lineRule="auto"/>
        <w:rPr>
          <w:noProof/>
        </w:rPr>
      </w:pPr>
      <w:r>
        <w:rPr>
          <w:noProof/>
        </w:rPr>
        <w:t>Studija izvedivosti, uključujući procjenu potreba u kontekstu šire zdravstvene strategije, tehničku, operativnu i gospodarsku izvedivost, održivost u financijskom i kadrovskom smislu te učinak na pružanje onkološke skrbi na regionalnoj i nacionalnoj razini, među ostalim na vrijeme putovanja i stručnu osposobljenost.</w:t>
      </w:r>
    </w:p>
    <w:p w14:paraId="1064FA9B" w14:textId="77777777" w:rsidR="00615E2D" w:rsidRDefault="00C83E46">
      <w:pPr>
        <w:pStyle w:val="P68B1DB1-Normal3"/>
        <w:spacing w:line="240" w:lineRule="auto"/>
        <w:jc w:val="both"/>
        <w:rPr>
          <w:noProof/>
        </w:rPr>
      </w:pPr>
      <w:r>
        <w:rPr>
          <w:noProof/>
        </w:rPr>
        <w:t xml:space="preserve">Te dokumente neovisno tijelo potvrđuje do 31. prosinca 2022. </w:t>
      </w:r>
    </w:p>
    <w:p w14:paraId="0CEECD5A" w14:textId="77777777" w:rsidR="00615E2D" w:rsidRDefault="00C83E46">
      <w:pPr>
        <w:pStyle w:val="P68B1DB1-Normal3"/>
        <w:spacing w:line="240" w:lineRule="auto"/>
        <w:jc w:val="both"/>
        <w:rPr>
          <w:noProof/>
        </w:rPr>
      </w:pPr>
      <w:r>
        <w:rPr>
          <w:noProof/>
        </w:rPr>
        <w:t xml:space="preserve">Ulaganje mora biti dovršeno do 30. lipnja 2026. </w:t>
      </w:r>
    </w:p>
    <w:p w14:paraId="40489C49" w14:textId="77777777" w:rsidR="00615E2D" w:rsidRDefault="00C83E46">
      <w:pPr>
        <w:pStyle w:val="P68B1DB1-Normal26"/>
        <w:spacing w:line="240" w:lineRule="auto"/>
        <w:jc w:val="both"/>
        <w:rPr>
          <w:noProof/>
        </w:rPr>
      </w:pPr>
      <w:r>
        <w:rPr>
          <w:noProof/>
        </w:rPr>
        <w:t>Ulaganje 2: Razvoj visokospecijalizirane onkološke i hematoonološke skrbi</w:t>
      </w:r>
    </w:p>
    <w:p w14:paraId="3CA064E7" w14:textId="400EA920" w:rsidR="00615E2D" w:rsidRDefault="00C83E46">
      <w:pPr>
        <w:pStyle w:val="P68B1DB1-Normal3"/>
        <w:spacing w:line="240" w:lineRule="auto"/>
        <w:jc w:val="both"/>
        <w:rPr>
          <w:noProof/>
          <w:sz w:val="23"/>
        </w:rPr>
      </w:pPr>
      <w:r>
        <w:rPr>
          <w:noProof/>
        </w:rPr>
        <w:t>Cilj je ulaganja ojačati visokospecijaliziranu skrb za oboljele od raka u složenim onkološkim centrima i visokospecijaliziranim centrima za hematoonkologiju nabavom najsuvremenijih tehnologija i opreme. Ulaganjem se onkološkim centrima omogućuje pružanje dijagnoze i liječenja raka na temelju načela precizne i personalizirane medicine, čime bi se poboljšala dijagnoza i liječenje, posebno rijetkih vrsta raka. Pojam precizne medicine posebno obuhvaća teranostiku, napredne metode vizualizacije, individualiziranu staničnu i gensku terapiju te suvremenu radioterapiju. Potpora se daje najmanje deset složenih onkoloških centara i centara za visokospecijaliziranu hematoonkologiju.</w:t>
      </w:r>
    </w:p>
    <w:p w14:paraId="704BB739" w14:textId="77777777" w:rsidR="00615E2D" w:rsidRDefault="00C83E46">
      <w:pPr>
        <w:pStyle w:val="P68B1DB1-Normal3"/>
        <w:spacing w:line="240" w:lineRule="auto"/>
        <w:jc w:val="both"/>
        <w:rPr>
          <w:noProof/>
        </w:rPr>
      </w:pPr>
      <w:r>
        <w:rPr>
          <w:noProof/>
        </w:rPr>
        <w:t xml:space="preserve">Ulaganje mora biti dovršeno do 30. lipnja 2026. </w:t>
      </w:r>
    </w:p>
    <w:p w14:paraId="23C10696" w14:textId="4B7E7C47" w:rsidR="00615E2D" w:rsidRDefault="00C83E46">
      <w:pPr>
        <w:pStyle w:val="P68B1DB1-Normal26"/>
        <w:keepNext/>
        <w:spacing w:line="240" w:lineRule="auto"/>
        <w:jc w:val="both"/>
        <w:rPr>
          <w:noProof/>
        </w:rPr>
      </w:pPr>
      <w:r>
        <w:rPr>
          <w:noProof/>
        </w:rPr>
        <w:t>Ulaganje 3: Osnivanje i razvoj Centra za prevenciju raka i infrastrukture za inovativnu i pomoćnu skrb pri Institutu za liječenje raka Masaryk Memorial</w:t>
      </w:r>
    </w:p>
    <w:p w14:paraId="3F266C27" w14:textId="0B8A2127" w:rsidR="00615E2D" w:rsidRDefault="00C83E46">
      <w:pPr>
        <w:pStyle w:val="P68B1DB1-Normal13"/>
        <w:autoSpaceDE w:val="0"/>
        <w:autoSpaceDN w:val="0"/>
        <w:adjustRightInd w:val="0"/>
        <w:spacing w:line="240" w:lineRule="auto"/>
        <w:jc w:val="both"/>
        <w:rPr>
          <w:b/>
          <w:noProof/>
          <w:sz w:val="23"/>
        </w:rPr>
      </w:pPr>
      <w:r>
        <w:rPr>
          <w:noProof/>
        </w:rPr>
        <w:t>Cilj je ulaganja povećati kapacitete i razviti inovativnu prevenciju raka i skrb o raku na Institutu za rak Masaryk Memorial u Brnu. Prvo, ulaganje uključuje izgradnju novog objekta Centra za prevenciju raka, kojim će se povećati broj programa prevencije raka (primarna, sekundarna i tercijarna) i odvojena preventivna skrb od ustanova za skrb (kako bi se uzeli u obzir antiepidemski i psihosocijalni aspekti). Cilj je da se godišnji broj intervencija u Centru za prevenciju raka poveća za 30 % u odnosu na 2019. Drugo, uspostavit će se nove ustanove za inovativnu i potpornu skrb za oboljele od raka, odnosno Prvi kontaktni centar, Centar za klinička ispitivanja, Centar za skrb za podršku i Obrazovni centar. Centar za podršku omogućuje pilot-projekt novog programa potpore za osobe koje su preživjele rak, čiji se rezultati zatim mogu prenijeti u druge centre za oboljele od raka u Češkoj. Cilj je da se godišnji broj klijenata Inovativne i potporne skrbi na Institutu za liječenje raka Masaryk Memorial poveća za 20 % u odnosu na 2019.</w:t>
      </w:r>
    </w:p>
    <w:p w14:paraId="400FEED5" w14:textId="77777777" w:rsidR="00615E2D" w:rsidRDefault="00C83E46">
      <w:pPr>
        <w:pStyle w:val="P68B1DB1-Normal3"/>
        <w:spacing w:line="240" w:lineRule="auto"/>
        <w:rPr>
          <w:noProof/>
        </w:rPr>
      </w:pPr>
      <w:r>
        <w:rPr>
          <w:noProof/>
        </w:rPr>
        <w:t xml:space="preserve">Ulaganje mora biti dovršeno do 31. prosinca 2025. </w:t>
      </w:r>
    </w:p>
    <w:p w14:paraId="3E4A32FA" w14:textId="77777777" w:rsidR="00615E2D" w:rsidRDefault="00615E2D">
      <w:pPr>
        <w:spacing w:line="240" w:lineRule="auto"/>
        <w:rPr>
          <w:rFonts w:eastAsia="Times New Roman"/>
          <w:b/>
          <w:noProof/>
          <w:color w:val="000000"/>
          <w:u w:val="single"/>
        </w:rPr>
        <w:sectPr w:rsidR="00615E2D" w:rsidSect="00997F50">
          <w:headerReference w:type="even" r:id="rId426"/>
          <w:headerReference w:type="default" r:id="rId427"/>
          <w:footerReference w:type="even" r:id="rId428"/>
          <w:footerReference w:type="default" r:id="rId429"/>
          <w:headerReference w:type="first" r:id="rId430"/>
          <w:footerReference w:type="first" r:id="rId431"/>
          <w:pgSz w:w="11907" w:h="16839"/>
          <w:pgMar w:top="1134" w:right="1134" w:bottom="1134" w:left="1134" w:header="567" w:footer="567" w:gutter="0"/>
          <w:cols w:space="720"/>
          <w:docGrid w:linePitch="360"/>
        </w:sectPr>
      </w:pPr>
    </w:p>
    <w:p w14:paraId="705BE3DE" w14:textId="104D740A" w:rsidR="00615E2D" w:rsidRDefault="00C83E46">
      <w:pPr>
        <w:pStyle w:val="P68B1DB1-Normal33"/>
        <w:spacing w:line="240" w:lineRule="auto"/>
        <w:rPr>
          <w:noProof/>
          <w:color w:val="000000"/>
        </w:rPr>
      </w:pPr>
      <w:r>
        <w:rPr>
          <w:noProof/>
        </w:rPr>
        <w:t xml:space="preserve">DD.2. Ključne etape, ciljne vrijednosti i vremenski raspored za praćenje i provedbu programa bespovratne financijske potpore </w:t>
      </w: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459"/>
        <w:gridCol w:w="1115"/>
        <w:gridCol w:w="1045"/>
        <w:gridCol w:w="1302"/>
        <w:gridCol w:w="994"/>
        <w:gridCol w:w="994"/>
        <w:gridCol w:w="791"/>
        <w:gridCol w:w="948"/>
        <w:gridCol w:w="945"/>
        <w:gridCol w:w="4338"/>
      </w:tblGrid>
      <w:tr w:rsidR="00615E2D" w14:paraId="0AC1F365" w14:textId="77777777">
        <w:trPr>
          <w:trHeight w:val="107"/>
          <w:tblHeader/>
          <w:jc w:val="center"/>
        </w:trPr>
        <w:tc>
          <w:tcPr>
            <w:tcW w:w="641" w:type="dxa"/>
            <w:vMerge w:val="restart"/>
            <w:shd w:val="clear" w:color="auto" w:fill="BDD7EE"/>
            <w:vAlign w:val="center"/>
          </w:tcPr>
          <w:p w14:paraId="1041AD65" w14:textId="77777777" w:rsidR="00615E2D" w:rsidRDefault="00C83E46">
            <w:pPr>
              <w:pStyle w:val="P68B1DB1-Normal27"/>
              <w:spacing w:line="240" w:lineRule="auto"/>
              <w:jc w:val="center"/>
              <w:rPr>
                <w:noProof/>
              </w:rPr>
            </w:pPr>
            <w:r>
              <w:rPr>
                <w:noProof/>
              </w:rPr>
              <w:t>Sljedeće NUM.</w:t>
            </w:r>
          </w:p>
        </w:tc>
        <w:tc>
          <w:tcPr>
            <w:tcW w:w="1485" w:type="dxa"/>
            <w:vMerge w:val="restart"/>
            <w:shd w:val="clear" w:color="auto" w:fill="BDD7EE"/>
            <w:vAlign w:val="center"/>
          </w:tcPr>
          <w:p w14:paraId="42A5A4FA" w14:textId="77777777" w:rsidR="00615E2D" w:rsidRDefault="00C83E46">
            <w:pPr>
              <w:pStyle w:val="P68B1DB1-Normal9"/>
              <w:spacing w:line="240" w:lineRule="auto"/>
              <w:jc w:val="center"/>
              <w:rPr>
                <w:noProof/>
              </w:rPr>
            </w:pPr>
            <w:r>
              <w:rPr>
                <w:noProof/>
              </w:rPr>
              <w:t xml:space="preserve">Povezana mjera (reforma ili ulaganje) </w:t>
            </w:r>
          </w:p>
        </w:tc>
        <w:tc>
          <w:tcPr>
            <w:tcW w:w="1134" w:type="dxa"/>
            <w:vMerge w:val="restart"/>
            <w:shd w:val="clear" w:color="auto" w:fill="BDD7EE"/>
            <w:vAlign w:val="center"/>
          </w:tcPr>
          <w:p w14:paraId="67B6E7E1" w14:textId="77777777" w:rsidR="00615E2D" w:rsidRDefault="00C83E46">
            <w:pPr>
              <w:pStyle w:val="P68B1DB1-Normal9"/>
              <w:spacing w:line="240" w:lineRule="auto"/>
              <w:jc w:val="center"/>
              <w:rPr>
                <w:noProof/>
              </w:rPr>
            </w:pPr>
            <w:r>
              <w:rPr>
                <w:noProof/>
              </w:rPr>
              <w:t xml:space="preserve">Ključna etapa/ciljna vrijednost </w:t>
            </w:r>
          </w:p>
        </w:tc>
        <w:tc>
          <w:tcPr>
            <w:tcW w:w="1063" w:type="dxa"/>
            <w:vMerge w:val="restart"/>
            <w:shd w:val="clear" w:color="auto" w:fill="BDD7EE"/>
            <w:vAlign w:val="center"/>
          </w:tcPr>
          <w:p w14:paraId="6EEA9381" w14:textId="77777777" w:rsidR="00615E2D" w:rsidRDefault="00C83E46">
            <w:pPr>
              <w:pStyle w:val="P68B1DB1-Normal9"/>
              <w:spacing w:line="240" w:lineRule="auto"/>
              <w:jc w:val="center"/>
              <w:rPr>
                <w:noProof/>
              </w:rPr>
            </w:pPr>
            <w:r>
              <w:rPr>
                <w:noProof/>
              </w:rPr>
              <w:t xml:space="preserve">Ime </w:t>
            </w:r>
          </w:p>
        </w:tc>
        <w:tc>
          <w:tcPr>
            <w:tcW w:w="1325" w:type="dxa"/>
            <w:vMerge w:val="restart"/>
            <w:shd w:val="clear" w:color="auto" w:fill="BDD7EE"/>
            <w:vAlign w:val="center"/>
          </w:tcPr>
          <w:p w14:paraId="3829A3DD" w14:textId="77777777" w:rsidR="00615E2D" w:rsidRDefault="00C83E46">
            <w:pPr>
              <w:pStyle w:val="P68B1DB1-Normal12"/>
              <w:spacing w:line="240" w:lineRule="auto"/>
              <w:jc w:val="center"/>
              <w:rPr>
                <w:noProof/>
              </w:rPr>
            </w:pPr>
            <w:r>
              <w:rPr>
                <w:rFonts w:eastAsia="Times New Roman"/>
                <w:b/>
                <w:noProof/>
              </w:rPr>
              <w:t>Kvalitativni pokazatelji</w:t>
            </w:r>
            <w:r>
              <w:rPr>
                <w:noProof/>
              </w:rPr>
              <w:br/>
            </w:r>
            <w:r>
              <w:rPr>
                <w:rFonts w:eastAsia="Times New Roman"/>
                <w:b/>
                <w:noProof/>
              </w:rPr>
              <w:t xml:space="preserve"> (za ključne etape) </w:t>
            </w:r>
          </w:p>
        </w:tc>
        <w:tc>
          <w:tcPr>
            <w:tcW w:w="2825" w:type="dxa"/>
            <w:gridSpan w:val="3"/>
            <w:shd w:val="clear" w:color="auto" w:fill="BDD7EE"/>
            <w:vAlign w:val="center"/>
          </w:tcPr>
          <w:p w14:paraId="3080339F" w14:textId="77777777" w:rsidR="00615E2D" w:rsidRDefault="00C83E46">
            <w:pPr>
              <w:pStyle w:val="P68B1DB1-Normal12"/>
              <w:spacing w:line="240" w:lineRule="auto"/>
              <w:jc w:val="center"/>
              <w:rPr>
                <w:noProof/>
              </w:rPr>
            </w:pPr>
            <w:r>
              <w:rPr>
                <w:rFonts w:eastAsia="Times New Roman"/>
                <w:b/>
                <w:noProof/>
              </w:rPr>
              <w:t>Kvantitativni pokazatelji</w:t>
            </w:r>
            <w:r>
              <w:rPr>
                <w:noProof/>
              </w:rPr>
              <w:br/>
            </w:r>
            <w:r>
              <w:rPr>
                <w:rFonts w:eastAsia="Times New Roman"/>
                <w:b/>
                <w:noProof/>
              </w:rPr>
              <w:t xml:space="preserve"> (za ciljeve)</w:t>
            </w:r>
          </w:p>
        </w:tc>
        <w:tc>
          <w:tcPr>
            <w:tcW w:w="1734" w:type="dxa"/>
            <w:gridSpan w:val="2"/>
            <w:shd w:val="clear" w:color="auto" w:fill="BDD7EE"/>
            <w:vAlign w:val="center"/>
          </w:tcPr>
          <w:p w14:paraId="4149288A" w14:textId="77777777" w:rsidR="00615E2D" w:rsidRDefault="00C83E46">
            <w:pPr>
              <w:pStyle w:val="P68B1DB1-Normal9"/>
              <w:spacing w:line="240" w:lineRule="auto"/>
              <w:jc w:val="center"/>
              <w:rPr>
                <w:noProof/>
              </w:rPr>
            </w:pPr>
            <w:r>
              <w:rPr>
                <w:noProof/>
              </w:rPr>
              <w:t xml:space="preserve">Okvirni vremenski okvir za dovršetak </w:t>
            </w:r>
          </w:p>
        </w:tc>
        <w:tc>
          <w:tcPr>
            <w:tcW w:w="4428" w:type="dxa"/>
            <w:vMerge w:val="restart"/>
            <w:shd w:val="clear" w:color="auto" w:fill="BDD7EE"/>
            <w:vAlign w:val="center"/>
          </w:tcPr>
          <w:p w14:paraId="2EA4FE71" w14:textId="77777777" w:rsidR="00615E2D" w:rsidRDefault="00C83E46">
            <w:pPr>
              <w:pStyle w:val="P68B1DB1-Normal9"/>
              <w:spacing w:line="240" w:lineRule="auto"/>
              <w:jc w:val="center"/>
              <w:rPr>
                <w:noProof/>
              </w:rPr>
            </w:pPr>
            <w:r>
              <w:rPr>
                <w:noProof/>
              </w:rPr>
              <w:t>Opis i jasna definicija svake ključne etape i ciljne vrijednosti</w:t>
            </w:r>
          </w:p>
        </w:tc>
      </w:tr>
      <w:tr w:rsidR="00615E2D" w14:paraId="42AFDFDF" w14:textId="77777777">
        <w:trPr>
          <w:trHeight w:val="173"/>
          <w:tblHeader/>
          <w:jc w:val="center"/>
        </w:trPr>
        <w:tc>
          <w:tcPr>
            <w:tcW w:w="641" w:type="dxa"/>
            <w:vMerge/>
            <w:vAlign w:val="center"/>
          </w:tcPr>
          <w:p w14:paraId="4DA321F6" w14:textId="77777777" w:rsidR="00615E2D" w:rsidRDefault="00615E2D">
            <w:pPr>
              <w:spacing w:line="240" w:lineRule="auto"/>
              <w:jc w:val="center"/>
              <w:rPr>
                <w:noProof/>
                <w:sz w:val="16"/>
              </w:rPr>
            </w:pPr>
          </w:p>
        </w:tc>
        <w:tc>
          <w:tcPr>
            <w:tcW w:w="1485" w:type="dxa"/>
            <w:vMerge/>
            <w:vAlign w:val="center"/>
          </w:tcPr>
          <w:p w14:paraId="065AC405" w14:textId="77777777" w:rsidR="00615E2D" w:rsidRDefault="00615E2D">
            <w:pPr>
              <w:spacing w:line="240" w:lineRule="auto"/>
              <w:jc w:val="center"/>
              <w:rPr>
                <w:noProof/>
                <w:sz w:val="16"/>
              </w:rPr>
            </w:pPr>
          </w:p>
        </w:tc>
        <w:tc>
          <w:tcPr>
            <w:tcW w:w="1134" w:type="dxa"/>
            <w:vMerge/>
            <w:vAlign w:val="center"/>
          </w:tcPr>
          <w:p w14:paraId="631EABA3" w14:textId="77777777" w:rsidR="00615E2D" w:rsidRDefault="00615E2D">
            <w:pPr>
              <w:spacing w:line="240" w:lineRule="auto"/>
              <w:jc w:val="center"/>
              <w:rPr>
                <w:noProof/>
                <w:sz w:val="16"/>
              </w:rPr>
            </w:pPr>
          </w:p>
        </w:tc>
        <w:tc>
          <w:tcPr>
            <w:tcW w:w="1063" w:type="dxa"/>
            <w:vMerge/>
            <w:vAlign w:val="center"/>
          </w:tcPr>
          <w:p w14:paraId="2AAB726B" w14:textId="77777777" w:rsidR="00615E2D" w:rsidRDefault="00615E2D">
            <w:pPr>
              <w:spacing w:line="240" w:lineRule="auto"/>
              <w:jc w:val="center"/>
              <w:rPr>
                <w:noProof/>
                <w:sz w:val="16"/>
              </w:rPr>
            </w:pPr>
          </w:p>
        </w:tc>
        <w:tc>
          <w:tcPr>
            <w:tcW w:w="1325" w:type="dxa"/>
            <w:vMerge/>
            <w:vAlign w:val="center"/>
          </w:tcPr>
          <w:p w14:paraId="0E51436C" w14:textId="77777777" w:rsidR="00615E2D" w:rsidRDefault="00615E2D">
            <w:pPr>
              <w:spacing w:line="240" w:lineRule="auto"/>
              <w:jc w:val="center"/>
              <w:rPr>
                <w:noProof/>
                <w:sz w:val="16"/>
              </w:rPr>
            </w:pPr>
          </w:p>
        </w:tc>
        <w:tc>
          <w:tcPr>
            <w:tcW w:w="1011" w:type="dxa"/>
            <w:shd w:val="clear" w:color="auto" w:fill="BDD7EE"/>
            <w:vAlign w:val="center"/>
          </w:tcPr>
          <w:p w14:paraId="5E9443D3" w14:textId="77777777" w:rsidR="00615E2D" w:rsidRDefault="00C83E46">
            <w:pPr>
              <w:pStyle w:val="P68B1DB1-Normal9"/>
              <w:spacing w:line="240" w:lineRule="auto"/>
              <w:jc w:val="center"/>
              <w:rPr>
                <w:noProof/>
              </w:rPr>
            </w:pPr>
            <w:r>
              <w:rPr>
                <w:noProof/>
              </w:rPr>
              <w:t>Jedinica mjere</w:t>
            </w:r>
          </w:p>
        </w:tc>
        <w:tc>
          <w:tcPr>
            <w:tcW w:w="1011" w:type="dxa"/>
            <w:shd w:val="clear" w:color="auto" w:fill="BDD7EE"/>
            <w:vAlign w:val="center"/>
          </w:tcPr>
          <w:p w14:paraId="78FADB54" w14:textId="77777777" w:rsidR="00615E2D" w:rsidRDefault="00C83E46">
            <w:pPr>
              <w:pStyle w:val="P68B1DB1-Normal9"/>
              <w:spacing w:line="240" w:lineRule="auto"/>
              <w:jc w:val="center"/>
              <w:rPr>
                <w:noProof/>
              </w:rPr>
            </w:pPr>
            <w:r>
              <w:rPr>
                <w:noProof/>
              </w:rPr>
              <w:t>Osnovna vrijednost</w:t>
            </w:r>
          </w:p>
        </w:tc>
        <w:tc>
          <w:tcPr>
            <w:tcW w:w="803" w:type="dxa"/>
            <w:shd w:val="clear" w:color="auto" w:fill="BDD7EE"/>
            <w:vAlign w:val="center"/>
          </w:tcPr>
          <w:p w14:paraId="4ABD1203" w14:textId="77777777" w:rsidR="00615E2D" w:rsidRDefault="00C83E46">
            <w:pPr>
              <w:pStyle w:val="P68B1DB1-Normal9"/>
              <w:spacing w:line="240" w:lineRule="auto"/>
              <w:jc w:val="center"/>
              <w:rPr>
                <w:noProof/>
              </w:rPr>
            </w:pPr>
            <w:r>
              <w:rPr>
                <w:noProof/>
              </w:rPr>
              <w:t>Cilj</w:t>
            </w:r>
          </w:p>
        </w:tc>
        <w:tc>
          <w:tcPr>
            <w:tcW w:w="964" w:type="dxa"/>
            <w:shd w:val="clear" w:color="auto" w:fill="BDD7EE"/>
            <w:vAlign w:val="center"/>
          </w:tcPr>
          <w:p w14:paraId="5268D787" w14:textId="77777777" w:rsidR="00615E2D" w:rsidRDefault="00C83E46">
            <w:pPr>
              <w:pStyle w:val="P68B1DB1-Normal9"/>
              <w:spacing w:line="240" w:lineRule="auto"/>
              <w:jc w:val="center"/>
              <w:rPr>
                <w:noProof/>
              </w:rPr>
            </w:pPr>
            <w:r>
              <w:rPr>
                <w:noProof/>
              </w:rPr>
              <w:t>Tromjesečje</w:t>
            </w:r>
          </w:p>
        </w:tc>
        <w:tc>
          <w:tcPr>
            <w:tcW w:w="961" w:type="dxa"/>
            <w:shd w:val="clear" w:color="auto" w:fill="BDD7EE"/>
            <w:vAlign w:val="center"/>
          </w:tcPr>
          <w:p w14:paraId="1B21391A" w14:textId="77777777" w:rsidR="00615E2D" w:rsidRDefault="00C83E46">
            <w:pPr>
              <w:pStyle w:val="P68B1DB1-Normal9"/>
              <w:spacing w:line="240" w:lineRule="auto"/>
              <w:jc w:val="center"/>
              <w:rPr>
                <w:noProof/>
              </w:rPr>
            </w:pPr>
            <w:r>
              <w:rPr>
                <w:noProof/>
              </w:rPr>
              <w:t>Godina</w:t>
            </w:r>
          </w:p>
        </w:tc>
        <w:tc>
          <w:tcPr>
            <w:tcW w:w="4428" w:type="dxa"/>
            <w:vMerge/>
            <w:vAlign w:val="center"/>
          </w:tcPr>
          <w:p w14:paraId="649852DD" w14:textId="77777777" w:rsidR="00615E2D" w:rsidRDefault="00615E2D">
            <w:pPr>
              <w:spacing w:line="240" w:lineRule="auto"/>
              <w:jc w:val="center"/>
              <w:rPr>
                <w:noProof/>
                <w:sz w:val="16"/>
              </w:rPr>
            </w:pPr>
          </w:p>
        </w:tc>
      </w:tr>
      <w:tr w:rsidR="00615E2D" w14:paraId="0F5FD51B" w14:textId="77777777">
        <w:trPr>
          <w:trHeight w:val="945"/>
          <w:jc w:val="center"/>
        </w:trPr>
        <w:tc>
          <w:tcPr>
            <w:tcW w:w="641" w:type="dxa"/>
            <w:tcBorders>
              <w:top w:val="single" w:sz="4" w:space="0" w:color="auto"/>
              <w:left w:val="single" w:sz="4" w:space="0" w:color="auto"/>
              <w:bottom w:val="single" w:sz="4" w:space="0" w:color="auto"/>
              <w:right w:val="single" w:sz="4" w:space="0" w:color="auto"/>
            </w:tcBorders>
            <w:shd w:val="clear" w:color="auto" w:fill="C6EFCE"/>
            <w:vAlign w:val="center"/>
          </w:tcPr>
          <w:p w14:paraId="702C43F4" w14:textId="77777777" w:rsidR="00615E2D" w:rsidRDefault="00C83E46">
            <w:pPr>
              <w:pStyle w:val="P68B1DB1-Normal16"/>
              <w:spacing w:line="240" w:lineRule="auto"/>
              <w:jc w:val="center"/>
              <w:rPr>
                <w:noProof/>
              </w:rPr>
            </w:pPr>
            <w:r>
              <w:rPr>
                <w:noProof/>
              </w:rPr>
              <w:t>236</w:t>
            </w:r>
          </w:p>
        </w:tc>
        <w:tc>
          <w:tcPr>
            <w:tcW w:w="1485" w:type="dxa"/>
            <w:tcBorders>
              <w:top w:val="single" w:sz="4" w:space="0" w:color="auto"/>
              <w:left w:val="single" w:sz="4" w:space="0" w:color="auto"/>
              <w:bottom w:val="single" w:sz="4" w:space="0" w:color="auto"/>
              <w:right w:val="single" w:sz="4" w:space="0" w:color="auto"/>
            </w:tcBorders>
            <w:shd w:val="clear" w:color="auto" w:fill="C6EFCE"/>
            <w:vAlign w:val="center"/>
          </w:tcPr>
          <w:p w14:paraId="6D37CE97" w14:textId="77777777" w:rsidR="00615E2D" w:rsidRDefault="00C83E46">
            <w:pPr>
              <w:pStyle w:val="P68B1DB1-Normal16"/>
              <w:spacing w:line="240" w:lineRule="auto"/>
              <w:rPr>
                <w:noProof/>
              </w:rPr>
            </w:pPr>
            <w:r>
              <w:rPr>
                <w:noProof/>
              </w:rPr>
              <w:t xml:space="preserve">Reforma 1.: Nacionalni onkološki program </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0FD66E0" w14:textId="77777777" w:rsidR="00615E2D" w:rsidRDefault="00C83E46">
            <w:pPr>
              <w:pStyle w:val="P68B1DB1-Normal16"/>
              <w:spacing w:line="240" w:lineRule="auto"/>
              <w:rPr>
                <w:noProof/>
              </w:rPr>
            </w:pPr>
            <w:r>
              <w:rPr>
                <w:noProof/>
              </w:rPr>
              <w:t>Prekretnica</w:t>
            </w:r>
          </w:p>
        </w:tc>
        <w:tc>
          <w:tcPr>
            <w:tcW w:w="1063" w:type="dxa"/>
            <w:tcBorders>
              <w:top w:val="single" w:sz="4" w:space="0" w:color="auto"/>
              <w:left w:val="single" w:sz="4" w:space="0" w:color="auto"/>
              <w:bottom w:val="single" w:sz="4" w:space="0" w:color="auto"/>
              <w:right w:val="single" w:sz="4" w:space="0" w:color="auto"/>
            </w:tcBorders>
            <w:shd w:val="clear" w:color="auto" w:fill="C6EFCE"/>
            <w:vAlign w:val="center"/>
          </w:tcPr>
          <w:p w14:paraId="64606821" w14:textId="77777777" w:rsidR="00615E2D" w:rsidRDefault="00C83E46">
            <w:pPr>
              <w:pStyle w:val="P68B1DB1-Normal16"/>
              <w:spacing w:line="240" w:lineRule="auto"/>
              <w:rPr>
                <w:noProof/>
              </w:rPr>
            </w:pPr>
            <w:r>
              <w:rPr>
                <w:noProof/>
              </w:rPr>
              <w:t xml:space="preserve"> Nacionalni onkološki program Češke Republike za razdoblje 2022. 2030.</w:t>
            </w:r>
          </w:p>
        </w:tc>
        <w:tc>
          <w:tcPr>
            <w:tcW w:w="1325" w:type="dxa"/>
            <w:tcBorders>
              <w:top w:val="single" w:sz="4" w:space="0" w:color="auto"/>
              <w:left w:val="single" w:sz="4" w:space="0" w:color="auto"/>
              <w:bottom w:val="single" w:sz="4" w:space="0" w:color="auto"/>
              <w:right w:val="single" w:sz="4" w:space="0" w:color="auto"/>
            </w:tcBorders>
            <w:shd w:val="clear" w:color="auto" w:fill="C6EFCE"/>
            <w:vAlign w:val="center"/>
          </w:tcPr>
          <w:p w14:paraId="6187A223" w14:textId="77777777" w:rsidR="00615E2D" w:rsidRDefault="00C83E46">
            <w:pPr>
              <w:pStyle w:val="P68B1DB1-Normal16"/>
              <w:spacing w:line="240" w:lineRule="auto"/>
              <w:rPr>
                <w:noProof/>
              </w:rPr>
            </w:pPr>
            <w:r>
              <w:rPr>
                <w:noProof/>
              </w:rPr>
              <w:t xml:space="preserve">Odobrenje Nacionalnog onkološkog programa za razdoblje 2022. – 2030. od strane vlade </w:t>
            </w: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2B6404FD" w14:textId="77777777" w:rsidR="00615E2D" w:rsidRDefault="00615E2D">
            <w:pPr>
              <w:spacing w:line="240" w:lineRule="auto"/>
              <w:rPr>
                <w:noProof/>
                <w:color w:val="004300"/>
                <w:sz w:val="18"/>
              </w:rPr>
            </w:pP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37202372" w14:textId="77777777" w:rsidR="00615E2D" w:rsidRDefault="00615E2D">
            <w:pPr>
              <w:spacing w:line="240" w:lineRule="auto"/>
              <w:jc w:val="center"/>
              <w:rPr>
                <w:noProof/>
                <w:color w:val="004300"/>
                <w:sz w:val="18"/>
              </w:rPr>
            </w:pPr>
          </w:p>
        </w:tc>
        <w:tc>
          <w:tcPr>
            <w:tcW w:w="803" w:type="dxa"/>
            <w:tcBorders>
              <w:top w:val="single" w:sz="4" w:space="0" w:color="auto"/>
              <w:left w:val="single" w:sz="4" w:space="0" w:color="auto"/>
              <w:bottom w:val="single" w:sz="4" w:space="0" w:color="auto"/>
              <w:right w:val="single" w:sz="4" w:space="0" w:color="auto"/>
            </w:tcBorders>
            <w:shd w:val="clear" w:color="auto" w:fill="C6EFCE"/>
            <w:vAlign w:val="center"/>
          </w:tcPr>
          <w:p w14:paraId="66FC9578" w14:textId="77777777" w:rsidR="00615E2D" w:rsidRDefault="00615E2D">
            <w:pPr>
              <w:spacing w:line="240" w:lineRule="auto"/>
              <w:jc w:val="center"/>
              <w:rPr>
                <w:noProof/>
                <w:color w:val="004300"/>
                <w:sz w:val="18"/>
              </w:rPr>
            </w:pPr>
          </w:p>
        </w:tc>
        <w:tc>
          <w:tcPr>
            <w:tcW w:w="964" w:type="dxa"/>
            <w:tcBorders>
              <w:top w:val="single" w:sz="4" w:space="0" w:color="auto"/>
              <w:left w:val="single" w:sz="4" w:space="0" w:color="auto"/>
              <w:bottom w:val="single" w:sz="4" w:space="0" w:color="auto"/>
              <w:right w:val="single" w:sz="4" w:space="0" w:color="auto"/>
            </w:tcBorders>
            <w:shd w:val="clear" w:color="auto" w:fill="C6EFCE"/>
            <w:vAlign w:val="center"/>
          </w:tcPr>
          <w:p w14:paraId="02FEFA42" w14:textId="77777777" w:rsidR="00615E2D" w:rsidRDefault="00C83E46">
            <w:pPr>
              <w:pStyle w:val="P68B1DB1-Normal16"/>
              <w:spacing w:line="240" w:lineRule="auto"/>
              <w:jc w:val="center"/>
              <w:rPr>
                <w:noProof/>
              </w:rPr>
            </w:pPr>
            <w:r>
              <w:rPr>
                <w:noProof/>
              </w:rPr>
              <w:t>ČETVRTO TROMJESEČJE</w:t>
            </w:r>
          </w:p>
        </w:tc>
        <w:tc>
          <w:tcPr>
            <w:tcW w:w="961" w:type="dxa"/>
            <w:tcBorders>
              <w:top w:val="single" w:sz="4" w:space="0" w:color="auto"/>
              <w:left w:val="single" w:sz="4" w:space="0" w:color="auto"/>
              <w:bottom w:val="single" w:sz="4" w:space="0" w:color="auto"/>
              <w:right w:val="single" w:sz="4" w:space="0" w:color="auto"/>
            </w:tcBorders>
            <w:shd w:val="clear" w:color="auto" w:fill="C6EFCE"/>
            <w:vAlign w:val="center"/>
          </w:tcPr>
          <w:p w14:paraId="0AD36B67" w14:textId="77777777" w:rsidR="00615E2D" w:rsidRDefault="00C83E46">
            <w:pPr>
              <w:pStyle w:val="P68B1DB1-Normal16"/>
              <w:spacing w:line="240" w:lineRule="auto"/>
              <w:jc w:val="center"/>
              <w:rPr>
                <w:noProof/>
              </w:rPr>
            </w:pPr>
            <w:r>
              <w:rPr>
                <w:noProof/>
              </w:rPr>
              <w:t>2021</w:t>
            </w:r>
          </w:p>
        </w:tc>
        <w:tc>
          <w:tcPr>
            <w:tcW w:w="4428" w:type="dxa"/>
            <w:tcBorders>
              <w:top w:val="single" w:sz="4" w:space="0" w:color="auto"/>
              <w:left w:val="single" w:sz="4" w:space="0" w:color="auto"/>
              <w:bottom w:val="single" w:sz="4" w:space="0" w:color="auto"/>
              <w:right w:val="single" w:sz="4" w:space="0" w:color="auto"/>
            </w:tcBorders>
            <w:shd w:val="clear" w:color="auto" w:fill="C6EFCE"/>
            <w:vAlign w:val="center"/>
          </w:tcPr>
          <w:p w14:paraId="6BCC1573" w14:textId="77777777" w:rsidR="00615E2D" w:rsidRDefault="00C83E46">
            <w:pPr>
              <w:pStyle w:val="P68B1DB1-Normal16"/>
              <w:spacing w:after="0" w:line="259" w:lineRule="auto"/>
              <w:contextualSpacing/>
              <w:rPr>
                <w:noProof/>
              </w:rPr>
            </w:pPr>
            <w:r>
              <w:rPr>
                <w:noProof/>
              </w:rPr>
              <w:t xml:space="preserve">Za izradu Nacionalnog onkološkog programa odgovoran je češko onkološko društvo uz savjetovanje s ključnim dionicima i dionicima, posebno Ministarstvom zdravstva, Nacionalnim centrima za onkologiju, centrima za visokospecijaliziranu skrb o raku i hematologiji, Zavodom za zdravstvene informacije i statistiku, predstavnicima pružatelja zdravstvene zaštite, društvima za zdravstveno osiguranje i udrugama pacijenata. </w:t>
            </w:r>
          </w:p>
        </w:tc>
      </w:tr>
      <w:tr w:rsidR="00615E2D" w14:paraId="4F85D084" w14:textId="77777777">
        <w:trPr>
          <w:trHeight w:val="2508"/>
          <w:jc w:val="center"/>
        </w:trPr>
        <w:tc>
          <w:tcPr>
            <w:tcW w:w="641" w:type="dxa"/>
            <w:tcBorders>
              <w:top w:val="single" w:sz="4" w:space="0" w:color="auto"/>
              <w:left w:val="single" w:sz="4" w:space="0" w:color="auto"/>
              <w:bottom w:val="single" w:sz="4" w:space="0" w:color="auto"/>
              <w:right w:val="single" w:sz="4" w:space="0" w:color="auto"/>
            </w:tcBorders>
            <w:shd w:val="clear" w:color="auto" w:fill="C6EFCE"/>
            <w:vAlign w:val="center"/>
          </w:tcPr>
          <w:p w14:paraId="6A7F2C92" w14:textId="77777777" w:rsidR="00615E2D" w:rsidRDefault="00C83E46">
            <w:pPr>
              <w:pStyle w:val="P68B1DB1-Normal16"/>
              <w:spacing w:line="240" w:lineRule="auto"/>
              <w:jc w:val="center"/>
              <w:rPr>
                <w:noProof/>
              </w:rPr>
            </w:pPr>
            <w:r>
              <w:rPr>
                <w:noProof/>
              </w:rPr>
              <w:t>237</w:t>
            </w:r>
          </w:p>
        </w:tc>
        <w:tc>
          <w:tcPr>
            <w:tcW w:w="1485" w:type="dxa"/>
            <w:tcBorders>
              <w:top w:val="single" w:sz="4" w:space="0" w:color="auto"/>
              <w:left w:val="single" w:sz="4" w:space="0" w:color="auto"/>
              <w:bottom w:val="single" w:sz="4" w:space="0" w:color="auto"/>
              <w:right w:val="single" w:sz="4" w:space="0" w:color="auto"/>
            </w:tcBorders>
            <w:shd w:val="clear" w:color="auto" w:fill="C6EFCE"/>
            <w:vAlign w:val="center"/>
          </w:tcPr>
          <w:p w14:paraId="2BDDCCFC" w14:textId="77777777" w:rsidR="00615E2D" w:rsidRDefault="00C83E46">
            <w:pPr>
              <w:pStyle w:val="P68B1DB1-Normal16"/>
              <w:spacing w:line="240" w:lineRule="auto"/>
              <w:rPr>
                <w:noProof/>
              </w:rPr>
            </w:pPr>
            <w:r>
              <w:rPr>
                <w:noProof/>
              </w:rPr>
              <w:t>Reforma br. 2: Podupiranje i poboljšanje kvalitete programa preventivnog probira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70DA142" w14:textId="77777777" w:rsidR="00615E2D" w:rsidRDefault="00C83E46">
            <w:pPr>
              <w:pStyle w:val="P68B1DB1-Normal16"/>
              <w:spacing w:line="240" w:lineRule="auto"/>
              <w:rPr>
                <w:noProof/>
              </w:rPr>
            </w:pPr>
            <w:r>
              <w:rPr>
                <w:noProof/>
              </w:rPr>
              <w:t>Prekretnica</w:t>
            </w:r>
          </w:p>
        </w:tc>
        <w:tc>
          <w:tcPr>
            <w:tcW w:w="1063" w:type="dxa"/>
            <w:tcBorders>
              <w:top w:val="single" w:sz="4" w:space="0" w:color="auto"/>
              <w:left w:val="single" w:sz="4" w:space="0" w:color="auto"/>
              <w:bottom w:val="single" w:sz="4" w:space="0" w:color="auto"/>
              <w:right w:val="single" w:sz="4" w:space="0" w:color="auto"/>
            </w:tcBorders>
            <w:shd w:val="clear" w:color="auto" w:fill="C6EFCE"/>
            <w:vAlign w:val="center"/>
          </w:tcPr>
          <w:p w14:paraId="60F04647" w14:textId="77777777" w:rsidR="00615E2D" w:rsidRDefault="00C83E46">
            <w:pPr>
              <w:pStyle w:val="P68B1DB1-Normal15"/>
              <w:spacing w:line="240" w:lineRule="auto"/>
              <w:rPr>
                <w:noProof/>
              </w:rPr>
            </w:pPr>
            <w:r>
              <w:rPr>
                <w:noProof/>
              </w:rPr>
              <w:t xml:space="preserve">Imenovanje institucije odgovorne za koordinaciju programa onkološkog probira </w:t>
            </w:r>
          </w:p>
        </w:tc>
        <w:tc>
          <w:tcPr>
            <w:tcW w:w="1325" w:type="dxa"/>
            <w:tcBorders>
              <w:top w:val="single" w:sz="4" w:space="0" w:color="auto"/>
              <w:left w:val="single" w:sz="4" w:space="0" w:color="auto"/>
              <w:bottom w:val="single" w:sz="4" w:space="0" w:color="auto"/>
              <w:right w:val="single" w:sz="4" w:space="0" w:color="auto"/>
            </w:tcBorders>
            <w:shd w:val="clear" w:color="auto" w:fill="C6EFCE"/>
            <w:vAlign w:val="center"/>
          </w:tcPr>
          <w:p w14:paraId="7CC501CF" w14:textId="77777777" w:rsidR="00615E2D" w:rsidRDefault="00C83E46">
            <w:pPr>
              <w:pStyle w:val="P68B1DB1-Normal16"/>
              <w:spacing w:line="240" w:lineRule="auto"/>
              <w:rPr>
                <w:noProof/>
              </w:rPr>
            </w:pPr>
            <w:r>
              <w:rPr>
                <w:noProof/>
              </w:rPr>
              <w:t xml:space="preserve">Nacionalni centar za provjeru koji je vlada imenovala tijelom odgovornim za koordinaciju programa probira raka </w:t>
            </w: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2CE3513F" w14:textId="77777777" w:rsidR="00615E2D" w:rsidRDefault="00615E2D">
            <w:pPr>
              <w:spacing w:line="240" w:lineRule="auto"/>
              <w:rPr>
                <w:noProof/>
                <w:color w:val="004300"/>
                <w:sz w:val="18"/>
              </w:rPr>
            </w:pP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27B098DB" w14:textId="77777777" w:rsidR="00615E2D" w:rsidRDefault="00615E2D">
            <w:pPr>
              <w:spacing w:line="240" w:lineRule="auto"/>
              <w:jc w:val="center"/>
              <w:rPr>
                <w:noProof/>
                <w:color w:val="004300"/>
                <w:sz w:val="18"/>
              </w:rPr>
            </w:pPr>
          </w:p>
        </w:tc>
        <w:tc>
          <w:tcPr>
            <w:tcW w:w="803" w:type="dxa"/>
            <w:tcBorders>
              <w:top w:val="single" w:sz="4" w:space="0" w:color="auto"/>
              <w:left w:val="single" w:sz="4" w:space="0" w:color="auto"/>
              <w:bottom w:val="single" w:sz="4" w:space="0" w:color="auto"/>
              <w:right w:val="single" w:sz="4" w:space="0" w:color="auto"/>
            </w:tcBorders>
            <w:shd w:val="clear" w:color="auto" w:fill="C6EFCE"/>
            <w:vAlign w:val="center"/>
          </w:tcPr>
          <w:p w14:paraId="3CE4E186" w14:textId="77777777" w:rsidR="00615E2D" w:rsidRDefault="00615E2D">
            <w:pPr>
              <w:spacing w:line="240" w:lineRule="auto"/>
              <w:jc w:val="center"/>
              <w:rPr>
                <w:noProof/>
                <w:color w:val="004300"/>
                <w:sz w:val="18"/>
              </w:rPr>
            </w:pPr>
          </w:p>
        </w:tc>
        <w:tc>
          <w:tcPr>
            <w:tcW w:w="964" w:type="dxa"/>
            <w:tcBorders>
              <w:top w:val="single" w:sz="4" w:space="0" w:color="auto"/>
              <w:left w:val="single" w:sz="4" w:space="0" w:color="auto"/>
              <w:bottom w:val="single" w:sz="4" w:space="0" w:color="auto"/>
              <w:right w:val="single" w:sz="4" w:space="0" w:color="auto"/>
            </w:tcBorders>
            <w:shd w:val="clear" w:color="auto" w:fill="C6EFCE"/>
            <w:vAlign w:val="center"/>
          </w:tcPr>
          <w:p w14:paraId="33ACB4F6" w14:textId="77777777" w:rsidR="00615E2D" w:rsidRDefault="00C83E46">
            <w:pPr>
              <w:pStyle w:val="P68B1DB1-Normal16"/>
              <w:spacing w:line="240" w:lineRule="auto"/>
              <w:jc w:val="center"/>
              <w:rPr>
                <w:noProof/>
                <w:highlight w:val="yellow"/>
              </w:rPr>
            </w:pPr>
            <w:r>
              <w:rPr>
                <w:noProof/>
              </w:rPr>
              <w:t>TROMJESEČJE</w:t>
            </w:r>
          </w:p>
        </w:tc>
        <w:tc>
          <w:tcPr>
            <w:tcW w:w="961" w:type="dxa"/>
            <w:tcBorders>
              <w:top w:val="single" w:sz="4" w:space="0" w:color="auto"/>
              <w:left w:val="single" w:sz="4" w:space="0" w:color="auto"/>
              <w:bottom w:val="single" w:sz="4" w:space="0" w:color="auto"/>
              <w:right w:val="single" w:sz="4" w:space="0" w:color="auto"/>
            </w:tcBorders>
            <w:shd w:val="clear" w:color="auto" w:fill="C6EFCE"/>
            <w:vAlign w:val="center"/>
          </w:tcPr>
          <w:p w14:paraId="03A70EB2" w14:textId="77777777" w:rsidR="00615E2D" w:rsidRDefault="00C83E46">
            <w:pPr>
              <w:pStyle w:val="P68B1DB1-Normal16"/>
              <w:spacing w:line="240" w:lineRule="auto"/>
              <w:jc w:val="center"/>
              <w:rPr>
                <w:noProof/>
                <w:highlight w:val="yellow"/>
              </w:rPr>
            </w:pPr>
            <w:r>
              <w:rPr>
                <w:noProof/>
              </w:rPr>
              <w:t>2025</w:t>
            </w:r>
          </w:p>
        </w:tc>
        <w:tc>
          <w:tcPr>
            <w:tcW w:w="4428" w:type="dxa"/>
            <w:tcBorders>
              <w:top w:val="single" w:sz="4" w:space="0" w:color="auto"/>
              <w:left w:val="single" w:sz="4" w:space="0" w:color="auto"/>
              <w:bottom w:val="single" w:sz="4" w:space="0" w:color="auto"/>
              <w:right w:val="single" w:sz="4" w:space="0" w:color="auto"/>
            </w:tcBorders>
            <w:shd w:val="clear" w:color="auto" w:fill="C6EFCE"/>
            <w:vAlign w:val="center"/>
          </w:tcPr>
          <w:p w14:paraId="3AEB8786" w14:textId="77777777" w:rsidR="00615E2D" w:rsidRDefault="00C83E46">
            <w:pPr>
              <w:pStyle w:val="P68B1DB1-Normal16"/>
              <w:spacing w:line="240" w:lineRule="auto"/>
              <w:rPr>
                <w:noProof/>
              </w:rPr>
            </w:pPr>
            <w:r>
              <w:rPr>
                <w:noProof/>
              </w:rPr>
              <w:t xml:space="preserve">Nacionalni centar za provjere odgovoran je za: </w:t>
            </w:r>
          </w:p>
          <w:p w14:paraId="78BAF6BE" w14:textId="77777777" w:rsidR="00615E2D" w:rsidRDefault="00C83E46">
            <w:pPr>
              <w:pStyle w:val="P68B1DB1-Normal16"/>
              <w:numPr>
                <w:ilvl w:val="0"/>
                <w:numId w:val="193"/>
              </w:numPr>
              <w:spacing w:after="0" w:line="259" w:lineRule="auto"/>
              <w:contextualSpacing/>
              <w:jc w:val="both"/>
              <w:rPr>
                <w:rFonts w:eastAsia="Times New Roman"/>
                <w:noProof/>
              </w:rPr>
            </w:pPr>
            <w:r>
              <w:rPr>
                <w:noProof/>
              </w:rPr>
              <w:t xml:space="preserve">koordinacija, planiranje, praćenje i evaluacija programa probira </w:t>
            </w:r>
          </w:p>
          <w:p w14:paraId="3798D9C6" w14:textId="77777777" w:rsidR="00615E2D" w:rsidRDefault="00C83E46">
            <w:pPr>
              <w:pStyle w:val="P68B1DB1-Normal16"/>
              <w:numPr>
                <w:ilvl w:val="0"/>
                <w:numId w:val="193"/>
              </w:numPr>
              <w:spacing w:after="0" w:line="259" w:lineRule="auto"/>
              <w:contextualSpacing/>
              <w:jc w:val="both"/>
              <w:rPr>
                <w:rFonts w:eastAsia="Times New Roman"/>
                <w:noProof/>
              </w:rPr>
            </w:pPr>
            <w:r>
              <w:rPr>
                <w:noProof/>
              </w:rPr>
              <w:t xml:space="preserve">uspostava prognostičkog sustava za planiranje novih programa prevencije i procjenu njihove isplativosti i učinka na sustav javnog zdravstvenog osiguranja; </w:t>
            </w:r>
          </w:p>
          <w:p w14:paraId="7DE7596B" w14:textId="77777777" w:rsidR="00615E2D" w:rsidRDefault="00C83E46">
            <w:pPr>
              <w:pStyle w:val="P68B1DB1-Normal16"/>
              <w:numPr>
                <w:ilvl w:val="0"/>
                <w:numId w:val="193"/>
              </w:numPr>
              <w:spacing w:after="0" w:line="259" w:lineRule="auto"/>
              <w:contextualSpacing/>
              <w:jc w:val="both"/>
              <w:rPr>
                <w:rFonts w:eastAsia="Times New Roman"/>
                <w:noProof/>
              </w:rPr>
            </w:pPr>
            <w:r>
              <w:rPr>
                <w:noProof/>
              </w:rPr>
              <w:t>uspostava baze podataka za praćenje i evaluaciju programa probira, uključujući uspostavu tablice pokazatelja kvalitete</w:t>
            </w:r>
          </w:p>
          <w:p w14:paraId="2F5E4B91" w14:textId="77777777" w:rsidR="00615E2D" w:rsidRDefault="00C83E46">
            <w:pPr>
              <w:pStyle w:val="P68B1DB1-Normal16"/>
              <w:numPr>
                <w:ilvl w:val="0"/>
                <w:numId w:val="193"/>
              </w:numPr>
              <w:spacing w:after="0" w:line="259" w:lineRule="auto"/>
              <w:contextualSpacing/>
              <w:jc w:val="both"/>
              <w:rPr>
                <w:noProof/>
              </w:rPr>
            </w:pPr>
            <w:r>
              <w:rPr>
                <w:noProof/>
              </w:rPr>
              <w:t xml:space="preserve">pilot-projekt novih programa probira </w:t>
            </w:r>
          </w:p>
        </w:tc>
      </w:tr>
      <w:tr w:rsidR="00615E2D" w14:paraId="3729637B" w14:textId="77777777">
        <w:trPr>
          <w:trHeight w:val="389"/>
          <w:jc w:val="center"/>
        </w:trPr>
        <w:tc>
          <w:tcPr>
            <w:tcW w:w="641" w:type="dxa"/>
            <w:tcBorders>
              <w:top w:val="single" w:sz="4" w:space="0" w:color="auto"/>
              <w:left w:val="single" w:sz="4" w:space="0" w:color="auto"/>
              <w:bottom w:val="single" w:sz="4" w:space="0" w:color="auto"/>
              <w:right w:val="single" w:sz="4" w:space="0" w:color="auto"/>
            </w:tcBorders>
            <w:shd w:val="clear" w:color="auto" w:fill="C6EFCE"/>
            <w:vAlign w:val="center"/>
          </w:tcPr>
          <w:p w14:paraId="5B9D45CC" w14:textId="77777777" w:rsidR="00615E2D" w:rsidRDefault="00C83E46">
            <w:pPr>
              <w:pStyle w:val="P68B1DB1-Normal16"/>
              <w:spacing w:line="240" w:lineRule="auto"/>
              <w:jc w:val="center"/>
              <w:rPr>
                <w:noProof/>
              </w:rPr>
            </w:pPr>
            <w:r>
              <w:rPr>
                <w:noProof/>
              </w:rPr>
              <w:t>238</w:t>
            </w:r>
          </w:p>
        </w:tc>
        <w:tc>
          <w:tcPr>
            <w:tcW w:w="1485" w:type="dxa"/>
            <w:tcBorders>
              <w:top w:val="single" w:sz="4" w:space="0" w:color="auto"/>
              <w:left w:val="single" w:sz="4" w:space="0" w:color="auto"/>
              <w:bottom w:val="single" w:sz="4" w:space="0" w:color="auto"/>
              <w:right w:val="single" w:sz="4" w:space="0" w:color="auto"/>
            </w:tcBorders>
            <w:shd w:val="clear" w:color="auto" w:fill="C6EFCE"/>
            <w:vAlign w:val="center"/>
          </w:tcPr>
          <w:p w14:paraId="3B8B87E3" w14:textId="77777777" w:rsidR="00615E2D" w:rsidRDefault="00C83E46">
            <w:pPr>
              <w:pStyle w:val="P68B1DB1-Normal16"/>
              <w:spacing w:line="240" w:lineRule="auto"/>
              <w:rPr>
                <w:noProof/>
              </w:rPr>
            </w:pPr>
            <w:r>
              <w:rPr>
                <w:noProof/>
              </w:rPr>
              <w:t>Reforma br. 2: Podupiranje i poboljšanje kvalitete programa preventivnog probira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2E8F511" w14:textId="77777777" w:rsidR="00615E2D" w:rsidRDefault="00C83E46">
            <w:pPr>
              <w:pStyle w:val="P68B1DB1-Normal16"/>
              <w:spacing w:line="240" w:lineRule="auto"/>
              <w:rPr>
                <w:noProof/>
              </w:rPr>
            </w:pPr>
            <w:r>
              <w:rPr>
                <w:noProof/>
              </w:rPr>
              <w:t>Ciljna</w:t>
            </w:r>
          </w:p>
        </w:tc>
        <w:tc>
          <w:tcPr>
            <w:tcW w:w="1063" w:type="dxa"/>
            <w:tcBorders>
              <w:top w:val="single" w:sz="4" w:space="0" w:color="auto"/>
              <w:left w:val="single" w:sz="4" w:space="0" w:color="auto"/>
              <w:bottom w:val="single" w:sz="4" w:space="0" w:color="auto"/>
              <w:right w:val="single" w:sz="4" w:space="0" w:color="auto"/>
            </w:tcBorders>
            <w:shd w:val="clear" w:color="auto" w:fill="C6EFCE"/>
            <w:vAlign w:val="center"/>
          </w:tcPr>
          <w:p w14:paraId="6E0E72B3" w14:textId="77777777" w:rsidR="00615E2D" w:rsidRDefault="00C83E46">
            <w:pPr>
              <w:pStyle w:val="P68B1DB1-Normal15"/>
              <w:spacing w:line="240" w:lineRule="auto"/>
              <w:rPr>
                <w:noProof/>
              </w:rPr>
            </w:pPr>
            <w:r>
              <w:rPr>
                <w:noProof/>
              </w:rPr>
              <w:t>Povećanje pokrivenosti ciljnog stanovništva programom probira raka debelog crijeva</w:t>
            </w:r>
          </w:p>
        </w:tc>
        <w:tc>
          <w:tcPr>
            <w:tcW w:w="1325" w:type="dxa"/>
            <w:tcBorders>
              <w:top w:val="single" w:sz="4" w:space="0" w:color="auto"/>
              <w:left w:val="single" w:sz="4" w:space="0" w:color="auto"/>
              <w:bottom w:val="single" w:sz="4" w:space="0" w:color="auto"/>
              <w:right w:val="single" w:sz="4" w:space="0" w:color="auto"/>
            </w:tcBorders>
            <w:shd w:val="clear" w:color="auto" w:fill="C6EFCE"/>
            <w:vAlign w:val="bottom"/>
          </w:tcPr>
          <w:p w14:paraId="3B534207" w14:textId="77777777" w:rsidR="00615E2D" w:rsidRDefault="00615E2D">
            <w:pPr>
              <w:spacing w:line="240" w:lineRule="auto"/>
              <w:rPr>
                <w:noProof/>
                <w:color w:val="004300"/>
                <w:sz w:val="18"/>
              </w:rPr>
            </w:pP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0418C9E8" w14:textId="77777777" w:rsidR="00615E2D" w:rsidRDefault="00C83E46">
            <w:pPr>
              <w:pStyle w:val="P68B1DB1-Normal16"/>
              <w:spacing w:line="240" w:lineRule="auto"/>
              <w:jc w:val="center"/>
              <w:rPr>
                <w:noProof/>
              </w:rPr>
            </w:pPr>
            <w:r>
              <w:rPr>
                <w:noProof/>
              </w:rPr>
              <w:t>%</w:t>
            </w: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46068812" w14:textId="77777777" w:rsidR="00615E2D" w:rsidRDefault="00C83E46">
            <w:pPr>
              <w:pStyle w:val="P68B1DB1-Normal16"/>
              <w:spacing w:line="240" w:lineRule="auto"/>
              <w:jc w:val="center"/>
              <w:rPr>
                <w:noProof/>
              </w:rPr>
            </w:pPr>
            <w:r>
              <w:rPr>
                <w:noProof/>
              </w:rPr>
              <w:t>34</w:t>
            </w:r>
          </w:p>
        </w:tc>
        <w:tc>
          <w:tcPr>
            <w:tcW w:w="803" w:type="dxa"/>
            <w:tcBorders>
              <w:top w:val="single" w:sz="4" w:space="0" w:color="auto"/>
              <w:left w:val="single" w:sz="4" w:space="0" w:color="auto"/>
              <w:bottom w:val="single" w:sz="4" w:space="0" w:color="auto"/>
              <w:right w:val="single" w:sz="4" w:space="0" w:color="auto"/>
            </w:tcBorders>
            <w:shd w:val="clear" w:color="auto" w:fill="C6EFCE"/>
            <w:vAlign w:val="center"/>
          </w:tcPr>
          <w:p w14:paraId="039EFCA0" w14:textId="77777777" w:rsidR="00615E2D" w:rsidRDefault="00C83E46">
            <w:pPr>
              <w:pStyle w:val="P68B1DB1-Normal16"/>
              <w:spacing w:line="240" w:lineRule="auto"/>
              <w:jc w:val="center"/>
              <w:rPr>
                <w:noProof/>
              </w:rPr>
            </w:pPr>
            <w:r>
              <w:rPr>
                <w:noProof/>
              </w:rPr>
              <w:t>40</w:t>
            </w:r>
          </w:p>
        </w:tc>
        <w:tc>
          <w:tcPr>
            <w:tcW w:w="964" w:type="dxa"/>
            <w:tcBorders>
              <w:top w:val="single" w:sz="4" w:space="0" w:color="auto"/>
              <w:left w:val="single" w:sz="4" w:space="0" w:color="auto"/>
              <w:bottom w:val="single" w:sz="4" w:space="0" w:color="auto"/>
              <w:right w:val="single" w:sz="4" w:space="0" w:color="auto"/>
            </w:tcBorders>
            <w:shd w:val="clear" w:color="auto" w:fill="C6EFCE"/>
            <w:vAlign w:val="center"/>
          </w:tcPr>
          <w:p w14:paraId="054E30B0" w14:textId="77777777" w:rsidR="00615E2D" w:rsidRDefault="00C83E46">
            <w:pPr>
              <w:pStyle w:val="P68B1DB1-Normal16"/>
              <w:spacing w:line="240" w:lineRule="auto"/>
              <w:jc w:val="center"/>
              <w:rPr>
                <w:noProof/>
              </w:rPr>
            </w:pPr>
            <w:r>
              <w:rPr>
                <w:noProof/>
              </w:rPr>
              <w:t>TROMJESEČJE</w:t>
            </w:r>
          </w:p>
        </w:tc>
        <w:tc>
          <w:tcPr>
            <w:tcW w:w="961" w:type="dxa"/>
            <w:tcBorders>
              <w:top w:val="single" w:sz="4" w:space="0" w:color="auto"/>
              <w:left w:val="single" w:sz="4" w:space="0" w:color="auto"/>
              <w:bottom w:val="single" w:sz="4" w:space="0" w:color="auto"/>
              <w:right w:val="single" w:sz="4" w:space="0" w:color="auto"/>
            </w:tcBorders>
            <w:shd w:val="clear" w:color="auto" w:fill="C6EFCE"/>
            <w:vAlign w:val="center"/>
          </w:tcPr>
          <w:p w14:paraId="23AE8A02" w14:textId="77777777" w:rsidR="00615E2D" w:rsidRDefault="00C83E46">
            <w:pPr>
              <w:pStyle w:val="P68B1DB1-Normal16"/>
              <w:spacing w:line="240" w:lineRule="auto"/>
              <w:jc w:val="center"/>
              <w:rPr>
                <w:noProof/>
              </w:rPr>
            </w:pPr>
            <w:r>
              <w:rPr>
                <w:noProof/>
              </w:rPr>
              <w:t>2026</w:t>
            </w:r>
          </w:p>
        </w:tc>
        <w:tc>
          <w:tcPr>
            <w:tcW w:w="4428" w:type="dxa"/>
            <w:tcBorders>
              <w:top w:val="single" w:sz="4" w:space="0" w:color="auto"/>
              <w:left w:val="single" w:sz="4" w:space="0" w:color="auto"/>
              <w:bottom w:val="single" w:sz="4" w:space="0" w:color="auto"/>
              <w:right w:val="single" w:sz="4" w:space="0" w:color="auto"/>
            </w:tcBorders>
            <w:shd w:val="clear" w:color="auto" w:fill="C6EFCE"/>
            <w:vAlign w:val="center"/>
          </w:tcPr>
          <w:p w14:paraId="79F13FCC" w14:textId="6B58EB79" w:rsidR="00615E2D" w:rsidRDefault="00C83E46">
            <w:pPr>
              <w:pStyle w:val="P68B1DB1-Normal16"/>
              <w:spacing w:line="240" w:lineRule="auto"/>
              <w:rPr>
                <w:noProof/>
              </w:rPr>
            </w:pPr>
            <w:r>
              <w:rPr>
                <w:noProof/>
              </w:rPr>
              <w:t>Sudjelovanje ciljne populacije u odgovarajućem testu probira (npr. dvogodišnji test na fakularnoj krvi) povećava se na najmanje 40 %.</w:t>
            </w:r>
          </w:p>
          <w:p w14:paraId="4D4E5E64" w14:textId="160936BF" w:rsidR="00615E2D" w:rsidRDefault="00615E2D">
            <w:pPr>
              <w:rPr>
                <w:noProof/>
                <w:sz w:val="18"/>
              </w:rPr>
            </w:pPr>
          </w:p>
          <w:p w14:paraId="7A86077D" w14:textId="77777777" w:rsidR="00615E2D" w:rsidRDefault="00615E2D">
            <w:pPr>
              <w:rPr>
                <w:noProof/>
                <w:sz w:val="18"/>
              </w:rPr>
            </w:pPr>
          </w:p>
        </w:tc>
      </w:tr>
      <w:tr w:rsidR="00615E2D" w14:paraId="20F8864B" w14:textId="77777777">
        <w:trPr>
          <w:trHeight w:val="603"/>
          <w:jc w:val="center"/>
        </w:trPr>
        <w:tc>
          <w:tcPr>
            <w:tcW w:w="641" w:type="dxa"/>
            <w:tcBorders>
              <w:top w:val="single" w:sz="4" w:space="0" w:color="auto"/>
              <w:left w:val="single" w:sz="4" w:space="0" w:color="auto"/>
              <w:bottom w:val="single" w:sz="4" w:space="0" w:color="auto"/>
              <w:right w:val="single" w:sz="4" w:space="0" w:color="auto"/>
            </w:tcBorders>
            <w:shd w:val="clear" w:color="auto" w:fill="C6EFCE"/>
            <w:vAlign w:val="center"/>
          </w:tcPr>
          <w:p w14:paraId="49DA2E97" w14:textId="77777777" w:rsidR="00615E2D" w:rsidRDefault="00C83E46">
            <w:pPr>
              <w:pStyle w:val="P68B1DB1-Normal16"/>
              <w:spacing w:line="240" w:lineRule="auto"/>
              <w:jc w:val="center"/>
              <w:rPr>
                <w:noProof/>
              </w:rPr>
            </w:pPr>
            <w:r>
              <w:rPr>
                <w:noProof/>
              </w:rPr>
              <w:t>239</w:t>
            </w:r>
          </w:p>
        </w:tc>
        <w:tc>
          <w:tcPr>
            <w:tcW w:w="1485" w:type="dxa"/>
            <w:tcBorders>
              <w:top w:val="single" w:sz="4" w:space="0" w:color="auto"/>
              <w:left w:val="single" w:sz="4" w:space="0" w:color="auto"/>
              <w:bottom w:val="single" w:sz="4" w:space="0" w:color="auto"/>
              <w:right w:val="single" w:sz="4" w:space="0" w:color="auto"/>
            </w:tcBorders>
            <w:shd w:val="clear" w:color="auto" w:fill="C6EFCE"/>
            <w:vAlign w:val="center"/>
          </w:tcPr>
          <w:p w14:paraId="523A2694" w14:textId="77777777" w:rsidR="00615E2D" w:rsidRDefault="00C83E46">
            <w:pPr>
              <w:pStyle w:val="P68B1DB1-Normal16"/>
              <w:spacing w:line="240" w:lineRule="auto"/>
              <w:rPr>
                <w:noProof/>
              </w:rPr>
            </w:pPr>
            <w:r>
              <w:rPr>
                <w:noProof/>
              </w:rPr>
              <w:t>Reforma br. 2: Podupiranje i poboljšanje kvalitete programa preventivnog probira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BE6DFCC" w14:textId="77777777" w:rsidR="00615E2D" w:rsidRDefault="00C83E46">
            <w:pPr>
              <w:pStyle w:val="P68B1DB1-Normal16"/>
              <w:spacing w:line="240" w:lineRule="auto"/>
              <w:rPr>
                <w:noProof/>
              </w:rPr>
            </w:pPr>
            <w:r>
              <w:rPr>
                <w:noProof/>
              </w:rPr>
              <w:t>Ciljna</w:t>
            </w:r>
          </w:p>
        </w:tc>
        <w:tc>
          <w:tcPr>
            <w:tcW w:w="1063" w:type="dxa"/>
            <w:tcBorders>
              <w:top w:val="single" w:sz="4" w:space="0" w:color="auto"/>
              <w:left w:val="single" w:sz="4" w:space="0" w:color="auto"/>
              <w:bottom w:val="single" w:sz="4" w:space="0" w:color="auto"/>
              <w:right w:val="single" w:sz="4" w:space="0" w:color="auto"/>
            </w:tcBorders>
            <w:shd w:val="clear" w:color="auto" w:fill="C6EFCE"/>
            <w:vAlign w:val="center"/>
          </w:tcPr>
          <w:p w14:paraId="03245B65" w14:textId="77777777" w:rsidR="00615E2D" w:rsidRDefault="00C83E46">
            <w:pPr>
              <w:pStyle w:val="P68B1DB1-Normal15"/>
              <w:spacing w:line="240" w:lineRule="auto"/>
              <w:rPr>
                <w:noProof/>
              </w:rPr>
            </w:pPr>
            <w:r>
              <w:rPr>
                <w:noProof/>
              </w:rPr>
              <w:t>Broj sudionika u novom programu ranog otkrivanja raka pluća</w:t>
            </w:r>
          </w:p>
        </w:tc>
        <w:tc>
          <w:tcPr>
            <w:tcW w:w="1325" w:type="dxa"/>
            <w:tcBorders>
              <w:top w:val="single" w:sz="4" w:space="0" w:color="auto"/>
              <w:left w:val="single" w:sz="4" w:space="0" w:color="auto"/>
              <w:bottom w:val="single" w:sz="4" w:space="0" w:color="auto"/>
              <w:right w:val="single" w:sz="4" w:space="0" w:color="auto"/>
            </w:tcBorders>
            <w:shd w:val="clear" w:color="auto" w:fill="C6EFCE"/>
            <w:vAlign w:val="bottom"/>
          </w:tcPr>
          <w:p w14:paraId="24D2F3B5" w14:textId="77777777" w:rsidR="00615E2D" w:rsidRDefault="00615E2D">
            <w:pPr>
              <w:spacing w:line="240" w:lineRule="auto"/>
              <w:rPr>
                <w:noProof/>
                <w:color w:val="004300"/>
                <w:sz w:val="18"/>
              </w:rPr>
            </w:pP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4BDC1B35" w14:textId="77777777" w:rsidR="00615E2D" w:rsidRDefault="00C83E46">
            <w:pPr>
              <w:pStyle w:val="P68B1DB1-Normal16"/>
              <w:spacing w:line="240" w:lineRule="auto"/>
              <w:rPr>
                <w:noProof/>
              </w:rPr>
            </w:pPr>
            <w:r>
              <w:rPr>
                <w:noProof/>
              </w:rPr>
              <w:t xml:space="preserve">Broj </w:t>
            </w: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560C906D" w14:textId="77777777" w:rsidR="00615E2D" w:rsidRDefault="00C83E46">
            <w:pPr>
              <w:pStyle w:val="P68B1DB1-Normal16"/>
              <w:spacing w:line="240" w:lineRule="auto"/>
              <w:jc w:val="center"/>
              <w:rPr>
                <w:noProof/>
              </w:rPr>
            </w:pPr>
            <w:r>
              <w:rPr>
                <w:noProof/>
              </w:rPr>
              <w:t>0</w:t>
            </w:r>
          </w:p>
        </w:tc>
        <w:tc>
          <w:tcPr>
            <w:tcW w:w="803" w:type="dxa"/>
            <w:tcBorders>
              <w:top w:val="single" w:sz="4" w:space="0" w:color="auto"/>
              <w:left w:val="single" w:sz="4" w:space="0" w:color="auto"/>
              <w:bottom w:val="single" w:sz="4" w:space="0" w:color="auto"/>
              <w:right w:val="single" w:sz="4" w:space="0" w:color="auto"/>
            </w:tcBorders>
            <w:shd w:val="clear" w:color="auto" w:fill="C6EFCE"/>
            <w:vAlign w:val="center"/>
          </w:tcPr>
          <w:p w14:paraId="3B0D8D13" w14:textId="77777777" w:rsidR="00615E2D" w:rsidRDefault="00C83E46">
            <w:pPr>
              <w:pStyle w:val="P68B1DB1-Normal16"/>
              <w:spacing w:line="240" w:lineRule="auto"/>
              <w:jc w:val="center"/>
              <w:rPr>
                <w:noProof/>
              </w:rPr>
            </w:pPr>
            <w:r>
              <w:rPr>
                <w:noProof/>
              </w:rPr>
              <w:t>20 000</w:t>
            </w:r>
          </w:p>
        </w:tc>
        <w:tc>
          <w:tcPr>
            <w:tcW w:w="964" w:type="dxa"/>
            <w:tcBorders>
              <w:top w:val="single" w:sz="4" w:space="0" w:color="auto"/>
              <w:left w:val="single" w:sz="4" w:space="0" w:color="auto"/>
              <w:bottom w:val="single" w:sz="4" w:space="0" w:color="auto"/>
              <w:right w:val="single" w:sz="4" w:space="0" w:color="auto"/>
            </w:tcBorders>
            <w:shd w:val="clear" w:color="auto" w:fill="C6EFCE"/>
            <w:vAlign w:val="center"/>
          </w:tcPr>
          <w:p w14:paraId="11E9E5D3" w14:textId="77777777" w:rsidR="00615E2D" w:rsidRDefault="00C83E46">
            <w:pPr>
              <w:pStyle w:val="P68B1DB1-Normal16"/>
              <w:spacing w:line="240" w:lineRule="auto"/>
              <w:jc w:val="center"/>
              <w:rPr>
                <w:noProof/>
              </w:rPr>
            </w:pPr>
            <w:r>
              <w:rPr>
                <w:noProof/>
              </w:rPr>
              <w:t>TROMJESEČJE</w:t>
            </w:r>
          </w:p>
        </w:tc>
        <w:tc>
          <w:tcPr>
            <w:tcW w:w="961" w:type="dxa"/>
            <w:tcBorders>
              <w:top w:val="single" w:sz="4" w:space="0" w:color="auto"/>
              <w:left w:val="single" w:sz="4" w:space="0" w:color="auto"/>
              <w:bottom w:val="single" w:sz="4" w:space="0" w:color="auto"/>
              <w:right w:val="single" w:sz="4" w:space="0" w:color="auto"/>
            </w:tcBorders>
            <w:shd w:val="clear" w:color="auto" w:fill="C6EFCE"/>
            <w:vAlign w:val="center"/>
          </w:tcPr>
          <w:p w14:paraId="552293E9" w14:textId="77777777" w:rsidR="00615E2D" w:rsidRDefault="00C83E46">
            <w:pPr>
              <w:pStyle w:val="P68B1DB1-Normal16"/>
              <w:spacing w:line="240" w:lineRule="auto"/>
              <w:jc w:val="center"/>
              <w:rPr>
                <w:noProof/>
              </w:rPr>
            </w:pPr>
            <w:r>
              <w:rPr>
                <w:noProof/>
              </w:rPr>
              <w:t>2026</w:t>
            </w:r>
          </w:p>
        </w:tc>
        <w:tc>
          <w:tcPr>
            <w:tcW w:w="4428" w:type="dxa"/>
            <w:tcBorders>
              <w:top w:val="single" w:sz="4" w:space="0" w:color="auto"/>
              <w:left w:val="single" w:sz="4" w:space="0" w:color="auto"/>
              <w:bottom w:val="single" w:sz="4" w:space="0" w:color="auto"/>
              <w:right w:val="single" w:sz="4" w:space="0" w:color="auto"/>
            </w:tcBorders>
            <w:shd w:val="clear" w:color="auto" w:fill="C6EFCE"/>
            <w:vAlign w:val="center"/>
          </w:tcPr>
          <w:p w14:paraId="2A913DB1" w14:textId="77777777" w:rsidR="00615E2D" w:rsidRDefault="00C83E46">
            <w:pPr>
              <w:pStyle w:val="P68B1DB1-Normal16"/>
              <w:pBdr>
                <w:top w:val="nil"/>
                <w:left w:val="nil"/>
                <w:bottom w:val="nil"/>
                <w:right w:val="nil"/>
                <w:between w:val="nil"/>
              </w:pBdr>
              <w:spacing w:after="0" w:line="259" w:lineRule="auto"/>
              <w:rPr>
                <w:noProof/>
              </w:rPr>
            </w:pPr>
            <w:r>
              <w:rPr>
                <w:noProof/>
              </w:rPr>
              <w:t xml:space="preserve">Pokreće se program ranog otkrivanja raka pluća i sudjeluje najmanje 20000 sudionika ciljne populacije. </w:t>
            </w:r>
          </w:p>
        </w:tc>
      </w:tr>
      <w:tr w:rsidR="00615E2D" w14:paraId="3DCA6D83" w14:textId="77777777">
        <w:trPr>
          <w:trHeight w:val="945"/>
          <w:jc w:val="center"/>
        </w:trPr>
        <w:tc>
          <w:tcPr>
            <w:tcW w:w="641" w:type="dxa"/>
            <w:tcBorders>
              <w:top w:val="single" w:sz="4" w:space="0" w:color="auto"/>
              <w:left w:val="single" w:sz="4" w:space="0" w:color="auto"/>
              <w:bottom w:val="single" w:sz="4" w:space="0" w:color="auto"/>
              <w:right w:val="single" w:sz="4" w:space="0" w:color="auto"/>
            </w:tcBorders>
            <w:shd w:val="clear" w:color="auto" w:fill="C6EFCE"/>
            <w:vAlign w:val="center"/>
          </w:tcPr>
          <w:p w14:paraId="7944C0A9" w14:textId="77777777" w:rsidR="00615E2D" w:rsidRDefault="00C83E46">
            <w:pPr>
              <w:pStyle w:val="P68B1DB1-Normal16"/>
              <w:spacing w:line="240" w:lineRule="auto"/>
              <w:jc w:val="center"/>
              <w:rPr>
                <w:noProof/>
              </w:rPr>
            </w:pPr>
            <w:r>
              <w:rPr>
                <w:noProof/>
              </w:rPr>
              <w:t>240</w:t>
            </w:r>
          </w:p>
        </w:tc>
        <w:tc>
          <w:tcPr>
            <w:tcW w:w="1485" w:type="dxa"/>
            <w:tcBorders>
              <w:top w:val="single" w:sz="4" w:space="0" w:color="auto"/>
              <w:left w:val="single" w:sz="4" w:space="0" w:color="auto"/>
              <w:bottom w:val="single" w:sz="4" w:space="0" w:color="auto"/>
              <w:right w:val="single" w:sz="4" w:space="0" w:color="auto"/>
            </w:tcBorders>
            <w:shd w:val="clear" w:color="auto" w:fill="C6EFCE"/>
            <w:vAlign w:val="center"/>
          </w:tcPr>
          <w:p w14:paraId="5DA0164B" w14:textId="77777777" w:rsidR="00615E2D" w:rsidRDefault="00C83E46">
            <w:pPr>
              <w:pStyle w:val="P68B1DB1-Normal16"/>
              <w:spacing w:line="240" w:lineRule="auto"/>
              <w:rPr>
                <w:noProof/>
              </w:rPr>
            </w:pPr>
            <w:r>
              <w:rPr>
                <w:noProof/>
              </w:rPr>
              <w:t>Ulaganje 1: Izgradnja i osnivanje češkog onkološkog instituta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618421AC" w14:textId="77777777" w:rsidR="00615E2D" w:rsidRDefault="00C83E46">
            <w:pPr>
              <w:pStyle w:val="P68B1DB1-Normal16"/>
              <w:spacing w:line="240" w:lineRule="auto"/>
              <w:rPr>
                <w:noProof/>
              </w:rPr>
            </w:pPr>
            <w:r>
              <w:rPr>
                <w:noProof/>
              </w:rPr>
              <w:t>Prekretnica</w:t>
            </w:r>
          </w:p>
        </w:tc>
        <w:tc>
          <w:tcPr>
            <w:tcW w:w="1063" w:type="dxa"/>
            <w:tcBorders>
              <w:top w:val="single" w:sz="4" w:space="0" w:color="auto"/>
              <w:left w:val="single" w:sz="4" w:space="0" w:color="auto"/>
              <w:bottom w:val="single" w:sz="4" w:space="0" w:color="auto"/>
              <w:right w:val="single" w:sz="4" w:space="0" w:color="auto"/>
            </w:tcBorders>
            <w:shd w:val="clear" w:color="auto" w:fill="C6EFCE"/>
            <w:vAlign w:val="center"/>
          </w:tcPr>
          <w:p w14:paraId="250CA8F0" w14:textId="77777777" w:rsidR="00615E2D" w:rsidRDefault="00C83E46">
            <w:pPr>
              <w:pStyle w:val="P68B1DB1-Normal15"/>
              <w:spacing w:line="240" w:lineRule="auto"/>
              <w:rPr>
                <w:noProof/>
              </w:rPr>
            </w:pPr>
            <w:r>
              <w:rPr>
                <w:noProof/>
              </w:rPr>
              <w:t xml:space="preserve">Studija izvedivosti koju je potvrdilo neovisno tijelo </w:t>
            </w:r>
          </w:p>
        </w:tc>
        <w:tc>
          <w:tcPr>
            <w:tcW w:w="1325" w:type="dxa"/>
            <w:tcBorders>
              <w:top w:val="single" w:sz="4" w:space="0" w:color="auto"/>
              <w:left w:val="single" w:sz="4" w:space="0" w:color="auto"/>
              <w:bottom w:val="single" w:sz="4" w:space="0" w:color="auto"/>
              <w:right w:val="single" w:sz="4" w:space="0" w:color="auto"/>
            </w:tcBorders>
            <w:shd w:val="clear" w:color="auto" w:fill="C6EFCE"/>
            <w:vAlign w:val="center"/>
          </w:tcPr>
          <w:p w14:paraId="71B9D6C7" w14:textId="77777777" w:rsidR="00615E2D" w:rsidRDefault="00C83E46">
            <w:pPr>
              <w:pStyle w:val="P68B1DB1-Normal15"/>
              <w:spacing w:line="259" w:lineRule="auto"/>
              <w:rPr>
                <w:noProof/>
              </w:rPr>
            </w:pPr>
            <w:r>
              <w:rPr>
                <w:noProof/>
              </w:rPr>
              <w:t xml:space="preserve">Potvrđivanje studije izvedivosti od strane neovisnog tijela </w:t>
            </w: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01717719" w14:textId="77777777" w:rsidR="00615E2D" w:rsidRDefault="00615E2D">
            <w:pPr>
              <w:spacing w:line="240" w:lineRule="auto"/>
              <w:rPr>
                <w:noProof/>
                <w:color w:val="004300"/>
                <w:sz w:val="18"/>
              </w:rPr>
            </w:pP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78F2B5A6" w14:textId="77777777" w:rsidR="00615E2D" w:rsidRDefault="00615E2D">
            <w:pPr>
              <w:spacing w:line="240" w:lineRule="auto"/>
              <w:jc w:val="center"/>
              <w:rPr>
                <w:noProof/>
                <w:color w:val="004300"/>
                <w:sz w:val="18"/>
              </w:rPr>
            </w:pPr>
          </w:p>
        </w:tc>
        <w:tc>
          <w:tcPr>
            <w:tcW w:w="803" w:type="dxa"/>
            <w:tcBorders>
              <w:top w:val="single" w:sz="4" w:space="0" w:color="auto"/>
              <w:left w:val="single" w:sz="4" w:space="0" w:color="auto"/>
              <w:bottom w:val="single" w:sz="4" w:space="0" w:color="auto"/>
              <w:right w:val="single" w:sz="4" w:space="0" w:color="auto"/>
            </w:tcBorders>
            <w:shd w:val="clear" w:color="auto" w:fill="C6EFCE"/>
            <w:vAlign w:val="center"/>
          </w:tcPr>
          <w:p w14:paraId="122F8AA8" w14:textId="77777777" w:rsidR="00615E2D" w:rsidRDefault="00615E2D">
            <w:pPr>
              <w:spacing w:line="240" w:lineRule="auto"/>
              <w:jc w:val="center"/>
              <w:rPr>
                <w:noProof/>
                <w:color w:val="004300"/>
                <w:sz w:val="18"/>
              </w:rPr>
            </w:pPr>
          </w:p>
        </w:tc>
        <w:tc>
          <w:tcPr>
            <w:tcW w:w="964" w:type="dxa"/>
            <w:tcBorders>
              <w:top w:val="single" w:sz="4" w:space="0" w:color="auto"/>
              <w:left w:val="single" w:sz="4" w:space="0" w:color="auto"/>
              <w:bottom w:val="single" w:sz="4" w:space="0" w:color="auto"/>
              <w:right w:val="single" w:sz="4" w:space="0" w:color="auto"/>
            </w:tcBorders>
            <w:shd w:val="clear" w:color="auto" w:fill="C6EFCE"/>
            <w:vAlign w:val="center"/>
          </w:tcPr>
          <w:p w14:paraId="44E71CE2" w14:textId="77777777" w:rsidR="00615E2D" w:rsidRDefault="00C83E46">
            <w:pPr>
              <w:pStyle w:val="P68B1DB1-Normal16"/>
              <w:spacing w:line="240" w:lineRule="auto"/>
              <w:jc w:val="center"/>
              <w:rPr>
                <w:noProof/>
              </w:rPr>
            </w:pPr>
            <w:r>
              <w:rPr>
                <w:noProof/>
              </w:rPr>
              <w:t>ČETVRTO TROMJESEČJE</w:t>
            </w:r>
          </w:p>
        </w:tc>
        <w:tc>
          <w:tcPr>
            <w:tcW w:w="961" w:type="dxa"/>
            <w:tcBorders>
              <w:top w:val="single" w:sz="4" w:space="0" w:color="auto"/>
              <w:left w:val="single" w:sz="4" w:space="0" w:color="auto"/>
              <w:bottom w:val="single" w:sz="4" w:space="0" w:color="auto"/>
              <w:right w:val="single" w:sz="4" w:space="0" w:color="auto"/>
            </w:tcBorders>
            <w:shd w:val="clear" w:color="auto" w:fill="C6EFCE"/>
            <w:vAlign w:val="center"/>
          </w:tcPr>
          <w:p w14:paraId="714BD95F" w14:textId="77777777" w:rsidR="00615E2D" w:rsidRDefault="00C83E46">
            <w:pPr>
              <w:pStyle w:val="P68B1DB1-Normal16"/>
              <w:spacing w:line="240" w:lineRule="auto"/>
              <w:jc w:val="center"/>
              <w:rPr>
                <w:noProof/>
              </w:rPr>
            </w:pPr>
            <w:r>
              <w:rPr>
                <w:noProof/>
              </w:rPr>
              <w:t>2022</w:t>
            </w:r>
          </w:p>
        </w:tc>
        <w:tc>
          <w:tcPr>
            <w:tcW w:w="4428" w:type="dxa"/>
            <w:tcBorders>
              <w:top w:val="single" w:sz="4" w:space="0" w:color="auto"/>
              <w:left w:val="single" w:sz="4" w:space="0" w:color="auto"/>
              <w:bottom w:val="single" w:sz="4" w:space="0" w:color="auto"/>
              <w:right w:val="single" w:sz="4" w:space="0" w:color="auto"/>
            </w:tcBorders>
            <w:shd w:val="clear" w:color="auto" w:fill="C6EFCE"/>
            <w:vAlign w:val="center"/>
          </w:tcPr>
          <w:p w14:paraId="05DF1876" w14:textId="77777777" w:rsidR="00615E2D" w:rsidRDefault="00C83E46">
            <w:pPr>
              <w:pStyle w:val="P68B1DB1-Normal16"/>
              <w:spacing w:line="240" w:lineRule="auto"/>
              <w:rPr>
                <w:noProof/>
              </w:rPr>
            </w:pPr>
            <w:r>
              <w:rPr>
                <w:noProof/>
              </w:rPr>
              <w:t>Neovisno tijelo potvrđuje:</w:t>
            </w:r>
          </w:p>
          <w:p w14:paraId="5ABA1F96" w14:textId="77777777" w:rsidR="00615E2D" w:rsidRDefault="00C83E46">
            <w:pPr>
              <w:pStyle w:val="P68B1DB1-Normal16"/>
              <w:numPr>
                <w:ilvl w:val="0"/>
                <w:numId w:val="200"/>
              </w:numPr>
              <w:spacing w:line="240" w:lineRule="auto"/>
              <w:rPr>
                <w:noProof/>
              </w:rPr>
            </w:pPr>
            <w:r>
              <w:rPr>
                <w:noProof/>
              </w:rPr>
              <w:t xml:space="preserve">Medicinski program/funkcionalni plan i nacrt projekta pogodan za potrebe projektiranja i izgradnje nabave, </w:t>
            </w:r>
          </w:p>
          <w:p w14:paraId="315AAA97" w14:textId="77777777" w:rsidR="00615E2D" w:rsidRDefault="00C83E46">
            <w:pPr>
              <w:pStyle w:val="P68B1DB1-Normal16"/>
              <w:numPr>
                <w:ilvl w:val="0"/>
                <w:numId w:val="200"/>
              </w:numPr>
              <w:spacing w:line="240" w:lineRule="auto"/>
              <w:rPr>
                <w:noProof/>
              </w:rPr>
            </w:pPr>
            <w:r>
              <w:rPr>
                <w:noProof/>
              </w:rPr>
              <w:t xml:space="preserve">Studija izvedivosti, uključujući procjenu potreba u kontekstu šire zdravstvene strategije, tehničku, operativnu i gospodarsku izvedivost, održivost u financijskom i kadrovskom smislu te učinak na pružanje onkološke skrbi na regionalnoj i nacionalnoj razini, među ostalim na vrijeme putovanja i stručnu osposobljenost. </w:t>
            </w:r>
          </w:p>
          <w:p w14:paraId="7E4F284F" w14:textId="77777777" w:rsidR="00615E2D" w:rsidRDefault="00C83E46">
            <w:pPr>
              <w:pStyle w:val="P68B1DB1-Normal16"/>
              <w:spacing w:line="240" w:lineRule="auto"/>
              <w:rPr>
                <w:noProof/>
              </w:rPr>
            </w:pPr>
            <w:r>
              <w:rPr>
                <w:noProof/>
              </w:rPr>
              <w:t>Europska komisija predstavila je preporučene smjernice studije izvedivosti u „Vodiču za analizu troškova i koristi investicijskih projekata, prosinac 2014.</w:t>
            </w:r>
          </w:p>
        </w:tc>
      </w:tr>
      <w:tr w:rsidR="00615E2D" w14:paraId="791D74FF" w14:textId="77777777">
        <w:trPr>
          <w:trHeight w:val="945"/>
          <w:jc w:val="center"/>
        </w:trPr>
        <w:tc>
          <w:tcPr>
            <w:tcW w:w="641" w:type="dxa"/>
            <w:tcBorders>
              <w:top w:val="single" w:sz="4" w:space="0" w:color="auto"/>
              <w:left w:val="single" w:sz="4" w:space="0" w:color="auto"/>
              <w:bottom w:val="single" w:sz="4" w:space="0" w:color="auto"/>
              <w:right w:val="single" w:sz="4" w:space="0" w:color="auto"/>
            </w:tcBorders>
            <w:shd w:val="clear" w:color="auto" w:fill="C6EFCE"/>
            <w:vAlign w:val="center"/>
          </w:tcPr>
          <w:p w14:paraId="19D81C86" w14:textId="77777777" w:rsidR="00615E2D" w:rsidRDefault="00C83E46">
            <w:pPr>
              <w:pStyle w:val="P68B1DB1-Normal16"/>
              <w:spacing w:line="240" w:lineRule="auto"/>
              <w:jc w:val="center"/>
              <w:rPr>
                <w:noProof/>
              </w:rPr>
            </w:pPr>
            <w:r>
              <w:rPr>
                <w:noProof/>
              </w:rPr>
              <w:t>241</w:t>
            </w:r>
          </w:p>
        </w:tc>
        <w:tc>
          <w:tcPr>
            <w:tcW w:w="1485" w:type="dxa"/>
            <w:tcBorders>
              <w:top w:val="single" w:sz="4" w:space="0" w:color="auto"/>
              <w:left w:val="single" w:sz="4" w:space="0" w:color="auto"/>
              <w:bottom w:val="single" w:sz="4" w:space="0" w:color="auto"/>
              <w:right w:val="single" w:sz="4" w:space="0" w:color="auto"/>
            </w:tcBorders>
            <w:shd w:val="clear" w:color="auto" w:fill="C6EFCE"/>
            <w:vAlign w:val="center"/>
          </w:tcPr>
          <w:p w14:paraId="12CB03AB" w14:textId="77777777" w:rsidR="00615E2D" w:rsidRDefault="00C83E46">
            <w:pPr>
              <w:pStyle w:val="P68B1DB1-Normal16"/>
              <w:spacing w:line="240" w:lineRule="auto"/>
              <w:rPr>
                <w:noProof/>
              </w:rPr>
            </w:pPr>
            <w:r>
              <w:rPr>
                <w:noProof/>
              </w:rPr>
              <w:t>Ulaganje 1: Izgradnja i osnivanje češkog onkološkog instituta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1587970" w14:textId="77777777" w:rsidR="00615E2D" w:rsidRDefault="00C83E46">
            <w:pPr>
              <w:pStyle w:val="P68B1DB1-Normal16"/>
              <w:spacing w:line="240" w:lineRule="auto"/>
              <w:rPr>
                <w:noProof/>
              </w:rPr>
            </w:pPr>
            <w:r>
              <w:rPr>
                <w:noProof/>
              </w:rPr>
              <w:t>Prekretnica</w:t>
            </w:r>
          </w:p>
        </w:tc>
        <w:tc>
          <w:tcPr>
            <w:tcW w:w="1063" w:type="dxa"/>
            <w:tcBorders>
              <w:top w:val="single" w:sz="4" w:space="0" w:color="auto"/>
              <w:left w:val="single" w:sz="4" w:space="0" w:color="auto"/>
              <w:bottom w:val="single" w:sz="4" w:space="0" w:color="auto"/>
              <w:right w:val="single" w:sz="4" w:space="0" w:color="auto"/>
            </w:tcBorders>
            <w:shd w:val="clear" w:color="auto" w:fill="C6EFCE"/>
            <w:vAlign w:val="center"/>
          </w:tcPr>
          <w:p w14:paraId="0A3767A7" w14:textId="77777777" w:rsidR="00615E2D" w:rsidRDefault="00C83E46">
            <w:pPr>
              <w:pStyle w:val="P68B1DB1-Normal15"/>
              <w:spacing w:line="240" w:lineRule="auto"/>
              <w:rPr>
                <w:noProof/>
              </w:rPr>
            </w:pPr>
            <w:r>
              <w:rPr>
                <w:noProof/>
              </w:rPr>
              <w:t xml:space="preserve">Početak rada češkog instituta za onkologiju </w:t>
            </w:r>
          </w:p>
        </w:tc>
        <w:tc>
          <w:tcPr>
            <w:tcW w:w="1325" w:type="dxa"/>
            <w:tcBorders>
              <w:top w:val="single" w:sz="4" w:space="0" w:color="auto"/>
              <w:left w:val="single" w:sz="4" w:space="0" w:color="auto"/>
              <w:bottom w:val="single" w:sz="4" w:space="0" w:color="auto"/>
              <w:right w:val="single" w:sz="4" w:space="0" w:color="auto"/>
            </w:tcBorders>
            <w:shd w:val="clear" w:color="auto" w:fill="C6EFCE"/>
            <w:vAlign w:val="center"/>
          </w:tcPr>
          <w:p w14:paraId="0A901A5C" w14:textId="77777777" w:rsidR="00615E2D" w:rsidRDefault="00C83E46">
            <w:pPr>
              <w:pStyle w:val="P68B1DB1-Normal15"/>
              <w:spacing w:line="240" w:lineRule="auto"/>
              <w:rPr>
                <w:noProof/>
              </w:rPr>
            </w:pPr>
            <w:r>
              <w:rPr>
                <w:noProof/>
              </w:rPr>
              <w:t xml:space="preserve">Dozvola za rad koju je Ministarstvo zdravstva izdalo češkom zavodu za onkologiju </w:t>
            </w: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554FE0BC" w14:textId="77777777" w:rsidR="00615E2D" w:rsidRDefault="00615E2D">
            <w:pPr>
              <w:spacing w:line="240" w:lineRule="auto"/>
              <w:rPr>
                <w:noProof/>
                <w:color w:val="004300"/>
                <w:sz w:val="18"/>
              </w:rPr>
            </w:pP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746D77AB" w14:textId="77777777" w:rsidR="00615E2D" w:rsidRDefault="00615E2D">
            <w:pPr>
              <w:spacing w:line="240" w:lineRule="auto"/>
              <w:jc w:val="center"/>
              <w:rPr>
                <w:noProof/>
                <w:color w:val="004300"/>
                <w:sz w:val="18"/>
              </w:rPr>
            </w:pPr>
          </w:p>
        </w:tc>
        <w:tc>
          <w:tcPr>
            <w:tcW w:w="803" w:type="dxa"/>
            <w:tcBorders>
              <w:top w:val="single" w:sz="4" w:space="0" w:color="auto"/>
              <w:left w:val="single" w:sz="4" w:space="0" w:color="auto"/>
              <w:bottom w:val="single" w:sz="4" w:space="0" w:color="auto"/>
              <w:right w:val="single" w:sz="4" w:space="0" w:color="auto"/>
            </w:tcBorders>
            <w:shd w:val="clear" w:color="auto" w:fill="C6EFCE"/>
            <w:vAlign w:val="center"/>
          </w:tcPr>
          <w:p w14:paraId="2694C020" w14:textId="77777777" w:rsidR="00615E2D" w:rsidRDefault="00615E2D">
            <w:pPr>
              <w:spacing w:line="240" w:lineRule="auto"/>
              <w:jc w:val="center"/>
              <w:rPr>
                <w:noProof/>
                <w:color w:val="004300"/>
                <w:sz w:val="18"/>
              </w:rPr>
            </w:pPr>
          </w:p>
        </w:tc>
        <w:tc>
          <w:tcPr>
            <w:tcW w:w="964" w:type="dxa"/>
            <w:tcBorders>
              <w:top w:val="single" w:sz="4" w:space="0" w:color="auto"/>
              <w:left w:val="single" w:sz="4" w:space="0" w:color="auto"/>
              <w:bottom w:val="single" w:sz="4" w:space="0" w:color="auto"/>
              <w:right w:val="single" w:sz="4" w:space="0" w:color="auto"/>
            </w:tcBorders>
            <w:shd w:val="clear" w:color="auto" w:fill="C6EFCE"/>
            <w:vAlign w:val="center"/>
          </w:tcPr>
          <w:p w14:paraId="339B5FC5" w14:textId="77777777" w:rsidR="00615E2D" w:rsidRDefault="00C83E46">
            <w:pPr>
              <w:pStyle w:val="P68B1DB1-Normal16"/>
              <w:spacing w:line="240" w:lineRule="auto"/>
              <w:jc w:val="center"/>
              <w:rPr>
                <w:rFonts w:eastAsia="Times New Roman"/>
                <w:noProof/>
              </w:rPr>
            </w:pPr>
            <w:r>
              <w:rPr>
                <w:noProof/>
              </w:rPr>
              <w:t>TROMJESEČJE</w:t>
            </w:r>
          </w:p>
        </w:tc>
        <w:tc>
          <w:tcPr>
            <w:tcW w:w="961" w:type="dxa"/>
            <w:tcBorders>
              <w:top w:val="single" w:sz="4" w:space="0" w:color="auto"/>
              <w:left w:val="single" w:sz="4" w:space="0" w:color="auto"/>
              <w:bottom w:val="single" w:sz="4" w:space="0" w:color="auto"/>
              <w:right w:val="single" w:sz="4" w:space="0" w:color="auto"/>
            </w:tcBorders>
            <w:shd w:val="clear" w:color="auto" w:fill="C6EFCE"/>
            <w:vAlign w:val="center"/>
          </w:tcPr>
          <w:p w14:paraId="6AB5E1BB" w14:textId="77777777" w:rsidR="00615E2D" w:rsidRDefault="00C83E46">
            <w:pPr>
              <w:pStyle w:val="P68B1DB1-Normal16"/>
              <w:spacing w:line="240" w:lineRule="auto"/>
              <w:jc w:val="center"/>
              <w:rPr>
                <w:noProof/>
              </w:rPr>
            </w:pPr>
            <w:r>
              <w:rPr>
                <w:noProof/>
              </w:rPr>
              <w:t>2026</w:t>
            </w:r>
          </w:p>
        </w:tc>
        <w:tc>
          <w:tcPr>
            <w:tcW w:w="4428" w:type="dxa"/>
            <w:tcBorders>
              <w:top w:val="single" w:sz="4" w:space="0" w:color="auto"/>
              <w:left w:val="single" w:sz="4" w:space="0" w:color="auto"/>
              <w:bottom w:val="single" w:sz="4" w:space="0" w:color="auto"/>
              <w:right w:val="single" w:sz="4" w:space="0" w:color="auto"/>
            </w:tcBorders>
            <w:shd w:val="clear" w:color="auto" w:fill="C6EFCE"/>
            <w:vAlign w:val="center"/>
          </w:tcPr>
          <w:p w14:paraId="5EA1A29E" w14:textId="77777777" w:rsidR="00615E2D" w:rsidRDefault="00C83E46">
            <w:pPr>
              <w:pStyle w:val="P68B1DB1-Normal16"/>
              <w:spacing w:line="240" w:lineRule="auto"/>
              <w:jc w:val="both"/>
              <w:rPr>
                <w:noProof/>
              </w:rPr>
            </w:pPr>
            <w:r>
              <w:rPr>
                <w:noProof/>
              </w:rPr>
              <w:t xml:space="preserve">Dovršeni građevinski radovi i stečena dozvola za rad. </w:t>
            </w:r>
          </w:p>
          <w:p w14:paraId="79E85F83" w14:textId="77777777" w:rsidR="00615E2D" w:rsidRDefault="00C83E46">
            <w:pPr>
              <w:pStyle w:val="P68B1DB1-Normal16"/>
              <w:spacing w:after="160" w:line="259" w:lineRule="auto"/>
              <w:contextualSpacing/>
              <w:jc w:val="both"/>
              <w:rPr>
                <w:noProof/>
              </w:rPr>
            </w:pPr>
            <w:r>
              <w:rPr>
                <w:noProof/>
              </w:rPr>
              <w:t xml:space="preserve">Kapacitet mora biti najmanje 300 kreveta za bolničku skrb (što dovodi do povećanja broja kreveta za liječenje raka od strane dotičnog pružatelja zdravstvene zaštite s najmanje 50 kreveta). </w:t>
            </w:r>
          </w:p>
          <w:p w14:paraId="72426B5B" w14:textId="77777777" w:rsidR="00615E2D" w:rsidRDefault="00C83E46">
            <w:pPr>
              <w:pStyle w:val="P68B1DB1-Normal15"/>
              <w:spacing w:line="240" w:lineRule="auto"/>
              <w:rPr>
                <w:noProof/>
              </w:rPr>
            </w:pPr>
            <w:r>
              <w:rPr>
                <w:noProof/>
              </w:rPr>
              <w:t xml:space="preserve">Izgradnja podliježe otvorenim i javnim natječajima. </w:t>
            </w:r>
          </w:p>
        </w:tc>
      </w:tr>
      <w:tr w:rsidR="00615E2D" w14:paraId="7C03415F" w14:textId="77777777">
        <w:trPr>
          <w:trHeight w:val="603"/>
          <w:jc w:val="center"/>
        </w:trPr>
        <w:tc>
          <w:tcPr>
            <w:tcW w:w="641" w:type="dxa"/>
            <w:tcBorders>
              <w:top w:val="single" w:sz="4" w:space="0" w:color="auto"/>
              <w:left w:val="single" w:sz="4" w:space="0" w:color="auto"/>
              <w:bottom w:val="single" w:sz="4" w:space="0" w:color="auto"/>
              <w:right w:val="single" w:sz="4" w:space="0" w:color="auto"/>
            </w:tcBorders>
            <w:shd w:val="clear" w:color="auto" w:fill="C6EFCE"/>
            <w:vAlign w:val="center"/>
          </w:tcPr>
          <w:p w14:paraId="7A1E4D0D" w14:textId="77777777" w:rsidR="00615E2D" w:rsidRDefault="00C83E46">
            <w:pPr>
              <w:pStyle w:val="P68B1DB1-Normal16"/>
              <w:spacing w:line="240" w:lineRule="auto"/>
              <w:jc w:val="center"/>
              <w:rPr>
                <w:noProof/>
              </w:rPr>
            </w:pPr>
            <w:r>
              <w:rPr>
                <w:noProof/>
              </w:rPr>
              <w:t>242</w:t>
            </w:r>
          </w:p>
        </w:tc>
        <w:tc>
          <w:tcPr>
            <w:tcW w:w="1485" w:type="dxa"/>
            <w:tcBorders>
              <w:top w:val="single" w:sz="4" w:space="0" w:color="auto"/>
              <w:left w:val="single" w:sz="4" w:space="0" w:color="auto"/>
              <w:bottom w:val="single" w:sz="4" w:space="0" w:color="auto"/>
              <w:right w:val="single" w:sz="4" w:space="0" w:color="auto"/>
            </w:tcBorders>
            <w:shd w:val="clear" w:color="auto" w:fill="C6EFCE"/>
            <w:vAlign w:val="center"/>
          </w:tcPr>
          <w:p w14:paraId="777ED3A5" w14:textId="77777777" w:rsidR="00615E2D" w:rsidRDefault="00C83E46">
            <w:pPr>
              <w:pStyle w:val="P68B1DB1-Normal16"/>
              <w:spacing w:line="240" w:lineRule="auto"/>
              <w:rPr>
                <w:noProof/>
              </w:rPr>
            </w:pPr>
            <w:r>
              <w:rPr>
                <w:noProof/>
              </w:rPr>
              <w:t>Ulaganje 2: Razvoj visokospecijalizirane onkološke i hematoonološke skrbi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78A5EBF" w14:textId="77777777" w:rsidR="00615E2D" w:rsidRDefault="00C83E46">
            <w:pPr>
              <w:pStyle w:val="P68B1DB1-Normal16"/>
              <w:spacing w:line="240" w:lineRule="auto"/>
              <w:rPr>
                <w:noProof/>
              </w:rPr>
            </w:pPr>
            <w:r>
              <w:rPr>
                <w:noProof/>
              </w:rPr>
              <w:t>Ciljna</w:t>
            </w:r>
          </w:p>
        </w:tc>
        <w:tc>
          <w:tcPr>
            <w:tcW w:w="1063" w:type="dxa"/>
            <w:tcBorders>
              <w:top w:val="single" w:sz="4" w:space="0" w:color="auto"/>
              <w:left w:val="single" w:sz="4" w:space="0" w:color="auto"/>
              <w:bottom w:val="single" w:sz="4" w:space="0" w:color="auto"/>
              <w:right w:val="single" w:sz="4" w:space="0" w:color="auto"/>
            </w:tcBorders>
            <w:shd w:val="clear" w:color="auto" w:fill="C6EFCE"/>
            <w:vAlign w:val="center"/>
          </w:tcPr>
          <w:p w14:paraId="72619E53" w14:textId="77777777" w:rsidR="00615E2D" w:rsidRDefault="00C83E46">
            <w:pPr>
              <w:pStyle w:val="P68B1DB1-Normal15"/>
              <w:spacing w:line="240" w:lineRule="auto"/>
              <w:rPr>
                <w:noProof/>
              </w:rPr>
            </w:pPr>
            <w:r>
              <w:rPr>
                <w:noProof/>
              </w:rPr>
              <w:t xml:space="preserve">Broj objekata koji primaju potporu u području onkološke i hematoonološke skrbi </w:t>
            </w:r>
          </w:p>
        </w:tc>
        <w:tc>
          <w:tcPr>
            <w:tcW w:w="1325" w:type="dxa"/>
            <w:tcBorders>
              <w:top w:val="single" w:sz="4" w:space="0" w:color="auto"/>
              <w:left w:val="single" w:sz="4" w:space="0" w:color="auto"/>
              <w:bottom w:val="single" w:sz="4" w:space="0" w:color="auto"/>
              <w:right w:val="single" w:sz="4" w:space="0" w:color="auto"/>
            </w:tcBorders>
            <w:shd w:val="clear" w:color="auto" w:fill="C6EFCE"/>
            <w:vAlign w:val="bottom"/>
          </w:tcPr>
          <w:p w14:paraId="2603C74C" w14:textId="77777777" w:rsidR="00615E2D" w:rsidRDefault="00615E2D">
            <w:pPr>
              <w:spacing w:line="240" w:lineRule="auto"/>
              <w:rPr>
                <w:rFonts w:eastAsia="Times New Roman"/>
                <w:noProof/>
                <w:color w:val="004300"/>
                <w:sz w:val="18"/>
              </w:rPr>
            </w:pP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7A016CDF" w14:textId="77777777" w:rsidR="00615E2D" w:rsidRDefault="00C83E46">
            <w:pPr>
              <w:pStyle w:val="P68B1DB1-Normal16"/>
              <w:spacing w:line="240" w:lineRule="auto"/>
              <w:rPr>
                <w:noProof/>
              </w:rPr>
            </w:pPr>
            <w:r>
              <w:rPr>
                <w:noProof/>
              </w:rPr>
              <w:t>Broj zdravstvenih ustanova koje primaju potporu</w:t>
            </w: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23BAA50B" w14:textId="77777777" w:rsidR="00615E2D" w:rsidRDefault="00C83E46">
            <w:pPr>
              <w:pStyle w:val="P68B1DB1-Normal16"/>
              <w:spacing w:line="240" w:lineRule="auto"/>
              <w:jc w:val="center"/>
              <w:rPr>
                <w:noProof/>
              </w:rPr>
            </w:pPr>
            <w:r>
              <w:rPr>
                <w:noProof/>
              </w:rPr>
              <w:t>0</w:t>
            </w:r>
          </w:p>
        </w:tc>
        <w:tc>
          <w:tcPr>
            <w:tcW w:w="803" w:type="dxa"/>
            <w:tcBorders>
              <w:top w:val="single" w:sz="4" w:space="0" w:color="auto"/>
              <w:left w:val="single" w:sz="4" w:space="0" w:color="auto"/>
              <w:bottom w:val="single" w:sz="4" w:space="0" w:color="auto"/>
              <w:right w:val="single" w:sz="4" w:space="0" w:color="auto"/>
            </w:tcBorders>
            <w:shd w:val="clear" w:color="auto" w:fill="C6EFCE"/>
            <w:vAlign w:val="center"/>
          </w:tcPr>
          <w:p w14:paraId="4A5A5E8D" w14:textId="77777777" w:rsidR="00615E2D" w:rsidRDefault="00C83E46">
            <w:pPr>
              <w:pStyle w:val="P68B1DB1-Normal16"/>
              <w:spacing w:line="240" w:lineRule="auto"/>
              <w:jc w:val="center"/>
              <w:rPr>
                <w:noProof/>
              </w:rPr>
            </w:pPr>
            <w:r>
              <w:rPr>
                <w:noProof/>
              </w:rPr>
              <w:t>10</w:t>
            </w:r>
          </w:p>
        </w:tc>
        <w:tc>
          <w:tcPr>
            <w:tcW w:w="964" w:type="dxa"/>
            <w:tcBorders>
              <w:top w:val="single" w:sz="4" w:space="0" w:color="auto"/>
              <w:left w:val="single" w:sz="4" w:space="0" w:color="auto"/>
              <w:bottom w:val="single" w:sz="4" w:space="0" w:color="auto"/>
              <w:right w:val="single" w:sz="4" w:space="0" w:color="auto"/>
            </w:tcBorders>
            <w:shd w:val="clear" w:color="auto" w:fill="C6EFCE"/>
            <w:vAlign w:val="center"/>
          </w:tcPr>
          <w:p w14:paraId="07EA32F9" w14:textId="77777777" w:rsidR="00615E2D" w:rsidRDefault="00C83E46">
            <w:pPr>
              <w:pStyle w:val="P68B1DB1-Normal16"/>
              <w:spacing w:line="240" w:lineRule="auto"/>
              <w:jc w:val="center"/>
              <w:rPr>
                <w:noProof/>
              </w:rPr>
            </w:pPr>
            <w:r>
              <w:rPr>
                <w:noProof/>
              </w:rPr>
              <w:t>TROMJESEČJE</w:t>
            </w:r>
          </w:p>
        </w:tc>
        <w:tc>
          <w:tcPr>
            <w:tcW w:w="961" w:type="dxa"/>
            <w:tcBorders>
              <w:top w:val="single" w:sz="4" w:space="0" w:color="auto"/>
              <w:left w:val="single" w:sz="4" w:space="0" w:color="auto"/>
              <w:bottom w:val="single" w:sz="4" w:space="0" w:color="auto"/>
              <w:right w:val="single" w:sz="4" w:space="0" w:color="auto"/>
            </w:tcBorders>
            <w:shd w:val="clear" w:color="auto" w:fill="C6EFCE"/>
            <w:vAlign w:val="center"/>
          </w:tcPr>
          <w:p w14:paraId="3EB23593" w14:textId="77777777" w:rsidR="00615E2D" w:rsidRDefault="00C83E46">
            <w:pPr>
              <w:pStyle w:val="P68B1DB1-Normal16"/>
              <w:spacing w:line="240" w:lineRule="auto"/>
              <w:jc w:val="center"/>
              <w:rPr>
                <w:noProof/>
              </w:rPr>
            </w:pPr>
            <w:r>
              <w:rPr>
                <w:noProof/>
              </w:rPr>
              <w:t>2026</w:t>
            </w:r>
          </w:p>
        </w:tc>
        <w:tc>
          <w:tcPr>
            <w:tcW w:w="4428" w:type="dxa"/>
            <w:tcBorders>
              <w:top w:val="single" w:sz="4" w:space="0" w:color="auto"/>
              <w:left w:val="single" w:sz="4" w:space="0" w:color="auto"/>
              <w:bottom w:val="single" w:sz="4" w:space="0" w:color="auto"/>
              <w:right w:val="single" w:sz="4" w:space="0" w:color="auto"/>
            </w:tcBorders>
            <w:shd w:val="clear" w:color="auto" w:fill="C6EFCE"/>
            <w:vAlign w:val="center"/>
          </w:tcPr>
          <w:p w14:paraId="55BE2E4E" w14:textId="61119761" w:rsidR="00615E2D" w:rsidRDefault="00C83E46">
            <w:pPr>
              <w:pStyle w:val="P68B1DB1-Normal12"/>
              <w:spacing w:line="240" w:lineRule="auto"/>
              <w:rPr>
                <w:noProof/>
                <w:color w:val="004300"/>
              </w:rPr>
            </w:pPr>
            <w:r>
              <w:rPr>
                <w:noProof/>
                <w:color w:val="004300"/>
              </w:rPr>
              <w:t xml:space="preserve">Potpora se pruža složenim centrima za onkologiju i centrima za visokospecijaliziranu onkologiju i hematoonkologiju putem programa bespovratnih sredstava kojim upravlja Ministarstvo zdravstva, s ukupnim iznosom od 64 920 000 EUR.  Najmanje deset centara podupire se u nabavi najsuvremenijih tehnologija i opreme kojima se omogućuje personalizirana medicina. Odabirom projekata kojima će se pružiti potpora osigurava se uravnotežena geografska pokrivenost. Potpora se pruža samo javnim pružateljima zdravstvene zaštite. </w:t>
            </w:r>
          </w:p>
        </w:tc>
      </w:tr>
      <w:tr w:rsidR="00615E2D" w14:paraId="75CD5A7E" w14:textId="77777777">
        <w:trPr>
          <w:trHeight w:val="715"/>
          <w:jc w:val="center"/>
        </w:trPr>
        <w:tc>
          <w:tcPr>
            <w:tcW w:w="641" w:type="dxa"/>
            <w:tcBorders>
              <w:top w:val="single" w:sz="4" w:space="0" w:color="auto"/>
              <w:left w:val="single" w:sz="4" w:space="0" w:color="auto"/>
              <w:bottom w:val="single" w:sz="4" w:space="0" w:color="auto"/>
              <w:right w:val="single" w:sz="4" w:space="0" w:color="auto"/>
            </w:tcBorders>
            <w:shd w:val="clear" w:color="auto" w:fill="C6EFCE"/>
            <w:vAlign w:val="center"/>
          </w:tcPr>
          <w:p w14:paraId="23EFCDF4" w14:textId="77777777" w:rsidR="00615E2D" w:rsidRDefault="00C83E46">
            <w:pPr>
              <w:pStyle w:val="P68B1DB1-Normal16"/>
              <w:spacing w:line="240" w:lineRule="auto"/>
              <w:jc w:val="center"/>
              <w:rPr>
                <w:noProof/>
              </w:rPr>
            </w:pPr>
            <w:r>
              <w:rPr>
                <w:noProof/>
              </w:rPr>
              <w:t>243</w:t>
            </w:r>
          </w:p>
        </w:tc>
        <w:tc>
          <w:tcPr>
            <w:tcW w:w="1485" w:type="dxa"/>
            <w:tcBorders>
              <w:top w:val="single" w:sz="4" w:space="0" w:color="auto"/>
              <w:left w:val="single" w:sz="4" w:space="0" w:color="auto"/>
              <w:bottom w:val="single" w:sz="4" w:space="0" w:color="auto"/>
              <w:right w:val="single" w:sz="4" w:space="0" w:color="auto"/>
            </w:tcBorders>
            <w:shd w:val="clear" w:color="auto" w:fill="C6EFCE"/>
            <w:vAlign w:val="center"/>
          </w:tcPr>
          <w:p w14:paraId="41BCC79B" w14:textId="7AE952E7" w:rsidR="00615E2D" w:rsidRDefault="00C83E46">
            <w:pPr>
              <w:pStyle w:val="P68B1DB1-Normal16"/>
              <w:spacing w:line="240" w:lineRule="auto"/>
              <w:rPr>
                <w:noProof/>
              </w:rPr>
            </w:pPr>
            <w:r>
              <w:rPr>
                <w:noProof/>
              </w:rPr>
              <w:t>Ulaganje 3: Osnivanje i razvoj Centra za prevenciju raka i infrastrukture za inovativnu i pomoćnu skrb pri Institutu za liječenje raka Masaryk Memorial</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2426778" w14:textId="77777777" w:rsidR="00615E2D" w:rsidRDefault="00C83E46">
            <w:pPr>
              <w:pStyle w:val="P68B1DB1-Normal16"/>
              <w:spacing w:line="240" w:lineRule="auto"/>
              <w:rPr>
                <w:noProof/>
              </w:rPr>
            </w:pPr>
            <w:r>
              <w:rPr>
                <w:noProof/>
              </w:rPr>
              <w:t>Prekretnica</w:t>
            </w:r>
          </w:p>
        </w:tc>
        <w:tc>
          <w:tcPr>
            <w:tcW w:w="1063" w:type="dxa"/>
            <w:tcBorders>
              <w:top w:val="single" w:sz="4" w:space="0" w:color="auto"/>
              <w:left w:val="single" w:sz="4" w:space="0" w:color="auto"/>
              <w:bottom w:val="single" w:sz="4" w:space="0" w:color="auto"/>
              <w:right w:val="single" w:sz="4" w:space="0" w:color="auto"/>
            </w:tcBorders>
            <w:shd w:val="clear" w:color="auto" w:fill="C6EFCE"/>
            <w:vAlign w:val="center"/>
          </w:tcPr>
          <w:p w14:paraId="4888181F" w14:textId="641E72FC" w:rsidR="00615E2D" w:rsidRDefault="00C83E46">
            <w:pPr>
              <w:pStyle w:val="P68B1DB1-Normal15"/>
              <w:spacing w:line="240" w:lineRule="auto"/>
              <w:rPr>
                <w:noProof/>
              </w:rPr>
            </w:pPr>
            <w:r>
              <w:rPr>
                <w:noProof/>
              </w:rPr>
              <w:t>Centar za prevenciju raka pri Institutu za liječenje raka Masaryk Memorial</w:t>
            </w:r>
          </w:p>
        </w:tc>
        <w:tc>
          <w:tcPr>
            <w:tcW w:w="1325" w:type="dxa"/>
            <w:tcBorders>
              <w:top w:val="single" w:sz="4" w:space="0" w:color="auto"/>
              <w:left w:val="single" w:sz="4" w:space="0" w:color="auto"/>
              <w:bottom w:val="single" w:sz="4" w:space="0" w:color="auto"/>
              <w:right w:val="single" w:sz="4" w:space="0" w:color="auto"/>
            </w:tcBorders>
            <w:shd w:val="clear" w:color="auto" w:fill="C6EFCE"/>
            <w:vAlign w:val="center"/>
          </w:tcPr>
          <w:p w14:paraId="28123994" w14:textId="7F2E0C2E" w:rsidR="00615E2D" w:rsidRDefault="00C83E46">
            <w:pPr>
              <w:pStyle w:val="P68B1DB1-Normal15"/>
              <w:spacing w:line="240" w:lineRule="auto"/>
              <w:rPr>
                <w:noProof/>
              </w:rPr>
            </w:pPr>
            <w:r>
              <w:rPr>
                <w:noProof/>
              </w:rPr>
              <w:t xml:space="preserve">Pokrenut je novi Centar za prevenciju raka pri Institutu Masaryk Memorial protiv raka </w:t>
            </w: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5E37A4DA" w14:textId="77777777" w:rsidR="00615E2D" w:rsidRDefault="00615E2D">
            <w:pPr>
              <w:spacing w:line="240" w:lineRule="auto"/>
              <w:rPr>
                <w:noProof/>
                <w:color w:val="004300"/>
                <w:sz w:val="18"/>
              </w:rPr>
            </w:pP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17BC20FB" w14:textId="77777777" w:rsidR="00615E2D" w:rsidRDefault="00615E2D">
            <w:pPr>
              <w:spacing w:line="240" w:lineRule="auto"/>
              <w:jc w:val="center"/>
              <w:rPr>
                <w:noProof/>
                <w:color w:val="004300"/>
                <w:sz w:val="18"/>
              </w:rPr>
            </w:pPr>
          </w:p>
        </w:tc>
        <w:tc>
          <w:tcPr>
            <w:tcW w:w="803" w:type="dxa"/>
            <w:tcBorders>
              <w:top w:val="single" w:sz="4" w:space="0" w:color="auto"/>
              <w:left w:val="single" w:sz="4" w:space="0" w:color="auto"/>
              <w:bottom w:val="single" w:sz="4" w:space="0" w:color="auto"/>
              <w:right w:val="single" w:sz="4" w:space="0" w:color="auto"/>
            </w:tcBorders>
            <w:shd w:val="clear" w:color="auto" w:fill="C6EFCE"/>
            <w:vAlign w:val="center"/>
          </w:tcPr>
          <w:p w14:paraId="2749F23C" w14:textId="77777777" w:rsidR="00615E2D" w:rsidRDefault="00615E2D">
            <w:pPr>
              <w:spacing w:line="240" w:lineRule="auto"/>
              <w:jc w:val="center"/>
              <w:rPr>
                <w:noProof/>
                <w:color w:val="004300"/>
                <w:sz w:val="18"/>
              </w:rPr>
            </w:pPr>
          </w:p>
        </w:tc>
        <w:tc>
          <w:tcPr>
            <w:tcW w:w="964" w:type="dxa"/>
            <w:tcBorders>
              <w:top w:val="single" w:sz="4" w:space="0" w:color="auto"/>
              <w:left w:val="single" w:sz="4" w:space="0" w:color="auto"/>
              <w:bottom w:val="single" w:sz="4" w:space="0" w:color="auto"/>
              <w:right w:val="single" w:sz="4" w:space="0" w:color="auto"/>
            </w:tcBorders>
            <w:shd w:val="clear" w:color="auto" w:fill="C6EFCE"/>
            <w:vAlign w:val="center"/>
          </w:tcPr>
          <w:p w14:paraId="5ADEB259" w14:textId="77777777" w:rsidR="00615E2D" w:rsidRDefault="00C83E46">
            <w:pPr>
              <w:pStyle w:val="P68B1DB1-Normal16"/>
              <w:spacing w:line="240" w:lineRule="auto"/>
              <w:jc w:val="center"/>
              <w:rPr>
                <w:noProof/>
              </w:rPr>
            </w:pPr>
            <w:r>
              <w:rPr>
                <w:noProof/>
              </w:rPr>
              <w:t>ČETVRTO TROMJESEČJE</w:t>
            </w:r>
          </w:p>
        </w:tc>
        <w:tc>
          <w:tcPr>
            <w:tcW w:w="961" w:type="dxa"/>
            <w:tcBorders>
              <w:top w:val="single" w:sz="4" w:space="0" w:color="auto"/>
              <w:left w:val="single" w:sz="4" w:space="0" w:color="auto"/>
              <w:bottom w:val="single" w:sz="4" w:space="0" w:color="auto"/>
              <w:right w:val="single" w:sz="4" w:space="0" w:color="auto"/>
            </w:tcBorders>
            <w:shd w:val="clear" w:color="auto" w:fill="C6EFCE"/>
            <w:vAlign w:val="center"/>
          </w:tcPr>
          <w:p w14:paraId="2C6CF645" w14:textId="77777777" w:rsidR="00615E2D" w:rsidRDefault="00C83E46">
            <w:pPr>
              <w:pStyle w:val="P68B1DB1-Normal16"/>
              <w:spacing w:line="240" w:lineRule="auto"/>
              <w:jc w:val="center"/>
              <w:rPr>
                <w:noProof/>
              </w:rPr>
            </w:pPr>
            <w:r>
              <w:rPr>
                <w:noProof/>
              </w:rPr>
              <w:t>2025</w:t>
            </w:r>
          </w:p>
        </w:tc>
        <w:tc>
          <w:tcPr>
            <w:tcW w:w="4428" w:type="dxa"/>
            <w:tcBorders>
              <w:top w:val="single" w:sz="4" w:space="0" w:color="auto"/>
              <w:left w:val="single" w:sz="4" w:space="0" w:color="auto"/>
              <w:bottom w:val="single" w:sz="4" w:space="0" w:color="auto"/>
              <w:right w:val="single" w:sz="4" w:space="0" w:color="auto"/>
            </w:tcBorders>
            <w:shd w:val="clear" w:color="auto" w:fill="C6EFCE"/>
            <w:vAlign w:val="center"/>
          </w:tcPr>
          <w:p w14:paraId="6B308B28" w14:textId="228A540B" w:rsidR="00615E2D" w:rsidRDefault="00C83E46">
            <w:pPr>
              <w:pStyle w:val="P68B1DB1-Normal16"/>
              <w:spacing w:line="240" w:lineRule="auto"/>
              <w:jc w:val="both"/>
              <w:rPr>
                <w:noProof/>
              </w:rPr>
            </w:pPr>
            <w:r>
              <w:rPr>
                <w:noProof/>
              </w:rPr>
              <w:t>Početak korištenja novih objekata Centra za prevenciju raka pri Institutu Masaryk Memorial Cancer Institute. Prijenos postojećih kapaciteta u nove prostore dovršen.</w:t>
            </w:r>
          </w:p>
          <w:p w14:paraId="4057726B" w14:textId="77777777" w:rsidR="00615E2D" w:rsidRDefault="00C83E46">
            <w:pPr>
              <w:pStyle w:val="P68B1DB1-Normal15"/>
              <w:spacing w:line="240" w:lineRule="auto"/>
              <w:jc w:val="both"/>
              <w:rPr>
                <w:noProof/>
              </w:rPr>
            </w:pPr>
            <w:r>
              <w:rPr>
                <w:noProof/>
              </w:rPr>
              <w:t>Izgradnja podliježe otvorenim i javnim natječajima. Procjena potreba provodi se prije objave natječaja.</w:t>
            </w:r>
          </w:p>
        </w:tc>
      </w:tr>
      <w:tr w:rsidR="00615E2D" w14:paraId="26272CF2" w14:textId="77777777">
        <w:trPr>
          <w:trHeight w:val="945"/>
          <w:jc w:val="center"/>
        </w:trPr>
        <w:tc>
          <w:tcPr>
            <w:tcW w:w="641" w:type="dxa"/>
            <w:tcBorders>
              <w:top w:val="single" w:sz="4" w:space="0" w:color="auto"/>
              <w:left w:val="single" w:sz="4" w:space="0" w:color="auto"/>
              <w:bottom w:val="single" w:sz="4" w:space="0" w:color="auto"/>
              <w:right w:val="single" w:sz="4" w:space="0" w:color="auto"/>
            </w:tcBorders>
            <w:shd w:val="clear" w:color="auto" w:fill="C6EFCE"/>
            <w:vAlign w:val="center"/>
          </w:tcPr>
          <w:p w14:paraId="62159BFE" w14:textId="77777777" w:rsidR="00615E2D" w:rsidRDefault="00C83E46">
            <w:pPr>
              <w:pStyle w:val="P68B1DB1-Normal16"/>
              <w:spacing w:line="240" w:lineRule="auto"/>
              <w:jc w:val="center"/>
              <w:rPr>
                <w:noProof/>
              </w:rPr>
            </w:pPr>
            <w:r>
              <w:rPr>
                <w:noProof/>
              </w:rPr>
              <w:t>244</w:t>
            </w:r>
          </w:p>
        </w:tc>
        <w:tc>
          <w:tcPr>
            <w:tcW w:w="1485" w:type="dxa"/>
            <w:tcBorders>
              <w:top w:val="single" w:sz="4" w:space="0" w:color="auto"/>
              <w:left w:val="single" w:sz="4" w:space="0" w:color="auto"/>
              <w:bottom w:val="single" w:sz="4" w:space="0" w:color="auto"/>
              <w:right w:val="single" w:sz="4" w:space="0" w:color="auto"/>
            </w:tcBorders>
            <w:shd w:val="clear" w:color="auto" w:fill="C6EFCE"/>
            <w:vAlign w:val="center"/>
          </w:tcPr>
          <w:p w14:paraId="720E41CD" w14:textId="6483D6EB" w:rsidR="00615E2D" w:rsidRDefault="00C83E46">
            <w:pPr>
              <w:pStyle w:val="P68B1DB1-Normal16"/>
              <w:spacing w:line="240" w:lineRule="auto"/>
              <w:rPr>
                <w:noProof/>
              </w:rPr>
            </w:pPr>
            <w:r>
              <w:rPr>
                <w:noProof/>
              </w:rPr>
              <w:t>Ulaganje 3: Osnivanje i razvoj Centra za prevenciju raka i infrastrukture za inovativnu i pomoćnu skrb pri Institutu za liječenje raka Masaryk Memorial</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7FF5035" w14:textId="77777777" w:rsidR="00615E2D" w:rsidRDefault="00C83E46">
            <w:pPr>
              <w:pStyle w:val="P68B1DB1-Normal16"/>
              <w:spacing w:line="240" w:lineRule="auto"/>
              <w:rPr>
                <w:noProof/>
              </w:rPr>
            </w:pPr>
            <w:r>
              <w:rPr>
                <w:noProof/>
              </w:rPr>
              <w:t>Prekretnica</w:t>
            </w:r>
          </w:p>
        </w:tc>
        <w:tc>
          <w:tcPr>
            <w:tcW w:w="1063" w:type="dxa"/>
            <w:tcBorders>
              <w:top w:val="single" w:sz="4" w:space="0" w:color="auto"/>
              <w:left w:val="single" w:sz="4" w:space="0" w:color="auto"/>
              <w:bottom w:val="single" w:sz="4" w:space="0" w:color="auto"/>
              <w:right w:val="single" w:sz="4" w:space="0" w:color="auto"/>
            </w:tcBorders>
            <w:shd w:val="clear" w:color="auto" w:fill="C6EFCE"/>
            <w:vAlign w:val="center"/>
          </w:tcPr>
          <w:p w14:paraId="08B4C91D" w14:textId="1C3F98AD" w:rsidR="00615E2D" w:rsidRDefault="00C83E46">
            <w:pPr>
              <w:pStyle w:val="P68B1DB1-Normal16"/>
              <w:spacing w:line="240" w:lineRule="auto"/>
              <w:rPr>
                <w:rFonts w:eastAsia="Times New Roman"/>
                <w:noProof/>
              </w:rPr>
            </w:pPr>
            <w:r>
              <w:rPr>
                <w:rFonts w:eastAsia="Times New Roman"/>
                <w:noProof/>
              </w:rPr>
              <w:t>Proširenje objekata za inovativnu i pomoćnu skrb na</w:t>
            </w:r>
            <w:r>
              <w:rPr>
                <w:rFonts w:eastAsia="Times New Roman"/>
                <w:noProof/>
                <w:u w:val="single"/>
              </w:rPr>
              <w:t xml:space="preserve"> Institutu</w:t>
            </w:r>
            <w:r>
              <w:rPr>
                <w:noProof/>
                <w:u w:val="single"/>
              </w:rPr>
              <w:t xml:space="preserve">za </w:t>
            </w:r>
            <w:r>
              <w:rPr>
                <w:rFonts w:eastAsia="Times New Roman"/>
                <w:noProof/>
                <w:u w:val="single"/>
              </w:rPr>
              <w:t xml:space="preserve">liječenje raka Masaryk </w:t>
            </w:r>
            <w:r>
              <w:rPr>
                <w:noProof/>
                <w:u w:val="single"/>
              </w:rPr>
              <w:t>Memorial</w:t>
            </w:r>
          </w:p>
        </w:tc>
        <w:tc>
          <w:tcPr>
            <w:tcW w:w="1325" w:type="dxa"/>
            <w:tcBorders>
              <w:top w:val="single" w:sz="4" w:space="0" w:color="auto"/>
              <w:left w:val="single" w:sz="4" w:space="0" w:color="auto"/>
              <w:bottom w:val="single" w:sz="4" w:space="0" w:color="auto"/>
              <w:right w:val="single" w:sz="4" w:space="0" w:color="auto"/>
            </w:tcBorders>
            <w:shd w:val="clear" w:color="auto" w:fill="C6EFCE"/>
            <w:vAlign w:val="center"/>
          </w:tcPr>
          <w:p w14:paraId="1A94186E" w14:textId="77777777" w:rsidR="00615E2D" w:rsidRDefault="00C83E46">
            <w:pPr>
              <w:pStyle w:val="P68B1DB1-Normal15"/>
              <w:spacing w:line="240" w:lineRule="auto"/>
              <w:rPr>
                <w:noProof/>
              </w:rPr>
            </w:pPr>
            <w:r>
              <w:rPr>
                <w:noProof/>
              </w:rPr>
              <w:t xml:space="preserve">U funkciji su nove ustanove za pomoćnu i inovativnu skrb </w:t>
            </w: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3E7A04F5" w14:textId="77777777" w:rsidR="00615E2D" w:rsidRDefault="00615E2D">
            <w:pPr>
              <w:spacing w:line="240" w:lineRule="auto"/>
              <w:rPr>
                <w:noProof/>
                <w:color w:val="004300"/>
                <w:sz w:val="18"/>
              </w:rPr>
            </w:pPr>
          </w:p>
        </w:tc>
        <w:tc>
          <w:tcPr>
            <w:tcW w:w="1011" w:type="dxa"/>
            <w:tcBorders>
              <w:top w:val="single" w:sz="4" w:space="0" w:color="auto"/>
              <w:left w:val="single" w:sz="4" w:space="0" w:color="auto"/>
              <w:bottom w:val="single" w:sz="4" w:space="0" w:color="auto"/>
              <w:right w:val="single" w:sz="4" w:space="0" w:color="auto"/>
            </w:tcBorders>
            <w:shd w:val="clear" w:color="auto" w:fill="C6EFCE"/>
            <w:vAlign w:val="center"/>
          </w:tcPr>
          <w:p w14:paraId="6A1D1267" w14:textId="77777777" w:rsidR="00615E2D" w:rsidRDefault="00615E2D">
            <w:pPr>
              <w:spacing w:line="240" w:lineRule="auto"/>
              <w:jc w:val="center"/>
              <w:rPr>
                <w:noProof/>
                <w:color w:val="004300"/>
                <w:sz w:val="18"/>
              </w:rPr>
            </w:pPr>
          </w:p>
        </w:tc>
        <w:tc>
          <w:tcPr>
            <w:tcW w:w="803" w:type="dxa"/>
            <w:tcBorders>
              <w:top w:val="single" w:sz="4" w:space="0" w:color="auto"/>
              <w:left w:val="single" w:sz="4" w:space="0" w:color="auto"/>
              <w:bottom w:val="single" w:sz="4" w:space="0" w:color="auto"/>
              <w:right w:val="single" w:sz="4" w:space="0" w:color="auto"/>
            </w:tcBorders>
            <w:shd w:val="clear" w:color="auto" w:fill="C6EFCE"/>
            <w:vAlign w:val="center"/>
          </w:tcPr>
          <w:p w14:paraId="7857ECBB" w14:textId="77777777" w:rsidR="00615E2D" w:rsidRDefault="00615E2D">
            <w:pPr>
              <w:spacing w:line="240" w:lineRule="auto"/>
              <w:jc w:val="center"/>
              <w:rPr>
                <w:noProof/>
                <w:color w:val="004300"/>
                <w:sz w:val="18"/>
              </w:rPr>
            </w:pPr>
          </w:p>
        </w:tc>
        <w:tc>
          <w:tcPr>
            <w:tcW w:w="964" w:type="dxa"/>
            <w:tcBorders>
              <w:top w:val="single" w:sz="4" w:space="0" w:color="auto"/>
              <w:left w:val="single" w:sz="4" w:space="0" w:color="auto"/>
              <w:bottom w:val="single" w:sz="4" w:space="0" w:color="auto"/>
              <w:right w:val="single" w:sz="4" w:space="0" w:color="auto"/>
            </w:tcBorders>
            <w:shd w:val="clear" w:color="auto" w:fill="C6EFCE"/>
            <w:vAlign w:val="center"/>
          </w:tcPr>
          <w:p w14:paraId="6021B0AD" w14:textId="77777777" w:rsidR="00615E2D" w:rsidRDefault="00C83E46">
            <w:pPr>
              <w:pStyle w:val="P68B1DB1-Normal16"/>
              <w:spacing w:line="240" w:lineRule="auto"/>
              <w:jc w:val="center"/>
              <w:rPr>
                <w:noProof/>
              </w:rPr>
            </w:pPr>
            <w:r>
              <w:rPr>
                <w:noProof/>
              </w:rPr>
              <w:t>ČETVRTO TROMJESEČJE</w:t>
            </w:r>
          </w:p>
        </w:tc>
        <w:tc>
          <w:tcPr>
            <w:tcW w:w="961" w:type="dxa"/>
            <w:tcBorders>
              <w:top w:val="single" w:sz="4" w:space="0" w:color="auto"/>
              <w:left w:val="single" w:sz="4" w:space="0" w:color="auto"/>
              <w:bottom w:val="single" w:sz="4" w:space="0" w:color="auto"/>
              <w:right w:val="single" w:sz="4" w:space="0" w:color="auto"/>
            </w:tcBorders>
            <w:shd w:val="clear" w:color="auto" w:fill="C6EFCE"/>
            <w:vAlign w:val="center"/>
          </w:tcPr>
          <w:p w14:paraId="0783C8AC" w14:textId="77777777" w:rsidR="00615E2D" w:rsidRDefault="00C83E46">
            <w:pPr>
              <w:pStyle w:val="P68B1DB1-Normal16"/>
              <w:spacing w:line="240" w:lineRule="auto"/>
              <w:jc w:val="center"/>
              <w:rPr>
                <w:noProof/>
              </w:rPr>
            </w:pPr>
            <w:r>
              <w:rPr>
                <w:noProof/>
              </w:rPr>
              <w:t>2025</w:t>
            </w:r>
          </w:p>
        </w:tc>
        <w:tc>
          <w:tcPr>
            <w:tcW w:w="4428" w:type="dxa"/>
            <w:tcBorders>
              <w:top w:val="single" w:sz="4" w:space="0" w:color="auto"/>
              <w:left w:val="single" w:sz="4" w:space="0" w:color="auto"/>
              <w:bottom w:val="single" w:sz="4" w:space="0" w:color="auto"/>
              <w:right w:val="single" w:sz="4" w:space="0" w:color="auto"/>
            </w:tcBorders>
            <w:shd w:val="clear" w:color="auto" w:fill="C6EFCE"/>
            <w:vAlign w:val="center"/>
          </w:tcPr>
          <w:p w14:paraId="65B63092" w14:textId="38A92FDD" w:rsidR="00615E2D" w:rsidRDefault="00C83E46">
            <w:pPr>
              <w:pStyle w:val="P68B1DB1-Normal16"/>
              <w:spacing w:line="240" w:lineRule="auto"/>
              <w:jc w:val="both"/>
              <w:rPr>
                <w:noProof/>
              </w:rPr>
            </w:pPr>
            <w:r>
              <w:rPr>
                <w:noProof/>
              </w:rPr>
              <w:t>Početak rada novih objekata Prvog kontaktnog centra, Centra za klinička ispitivanja, Centra za podršku i obrazovnog centra.</w:t>
            </w:r>
          </w:p>
          <w:p w14:paraId="197232D3" w14:textId="77777777" w:rsidR="00615E2D" w:rsidRDefault="00C83E46">
            <w:pPr>
              <w:pStyle w:val="P68B1DB1-Normal16"/>
              <w:spacing w:line="240" w:lineRule="auto"/>
              <w:jc w:val="both"/>
              <w:rPr>
                <w:noProof/>
              </w:rPr>
            </w:pPr>
            <w:r>
              <w:rPr>
                <w:rFonts w:eastAsia="Times New Roman"/>
                <w:noProof/>
              </w:rPr>
              <w:t>Izgradnja podliježe otvorenim i javnim natječajima. Procjena potreba provodi se prije objave natječaja.</w:t>
            </w:r>
            <w:r>
              <w:rPr>
                <w:noProof/>
              </w:rPr>
              <w:t xml:space="preserve"> </w:t>
            </w:r>
          </w:p>
          <w:p w14:paraId="4D147DB3" w14:textId="77777777" w:rsidR="00615E2D" w:rsidRDefault="00C83E46">
            <w:pPr>
              <w:pStyle w:val="P68B1DB1-Normal16"/>
              <w:spacing w:line="240" w:lineRule="auto"/>
              <w:jc w:val="both"/>
              <w:rPr>
                <w:noProof/>
              </w:rPr>
            </w:pPr>
            <w:r>
              <w:rPr>
                <w:noProof/>
              </w:rPr>
              <w:t xml:space="preserve">Pilot-projekt o Programu za osobe koje su preživjele rak mora biti dovršen. </w:t>
            </w:r>
          </w:p>
        </w:tc>
      </w:tr>
    </w:tbl>
    <w:p w14:paraId="21FAC865" w14:textId="77777777" w:rsidR="00615E2D" w:rsidRDefault="00615E2D">
      <w:pPr>
        <w:pBdr>
          <w:top w:val="nil"/>
          <w:left w:val="nil"/>
          <w:bottom w:val="nil"/>
          <w:right w:val="nil"/>
          <w:between w:val="nil"/>
        </w:pBdr>
        <w:tabs>
          <w:tab w:val="left" w:pos="993"/>
        </w:tabs>
        <w:spacing w:line="240" w:lineRule="auto"/>
        <w:jc w:val="both"/>
        <w:rPr>
          <w:rFonts w:eastAsia="Times New Roman"/>
          <w:b/>
          <w:noProof/>
          <w:color w:val="000000"/>
          <w:sz w:val="16"/>
          <w:u w:val="single"/>
        </w:rPr>
        <w:sectPr w:rsidR="00615E2D" w:rsidSect="00997F50">
          <w:headerReference w:type="even" r:id="rId432"/>
          <w:headerReference w:type="default" r:id="rId433"/>
          <w:footerReference w:type="even" r:id="rId434"/>
          <w:footerReference w:type="default" r:id="rId435"/>
          <w:headerReference w:type="first" r:id="rId436"/>
          <w:footerReference w:type="first" r:id="rId437"/>
          <w:pgSz w:w="16839" w:h="11907" w:orient="landscape"/>
          <w:pgMar w:top="1134" w:right="1134" w:bottom="1134" w:left="1134" w:header="567" w:footer="567" w:gutter="0"/>
          <w:cols w:space="720"/>
          <w:docGrid w:linePitch="360"/>
        </w:sectPr>
      </w:pPr>
    </w:p>
    <w:p w14:paraId="368F47B5" w14:textId="5CDF576E" w:rsidR="00615E2D" w:rsidRDefault="00C83E46">
      <w:pPr>
        <w:pStyle w:val="P68B1DB1-K-Text48"/>
        <w:rPr>
          <w:noProof/>
        </w:rPr>
      </w:pPr>
      <w:r>
        <w:rPr>
          <w:noProof/>
        </w:rPr>
        <w:t>Poglavlje o planu REPowerEU</w:t>
      </w:r>
    </w:p>
    <w:p w14:paraId="2003D654" w14:textId="391CEC16" w:rsidR="00615E2D" w:rsidRDefault="00C83E46">
      <w:pPr>
        <w:pStyle w:val="P68B1DB1-Normal4"/>
        <w:spacing w:after="0" w:line="259" w:lineRule="auto"/>
        <w:jc w:val="both"/>
        <w:rPr>
          <w:noProof/>
          <w:color w:val="000000" w:themeColor="text1"/>
        </w:rPr>
      </w:pPr>
      <w:r>
        <w:rPr>
          <w:noProof/>
        </w:rPr>
        <w:t>Cilj je poglavlja koje se odnosi na plan REPowerEU češkog plana za oporavak i otpornost poduprijeti razvoj obnovljivih izvora energije određivanjem područja ubrzane proizvodnje energije iz obnovljivih izvora, pojednostavnjenjem postupaka za obnovljive izvore energije, uz istodobnu pripremu električne mreže za povećanje kapaciteta povezivosti. Tim se mjerama zajednički doprinosi poticanju upotrebe obnovljivih izvora energije i jačanju energetske sigurnosti. Poglavljem o planu REPowerEU nastoji se poboljšati energetska učinkovitost fonda zgrada, dekarbonizirati cestovni promet smanjenjem potražnje za energijom i smanjiti ovisnost o fosilnim gorivima te prilagoditi sveučilišne programe kako bi se zadovoljila potražnja za zelenim vještinama.</w:t>
      </w:r>
    </w:p>
    <w:p w14:paraId="7B0E6BBD" w14:textId="357F309A" w:rsidR="00615E2D" w:rsidRDefault="00C83E46">
      <w:pPr>
        <w:pStyle w:val="P68B1DB1-Normal3"/>
        <w:spacing w:after="160" w:line="257" w:lineRule="auto"/>
        <w:jc w:val="both"/>
        <w:rPr>
          <w:noProof/>
        </w:rPr>
      </w:pPr>
      <w:r>
        <w:rPr>
          <w:noProof/>
        </w:rPr>
        <w:t>Od 20 mjera iz češkog poglavlja o planu REPowerEU, njih šest ima prekograničnu dimenziju. Najveća ulaganja s prekograničnom dimenzijom odnose se na izgradnju, jačanje, obnovu i modernizaciju distribucijskih sustava električne energije. Druge važne mjere su razvoj fotonaponskih sustava i sveobuhvatna reforma sustava za savjetovanje o valu obnove.</w:t>
      </w:r>
    </w:p>
    <w:p w14:paraId="2E83A47B" w14:textId="05C3D597" w:rsidR="00615E2D" w:rsidRDefault="00C83E46">
      <w:pPr>
        <w:pStyle w:val="P68B1DB1-Normal4"/>
        <w:spacing w:after="0" w:line="259" w:lineRule="auto"/>
        <w:jc w:val="both"/>
        <w:rPr>
          <w:noProof/>
          <w:color w:val="000000" w:themeColor="text1"/>
        </w:rPr>
      </w:pPr>
      <w:r>
        <w:rPr>
          <w:noProof/>
        </w:rPr>
        <w:t>Poglavljem o planu REPowerEU pridonosi se provedbi preporuka za pojedine zemlje za smanjenje ukupnog oslanjanja na fosilna goriva i njihove potrošnje ubrzavanjem uvođenja obnovljivih izvora energije i olakšavanjem njihove integracije u elektroenergetski sustav, među ostalim daljnjim pojednostavnjenjem postupaka izdavanja dozvola, olakšavanjem pristupa mreži i smanjenjem upotrebe fosilnih goriva u češkom prometnom sustavu, te za povećanje energetske učinkovitosti sustava centraliziranog grijanja i fonda zgrada poticanjem temeljite obnove i obnovljivih izvora topline.</w:t>
      </w:r>
    </w:p>
    <w:p w14:paraId="2E2FDD61" w14:textId="0CBAE155" w:rsidR="00615E2D" w:rsidRDefault="00C83E46">
      <w:pPr>
        <w:spacing w:after="0" w:line="259" w:lineRule="auto"/>
        <w:jc w:val="both"/>
        <w:rPr>
          <w:noProof/>
        </w:rPr>
      </w:pPr>
      <w:r>
        <w:rPr>
          <w:rFonts w:eastAsia="Times New Roman"/>
          <w:noProof/>
          <w:color w:val="000000" w:themeColor="text1"/>
        </w:rPr>
        <w:t>Očekuje se da se nijednom mjerom iz poglavlja o planu REPowerEU ne nanosi bitna šteta okolišnim ciljevima u smislu članka 17. Uredbe (EU) 2020/852, uzimajući u obzir opis mjera i korake ublažavanja utvrđene u planu za oporavak i otpornost u skladu s Tehničkim smjernicama o primjeni načela nenanošenja bitne štete (2021/C58/01).</w:t>
      </w:r>
      <w:r>
        <w:rPr>
          <w:noProof/>
        </w:rPr>
        <w:br w:type="page"/>
      </w:r>
    </w:p>
    <w:p w14:paraId="55362AD3" w14:textId="5A1D1C15" w:rsidR="00615E2D" w:rsidRDefault="00C83E46">
      <w:pPr>
        <w:pStyle w:val="P68B1DB1-Normal2"/>
        <w:keepNext/>
        <w:tabs>
          <w:tab w:val="left" w:pos="850"/>
        </w:tabs>
        <w:spacing w:line="240" w:lineRule="auto"/>
        <w:jc w:val="both"/>
        <w:outlineLvl w:val="0"/>
        <w:rPr>
          <w:noProof/>
        </w:rPr>
      </w:pPr>
      <w:r>
        <w:rPr>
          <w:noProof/>
        </w:rPr>
        <w:t>EE. SASTAVNI DIO 7.1.:  Infrastruktura za obnovljivu energiju i električnu energiju (REPowerEU)</w:t>
      </w:r>
    </w:p>
    <w:p w14:paraId="5A3DB042" w14:textId="2D79874B" w:rsidR="00615E2D" w:rsidRDefault="00C83E46">
      <w:pPr>
        <w:pStyle w:val="P68B1DB1-Normal3"/>
        <w:spacing w:after="160" w:line="257" w:lineRule="auto"/>
        <w:jc w:val="both"/>
        <w:rPr>
          <w:noProof/>
        </w:rPr>
      </w:pPr>
      <w:r>
        <w:rPr>
          <w:noProof/>
        </w:rPr>
        <w:t>Svrha je komponente pridonijeti postizanju energetskih i klimatskih ciljeva Češke za 2030. olakšavanjem povećanja udjela obnovljivih izvora energije u češkoj kombinaciji izvora energije i uvođenjem prilagođene infrastrukture za električnu energiju.</w:t>
      </w:r>
    </w:p>
    <w:p w14:paraId="3A8548E3" w14:textId="7F29FAE9" w:rsidR="00615E2D" w:rsidRDefault="00C83E46">
      <w:pPr>
        <w:pStyle w:val="P68B1DB1-Normal3"/>
        <w:spacing w:after="160" w:line="257" w:lineRule="auto"/>
        <w:jc w:val="both"/>
        <w:rPr>
          <w:noProof/>
        </w:rPr>
      </w:pPr>
      <w:r>
        <w:rPr>
          <w:noProof/>
        </w:rPr>
        <w:t>Cilj je reformi poduprijeti uvođenje projekata u području energije iz obnovljivih izvora pojednostavnjenjem postupaka izdavanja dozvola i administrativnih postupaka za obnovljive izvore energije uz istodobno pojednostavnjenje i povećanje transparentnosti postupaka priključivanja na mrežu.</w:t>
      </w:r>
    </w:p>
    <w:p w14:paraId="2BC87AC6" w14:textId="088BC8B0" w:rsidR="00615E2D" w:rsidRDefault="00C83E46">
      <w:pPr>
        <w:pStyle w:val="P68B1DB1-Normal3"/>
        <w:spacing w:after="160" w:line="257" w:lineRule="auto"/>
        <w:jc w:val="both"/>
        <w:rPr>
          <w:noProof/>
        </w:rPr>
      </w:pPr>
      <w:r>
        <w:rPr>
          <w:noProof/>
        </w:rPr>
        <w:t xml:space="preserve">Cilj je ulaganja nadogradnja i razvoj distribucijskih mreža električne energije kako bi se elektroenergetskom sustavu omogućilo da u mrežu integrira male i velike obnovljive izvore energije. </w:t>
      </w:r>
    </w:p>
    <w:p w14:paraId="1D20B869" w14:textId="0393ED12" w:rsidR="00615E2D" w:rsidRDefault="00C83E46">
      <w:pPr>
        <w:pStyle w:val="P68B1DB1-Normal3"/>
        <w:spacing w:after="160" w:line="257" w:lineRule="auto"/>
        <w:jc w:val="both"/>
        <w:rPr>
          <w:noProof/>
        </w:rPr>
      </w:pPr>
      <w:r>
        <w:rPr>
          <w:noProof/>
        </w:rPr>
        <w:t>Komponentom se podupire odgovor na preporuku za pojedinu zemlju da se smanji ukupna ovisnost o fosilnim gorivima i njihova potrošnja ubrzavanjem uvođenja obnovljivih izvora energije, među ostalim daljnjim pojednostavnjenjem postupaka izdavanja dozvola i olakšavanjem pristupa mreži (CSR 4, 2022.).</w:t>
      </w:r>
    </w:p>
    <w:p w14:paraId="2EDFCC61" w14:textId="77777777" w:rsidR="00615E2D" w:rsidRDefault="00615E2D">
      <w:pPr>
        <w:pBdr>
          <w:top w:val="nil"/>
          <w:left w:val="nil"/>
          <w:bottom w:val="nil"/>
          <w:right w:val="nil"/>
          <w:between w:val="nil"/>
        </w:pBdr>
        <w:spacing w:line="240" w:lineRule="auto"/>
        <w:jc w:val="both"/>
        <w:rPr>
          <w:rFonts w:eastAsia="Times New Roman"/>
          <w:noProof/>
          <w:sz w:val="22"/>
          <w:shd w:val="clear" w:color="auto" w:fill="E6E6E6"/>
        </w:rPr>
      </w:pPr>
    </w:p>
    <w:p w14:paraId="5DB2581B" w14:textId="58307AF3" w:rsidR="00615E2D" w:rsidRDefault="00C83E46">
      <w:pPr>
        <w:pStyle w:val="P68B1DB1-Normal8"/>
        <w:pBdr>
          <w:top w:val="nil"/>
          <w:left w:val="nil"/>
          <w:bottom w:val="nil"/>
          <w:right w:val="nil"/>
          <w:between w:val="nil"/>
        </w:pBdr>
        <w:spacing w:line="240" w:lineRule="auto"/>
        <w:jc w:val="both"/>
        <w:rPr>
          <w:i/>
          <w:noProof/>
        </w:rPr>
      </w:pPr>
      <w:r>
        <w:rPr>
          <w:noProof/>
        </w:rPr>
        <w:t>EE.1. Opis reformi i ulaganja za programe bespovratne financijske potpore</w:t>
      </w:r>
    </w:p>
    <w:p w14:paraId="6B805BB3" w14:textId="759ECE24" w:rsidR="00615E2D" w:rsidRDefault="00C83E46">
      <w:pPr>
        <w:pStyle w:val="P68B1DB1-Normal26"/>
        <w:spacing w:after="160" w:line="257" w:lineRule="auto"/>
        <w:jc w:val="both"/>
        <w:rPr>
          <w:noProof/>
        </w:rPr>
      </w:pPr>
      <w:r>
        <w:rPr>
          <w:noProof/>
        </w:rPr>
        <w:t>Ulaganje 1: Izgradnja, obnova i nadogradnja distribucijskih mreža</w:t>
      </w:r>
    </w:p>
    <w:p w14:paraId="71A389E9" w14:textId="11E51308" w:rsidR="00615E2D" w:rsidRDefault="00C83E46">
      <w:pPr>
        <w:pStyle w:val="P68B1DB1-Normal4"/>
        <w:spacing w:after="0" w:line="259" w:lineRule="auto"/>
        <w:jc w:val="both"/>
        <w:rPr>
          <w:noProof/>
          <w:color w:val="000000" w:themeColor="text1"/>
        </w:rPr>
      </w:pPr>
      <w:r>
        <w:rPr>
          <w:noProof/>
        </w:rPr>
        <w:t xml:space="preserve">Cilj je ove mjere zadovoljiti očekivano povećanje potražnje za integracijom nestalnih obnovljivih izvora energije u distribucijsku mrežu.  Mora se ostvariti kumulativni dodatni kapacitet od najmanje 1 777 MW za priključivanje obnovljivih izvora energije na distribucijske mreže u Češkoj. Cilj je podržanih intervencija, kao što su izgradnja novih ili proširenje postojećih vodova (niski srednji i visoki napon), izgradnja novih električnih stanica, obnova i proširenje postojećih trafostanica, uključujući uvođenje novog sustava kontrole proizvodnje kojim se povećava dimenzioniranje ili postavljanje novih transformatora, pridonijeti uklanjanju uskih grla u mrežama kako bi se maksimalno povećao dodatni tehnički kapacitet za integraciju novih obnovljivih izvora energije. </w:t>
      </w:r>
    </w:p>
    <w:p w14:paraId="0B84FEA2" w14:textId="1C17D4BA" w:rsidR="00615E2D" w:rsidRDefault="00C83E46">
      <w:pPr>
        <w:pStyle w:val="P68B1DB1-Normal3"/>
        <w:spacing w:after="0" w:line="259" w:lineRule="auto"/>
        <w:jc w:val="both"/>
        <w:rPr>
          <w:noProof/>
          <w:color w:val="000000" w:themeColor="text1"/>
        </w:rPr>
      </w:pPr>
      <w:r>
        <w:rPr>
          <w:noProof/>
        </w:rPr>
        <w:t>Ulaganje mora biti dovršeno do 31. ožujka 2026.</w:t>
      </w:r>
    </w:p>
    <w:p w14:paraId="31318809" w14:textId="6CC240CB" w:rsidR="00615E2D" w:rsidRDefault="00C83E46">
      <w:pPr>
        <w:pStyle w:val="P68B1DB1-Normal7"/>
        <w:spacing w:after="160" w:line="257" w:lineRule="auto"/>
        <w:jc w:val="both"/>
        <w:rPr>
          <w:rFonts w:eastAsia="Times New Roman"/>
          <w:noProof/>
        </w:rPr>
      </w:pPr>
      <w:r>
        <w:rPr>
          <w:rFonts w:eastAsia="Times New Roman"/>
          <w:noProof/>
        </w:rPr>
        <w:t xml:space="preserve">Ulaganje 2: Proširena mjera </w:t>
      </w:r>
      <w:r>
        <w:rPr>
          <w:noProof/>
        </w:rPr>
        <w:t xml:space="preserve">Komponenta 2.3. (Prijelaz na čišće izvore energije) </w:t>
      </w:r>
      <w:r>
        <w:rPr>
          <w:rFonts w:eastAsia="Times New Roman"/>
          <w:noProof/>
        </w:rPr>
        <w:t xml:space="preserve">Uvođenje fotonaponskih sustava </w:t>
      </w:r>
    </w:p>
    <w:p w14:paraId="543C7C89" w14:textId="520E30B6" w:rsidR="00615E2D" w:rsidRDefault="00C83E46">
      <w:pPr>
        <w:spacing w:line="240" w:lineRule="auto"/>
        <w:jc w:val="both"/>
        <w:rPr>
          <w:rFonts w:eastAsia="Times New Roman"/>
          <w:noProof/>
        </w:rPr>
      </w:pPr>
      <w:r>
        <w:rPr>
          <w:rFonts w:eastAsia="Times New Roman"/>
          <w:noProof/>
        </w:rPr>
        <w:t xml:space="preserve">Cilj je ove mjere povećati ulaganja 1: Uvođenje fotonaponskih sustava u </w:t>
      </w:r>
      <w:r>
        <w:rPr>
          <w:noProof/>
        </w:rPr>
        <w:t>sastavnici 2.3. (Prijelaz na čišće izvore energije)</w:t>
      </w:r>
      <w:r>
        <w:rPr>
          <w:rFonts w:eastAsia="Times New Roman"/>
          <w:noProof/>
        </w:rPr>
        <w:t xml:space="preserve">. </w:t>
      </w:r>
    </w:p>
    <w:p w14:paraId="2F82879C" w14:textId="2D79874B" w:rsidR="00615E2D" w:rsidRDefault="00C83E46">
      <w:pPr>
        <w:pStyle w:val="P68B1DB1-Normal3"/>
        <w:spacing w:line="240" w:lineRule="auto"/>
        <w:jc w:val="both"/>
        <w:rPr>
          <w:noProof/>
        </w:rPr>
      </w:pPr>
      <w:r>
        <w:rPr>
          <w:noProof/>
        </w:rPr>
        <w:t xml:space="preserve">Proširenim dijelom mjere povećava se instalirani kapacitet izvora fotonaponskih elektrana na krovovima zgrada poduzeća. </w:t>
      </w:r>
    </w:p>
    <w:p w14:paraId="0139068D" w14:textId="65D88A78" w:rsidR="00615E2D" w:rsidRDefault="00C83E46">
      <w:pPr>
        <w:pStyle w:val="P68B1DB1-Normal3"/>
        <w:spacing w:line="240" w:lineRule="auto"/>
        <w:jc w:val="both"/>
        <w:rPr>
          <w:noProof/>
        </w:rPr>
      </w:pPr>
      <w:r>
        <w:rPr>
          <w:noProof/>
        </w:rPr>
        <w:t>Ulaganje mora biti dovršeno do 31. ožujka 2026.</w:t>
      </w:r>
    </w:p>
    <w:p w14:paraId="0303B2F2" w14:textId="55897FA3" w:rsidR="00615E2D" w:rsidRDefault="00C83E46">
      <w:pPr>
        <w:pStyle w:val="P68B1DB1-Normal26"/>
        <w:spacing w:after="160" w:line="257" w:lineRule="auto"/>
        <w:jc w:val="both"/>
        <w:rPr>
          <w:noProof/>
        </w:rPr>
      </w:pPr>
      <w:r>
        <w:rPr>
          <w:noProof/>
        </w:rPr>
        <w:t xml:space="preserve">Reforma 1.: Pojednostavnjenje postupaka izdavanja dozvola za obnovljive izvore energije </w:t>
      </w:r>
    </w:p>
    <w:p w14:paraId="3FF4A9B5" w14:textId="68229317" w:rsidR="00615E2D" w:rsidRDefault="00C83E46">
      <w:pPr>
        <w:pStyle w:val="P68B1DB1-Normal3"/>
        <w:spacing w:after="160" w:line="257" w:lineRule="auto"/>
        <w:jc w:val="both"/>
        <w:rPr>
          <w:noProof/>
        </w:rPr>
      </w:pPr>
      <w:r>
        <w:rPr>
          <w:noProof/>
        </w:rPr>
        <w:t xml:space="preserve">Reformom se ukida zahtjev za ishođenje građevinske dozvole, dozvole za proizvodnju električne energije i odluke o odobrenju prostornog uređenja za postrojenja za proizvodnju energije iz obnovljivih izvora s ukupnim instaliranim kapacitetom do 50 kW te se uklanja odobrenje za priključenje na mrežu za postrojenja do 10 kW. </w:t>
      </w:r>
    </w:p>
    <w:p w14:paraId="281F5CA6" w14:textId="77777777" w:rsidR="00615E2D" w:rsidRDefault="00C83E46">
      <w:pPr>
        <w:pStyle w:val="P68B1DB1-Normal3"/>
        <w:spacing w:after="160" w:line="257" w:lineRule="auto"/>
        <w:jc w:val="both"/>
        <w:rPr>
          <w:noProof/>
        </w:rPr>
      </w:pPr>
      <w:r>
        <w:rPr>
          <w:noProof/>
        </w:rPr>
        <w:t>Reformom se pojednostavnjuje postupak izdavanja dozvola za postrojenja za proizvodnju energije iz obnovljivih izvora s instaliranim kapacitetom većim od 1 MW. Smatra se da su ta postrojenja od javnog interesa i imaju povlašteni tretman u pogledu prostornih dozvola i građevinskih dozvola.</w:t>
      </w:r>
    </w:p>
    <w:p w14:paraId="56321941" w14:textId="4B8FD738" w:rsidR="00615E2D" w:rsidRDefault="00C83E46">
      <w:pPr>
        <w:pStyle w:val="P68B1DB1-Normal3"/>
        <w:jc w:val="both"/>
        <w:rPr>
          <w:noProof/>
        </w:rPr>
      </w:pPr>
      <w:r>
        <w:rPr>
          <w:noProof/>
        </w:rPr>
        <w:t xml:space="preserve">Reforma će biti dovršena do 31. ožujka 2023. </w:t>
      </w:r>
    </w:p>
    <w:p w14:paraId="5AFFC15B" w14:textId="77E4E39F" w:rsidR="00615E2D" w:rsidRDefault="00C83E46">
      <w:pPr>
        <w:pStyle w:val="P68B1DB1-Normal26"/>
        <w:spacing w:after="160" w:line="257" w:lineRule="auto"/>
        <w:jc w:val="both"/>
        <w:rPr>
          <w:noProof/>
        </w:rPr>
      </w:pPr>
      <w:r>
        <w:rPr>
          <w:noProof/>
        </w:rPr>
        <w:t xml:space="preserve">Reforma br. 2: Ubrzavanje i digitalizacija postupka izdavanja dozvola za obnovljive izvore energije </w:t>
      </w:r>
    </w:p>
    <w:p w14:paraId="20A9ABBC" w14:textId="0ED9E712" w:rsidR="00615E2D" w:rsidRDefault="00C83E46">
      <w:pPr>
        <w:pStyle w:val="P68B1DB1-Normal3"/>
        <w:spacing w:after="160" w:line="257" w:lineRule="auto"/>
        <w:jc w:val="both"/>
        <w:rPr>
          <w:noProof/>
          <w:color w:val="0070C0"/>
          <w:highlight w:val="yellow"/>
        </w:rPr>
      </w:pPr>
      <w:r>
        <w:rPr>
          <w:noProof/>
        </w:rPr>
        <w:t xml:space="preserve">Reformom se određuju diferencirani, obvezujući maksimalni rokovi za sve relevantne faze postupka na temelju kapaciteta postrojenja za proizvodnju energije iz obnovljivih izvora. Cijeli postupak izdavanja dozvola (uključujući priključivanje na mrežu) ne smije trajati dulje od dvije godine za postrojenja snage 150 kW i godinu dana za postrojenja ispod 150 kW. Za solarne instalacije u umjetnim konstrukcijama postupak izdavanja dozvola ne smije trajati dulje od mjesec dana. </w:t>
      </w:r>
    </w:p>
    <w:p w14:paraId="282DFF73" w14:textId="77777777" w:rsidR="00615E2D" w:rsidRDefault="00C83E46">
      <w:pPr>
        <w:pStyle w:val="P68B1DB1-Normal3"/>
        <w:spacing w:after="160" w:line="257" w:lineRule="auto"/>
        <w:jc w:val="both"/>
        <w:rPr>
          <w:noProof/>
        </w:rPr>
      </w:pPr>
      <w:r>
        <w:rPr>
          <w:noProof/>
        </w:rPr>
        <w:t>Reformom se uspostavlja digitalna jedinstvena kontaktna točka koja djeluje kao jedinstvena kontaktna točka za pomoć podnositeljima zahtjeva tijekom cijelog postupka izdavanja dozvola.  Reformom se osigurava potpuna digitalizacija različitih faza postupka izdavanja dozvola (npr. građevinske dozvole, okolišne dozvole, priključivanje na mrežu i licenciranje).</w:t>
      </w:r>
    </w:p>
    <w:p w14:paraId="07ADA271" w14:textId="373514EE" w:rsidR="00615E2D" w:rsidRDefault="00C83E46">
      <w:pPr>
        <w:pStyle w:val="P68B1DB1-Normal3"/>
        <w:jc w:val="both"/>
        <w:rPr>
          <w:noProof/>
        </w:rPr>
      </w:pPr>
      <w:r>
        <w:rPr>
          <w:noProof/>
        </w:rPr>
        <w:t xml:space="preserve">Reforma mora biti dovršena do 31. prosinca 2024. </w:t>
      </w:r>
    </w:p>
    <w:p w14:paraId="2B3D7D5A" w14:textId="68BD7DC3" w:rsidR="00615E2D" w:rsidRDefault="00C83E46">
      <w:pPr>
        <w:pStyle w:val="P68B1DB1-Normal26"/>
        <w:spacing w:after="160" w:line="257" w:lineRule="auto"/>
        <w:jc w:val="both"/>
        <w:rPr>
          <w:noProof/>
        </w:rPr>
      </w:pPr>
      <w:r>
        <w:rPr>
          <w:noProof/>
        </w:rPr>
        <w:t xml:space="preserve">Reforma 3.: Poboljšanje predvidljivosti, transparentnosti i dostupnosti postupka priključenja na mrežu </w:t>
      </w:r>
    </w:p>
    <w:p w14:paraId="70FEB74A" w14:textId="77777777" w:rsidR="00615E2D" w:rsidRDefault="00C83E46">
      <w:pPr>
        <w:pStyle w:val="P68B1DB1-Normal3"/>
        <w:spacing w:after="160" w:line="257" w:lineRule="auto"/>
        <w:jc w:val="both"/>
        <w:rPr>
          <w:noProof/>
        </w:rPr>
      </w:pPr>
      <w:r>
        <w:rPr>
          <w:noProof/>
          <w:color w:val="000000" w:themeColor="text1"/>
        </w:rPr>
        <w:t xml:space="preserve">Cilj je reforme poboljšati upotrebu raspoloživog kapaciteta elektroenergetske mreže i </w:t>
      </w:r>
      <w:r>
        <w:rPr>
          <w:noProof/>
        </w:rPr>
        <w:t xml:space="preserve">olakšati priključivanje obnovljivih izvora energije na mrežu i vlastitu potrošnju. </w:t>
      </w:r>
    </w:p>
    <w:p w14:paraId="76CA8AAA" w14:textId="6CBBAD1C" w:rsidR="00615E2D" w:rsidRDefault="00C83E46">
      <w:pPr>
        <w:spacing w:after="160" w:line="257" w:lineRule="auto"/>
        <w:jc w:val="both"/>
        <w:rPr>
          <w:noProof/>
        </w:rPr>
      </w:pPr>
      <w:r>
        <w:rPr>
          <w:rFonts w:eastAsia="Times New Roman"/>
          <w:b/>
          <w:noProof/>
        </w:rPr>
        <w:t>Podmjera 1</w:t>
      </w:r>
      <w:r>
        <w:rPr>
          <w:noProof/>
        </w:rPr>
        <w:t xml:space="preserve">.: </w:t>
      </w:r>
      <w:r>
        <w:rPr>
          <w:rFonts w:eastAsia="Times New Roman"/>
          <w:b/>
          <w:noProof/>
        </w:rPr>
        <w:t>Poboljšanje transparentnosti postupka priključenja na mrežu</w:t>
      </w:r>
    </w:p>
    <w:p w14:paraId="53369477" w14:textId="1F4707B1" w:rsidR="00615E2D" w:rsidRDefault="00C83E46">
      <w:pPr>
        <w:pStyle w:val="P68B1DB1-Normal3"/>
        <w:spacing w:after="160" w:line="257" w:lineRule="auto"/>
        <w:jc w:val="both"/>
        <w:rPr>
          <w:noProof/>
        </w:rPr>
      </w:pPr>
      <w:r>
        <w:rPr>
          <w:noProof/>
        </w:rPr>
        <w:t xml:space="preserve"> Reformom se nastoje ukloniti prepreke procesu priključenja na mrežu uvođenjem obvezujućih rokova za postupke priključenja na mrežu, uzimajući u obzir zahtjeve u pogledu trajanja postupka izdavanja dozvola u skladu s pravom EU-a; skraćivanje trajanja ocjenjivanja i ugovora s 30 na 15 dana za operatore distribucijskih sustava (DSO) (uključujući niski, srednji i visoki napon) i sa 60 na 30 dana za operatora prijenosnog sustava (TSO) (visokonaponski).</w:t>
      </w:r>
      <w:r>
        <w:rPr>
          <w:noProof/>
          <w:u w:val="single"/>
        </w:rPr>
        <w:t xml:space="preserve"> </w:t>
      </w:r>
    </w:p>
    <w:p w14:paraId="6FEA8B0B" w14:textId="3974D633" w:rsidR="00615E2D" w:rsidRDefault="00C83E46">
      <w:pPr>
        <w:pStyle w:val="P68B1DB1-Normal3"/>
        <w:spacing w:after="160" w:line="257" w:lineRule="auto"/>
        <w:jc w:val="both"/>
        <w:rPr>
          <w:noProof/>
        </w:rPr>
      </w:pPr>
      <w:r>
        <w:rPr>
          <w:noProof/>
        </w:rPr>
        <w:t>Cilj je reforme i rješavanje izazova povezanih s prevelikim rezerviranjem dostupnih kapaciteta uz istodobno povećanje odgovornosti operatora distribucijskih sustava. Nova pravila uključuju određivanje rokova za rezerviranje mrežnih kapaciteta, prilagodbu pravila za ponovno oslobađanje neiskorištenih kapaciteta, financijske poticaje kojima se obeshrabruje nekorištenje dodijeljenih kapaciteta i uvjete pod kojima operatori distribucijskih sustava mogu otkazati rezervaciju kapaciteta.</w:t>
      </w:r>
    </w:p>
    <w:p w14:paraId="13E521D4" w14:textId="5438B21A" w:rsidR="00615E2D" w:rsidRDefault="00C83E46">
      <w:pPr>
        <w:pStyle w:val="P68B1DB1-Normal3"/>
        <w:spacing w:after="160" w:line="257" w:lineRule="auto"/>
        <w:jc w:val="both"/>
        <w:rPr>
          <w:noProof/>
        </w:rPr>
      </w:pPr>
      <w:r>
        <w:rPr>
          <w:noProof/>
        </w:rPr>
        <w:t xml:space="preserve">Reformom se nastoji povećati transparentnost postupka priključenja na mrežu mjerama za podizanje svijesti i osiguravanje vidljivosti sudionicima na tržištu i korisnicima mreže. </w:t>
      </w:r>
    </w:p>
    <w:p w14:paraId="73CC2984" w14:textId="441A5842" w:rsidR="00615E2D" w:rsidRDefault="00C83E46">
      <w:pPr>
        <w:spacing w:after="160" w:line="257" w:lineRule="auto"/>
        <w:jc w:val="both"/>
        <w:rPr>
          <w:noProof/>
        </w:rPr>
      </w:pPr>
      <w:r>
        <w:rPr>
          <w:noProof/>
        </w:rPr>
        <w:t>Tri regionalna ODS-a svaki mjesec na svojim internetskim stranicama objavljuju kartu transparentnosti, uključujući za svako od svojih područja rada, informacije o dostupnim kapacitetima priključenja na mrežu za nove priključke na svim razinama napona, objavljuju agregirane anonimizirane zahtjeve za priključenje prihvaćenih i odbijaju zahtjeve.</w:t>
      </w:r>
    </w:p>
    <w:p w14:paraId="7EE78B93" w14:textId="436E77CD" w:rsidR="00615E2D" w:rsidRDefault="00C83E46">
      <w:pPr>
        <w:pStyle w:val="P68B1DB1-Normal3"/>
        <w:spacing w:after="160" w:line="257" w:lineRule="auto"/>
        <w:jc w:val="both"/>
        <w:rPr>
          <w:noProof/>
          <w:color w:val="000000" w:themeColor="text1"/>
        </w:rPr>
      </w:pPr>
      <w:r>
        <w:rPr>
          <w:noProof/>
          <w:color w:val="000000" w:themeColor="text1"/>
        </w:rPr>
        <w:t xml:space="preserve">Reformom će se pridonijeti povećanju dodatnog </w:t>
      </w:r>
      <w:r>
        <w:rPr>
          <w:noProof/>
        </w:rPr>
        <w:t xml:space="preserve">kumulativnog kapaciteta priključenja </w:t>
      </w:r>
      <w:r>
        <w:rPr>
          <w:noProof/>
          <w:color w:val="000000" w:themeColor="text1"/>
        </w:rPr>
        <w:t xml:space="preserve">na distribucijske mreže u Češkoj za najmanje </w:t>
      </w:r>
      <w:r>
        <w:rPr>
          <w:noProof/>
        </w:rPr>
        <w:t>8000 MW obnovljivih izvora energije do 31. kolovoza 2026.</w:t>
      </w:r>
      <w:r>
        <w:rPr>
          <w:noProof/>
          <w:color w:val="000000" w:themeColor="text1"/>
        </w:rPr>
        <w:t xml:space="preserve"> </w:t>
      </w:r>
    </w:p>
    <w:p w14:paraId="13E28842" w14:textId="77777777" w:rsidR="00615E2D" w:rsidRDefault="00C83E46">
      <w:pPr>
        <w:pStyle w:val="P68B1DB1-Normal26"/>
        <w:spacing w:after="160" w:line="257" w:lineRule="auto"/>
        <w:jc w:val="both"/>
        <w:rPr>
          <w:noProof/>
        </w:rPr>
      </w:pPr>
      <w:r>
        <w:rPr>
          <w:noProof/>
        </w:rPr>
        <w:t>Podmjera 2.: Regulatorni poticaji za operatore elektroenergetskih mreža kako bi povećali fleksibilnost mreže</w:t>
      </w:r>
    </w:p>
    <w:p w14:paraId="7491F735" w14:textId="595383E7" w:rsidR="00615E2D" w:rsidRDefault="00C83E46">
      <w:pPr>
        <w:pStyle w:val="P68B1DB1-Normal3"/>
        <w:spacing w:after="160" w:line="257" w:lineRule="auto"/>
        <w:jc w:val="both"/>
        <w:rPr>
          <w:noProof/>
        </w:rPr>
      </w:pPr>
      <w:r>
        <w:rPr>
          <w:noProof/>
        </w:rPr>
        <w:t>Reformom se nastoji revidirati regulatorni okvir kojim se uređuju ulaganja i tarife operatora distribucijskih sustava/OPS-ova kako bi se osigurala neometana integracija dodatnih obnovljivih izvora energije u češku kombinaciju izvora energije.</w:t>
      </w:r>
    </w:p>
    <w:p w14:paraId="12E013E2" w14:textId="1D866B25" w:rsidR="00615E2D" w:rsidRDefault="00C83E46">
      <w:pPr>
        <w:pStyle w:val="P68B1DB1-Normal3"/>
        <w:spacing w:after="160" w:line="257" w:lineRule="auto"/>
        <w:jc w:val="both"/>
        <w:rPr>
          <w:noProof/>
        </w:rPr>
        <w:sectPr w:rsidR="00615E2D" w:rsidSect="00997F50">
          <w:headerReference w:type="even" r:id="rId438"/>
          <w:headerReference w:type="default" r:id="rId439"/>
          <w:footerReference w:type="even" r:id="rId440"/>
          <w:footerReference w:type="default" r:id="rId441"/>
          <w:headerReference w:type="first" r:id="rId442"/>
          <w:footerReference w:type="first" r:id="rId443"/>
          <w:pgSz w:w="11907" w:h="16839"/>
          <w:pgMar w:top="1134" w:right="1134" w:bottom="1134" w:left="1134" w:header="567" w:footer="567" w:gutter="0"/>
          <w:cols w:space="720"/>
          <w:docGrid w:linePitch="360"/>
        </w:sectPr>
      </w:pPr>
      <w:r>
        <w:rPr>
          <w:noProof/>
        </w:rPr>
        <w:t>Reforma se provodi do 31. ožujka 2026.</w:t>
      </w:r>
    </w:p>
    <w:p w14:paraId="01E39537" w14:textId="52445F18" w:rsidR="00615E2D" w:rsidRDefault="00C83E46">
      <w:pPr>
        <w:pStyle w:val="P68B1DB1-Normal33"/>
        <w:spacing w:after="100" w:afterAutospacing="1" w:line="259" w:lineRule="auto"/>
        <w:jc w:val="both"/>
        <w:rPr>
          <w:noProof/>
        </w:rPr>
      </w:pPr>
      <w:r>
        <w:rPr>
          <w:noProof/>
        </w:rPr>
        <w:t>EE.2. Ključne etape, ciljne vrijednosti i vremenski raspored za praćenje i provedbu programa bespovratne financijske potpore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8"/>
        <w:gridCol w:w="1567"/>
        <w:gridCol w:w="1094"/>
        <w:gridCol w:w="1489"/>
        <w:gridCol w:w="1732"/>
        <w:gridCol w:w="955"/>
        <w:gridCol w:w="955"/>
        <w:gridCol w:w="1004"/>
        <w:gridCol w:w="986"/>
        <w:gridCol w:w="640"/>
        <w:gridCol w:w="3961"/>
      </w:tblGrid>
      <w:tr w:rsidR="00615E2D" w14:paraId="1FFD9098" w14:textId="77777777">
        <w:trPr>
          <w:trHeight w:val="672"/>
          <w:tblHeader/>
          <w:jc w:val="center"/>
        </w:trPr>
        <w:tc>
          <w:tcPr>
            <w:tcW w:w="656" w:type="dxa"/>
            <w:vMerge w:val="restart"/>
            <w:shd w:val="clear" w:color="auto" w:fill="BDD7EE"/>
            <w:vAlign w:val="center"/>
            <w:hideMark/>
          </w:tcPr>
          <w:p w14:paraId="3AB5BACA" w14:textId="77777777" w:rsidR="00615E2D" w:rsidRDefault="00C83E46">
            <w:pPr>
              <w:pStyle w:val="P68B1DB1-Normal9"/>
              <w:spacing w:before="0" w:after="0" w:line="240" w:lineRule="auto"/>
              <w:jc w:val="center"/>
              <w:rPr>
                <w:noProof/>
              </w:rPr>
            </w:pPr>
            <w:r>
              <w:rPr>
                <w:noProof/>
              </w:rPr>
              <w:t>Sljedeće NUM.</w:t>
            </w:r>
          </w:p>
        </w:tc>
        <w:tc>
          <w:tcPr>
            <w:tcW w:w="1629" w:type="dxa"/>
            <w:vMerge w:val="restart"/>
            <w:shd w:val="clear" w:color="auto" w:fill="BDD7EE"/>
            <w:vAlign w:val="center"/>
            <w:hideMark/>
          </w:tcPr>
          <w:p w14:paraId="68CBB86A"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6A6E9CF6" w14:textId="77777777" w:rsidR="00615E2D" w:rsidRDefault="00C83E46">
            <w:pPr>
              <w:pStyle w:val="P68B1DB1-Normal9"/>
              <w:spacing w:before="0" w:after="0" w:line="240" w:lineRule="auto"/>
              <w:jc w:val="center"/>
              <w:rPr>
                <w:noProof/>
              </w:rPr>
            </w:pPr>
            <w:r>
              <w:rPr>
                <w:noProof/>
              </w:rPr>
              <w:t>Ključna etapa/ciljna vrijednost</w:t>
            </w:r>
          </w:p>
        </w:tc>
        <w:tc>
          <w:tcPr>
            <w:tcW w:w="1548" w:type="dxa"/>
            <w:vMerge w:val="restart"/>
            <w:shd w:val="clear" w:color="auto" w:fill="BDD7EE"/>
            <w:vAlign w:val="center"/>
            <w:hideMark/>
          </w:tcPr>
          <w:p w14:paraId="30887D22" w14:textId="77777777" w:rsidR="00615E2D" w:rsidRDefault="00C83E46">
            <w:pPr>
              <w:pStyle w:val="P68B1DB1-Normal9"/>
              <w:spacing w:before="0" w:after="0" w:line="240" w:lineRule="auto"/>
              <w:jc w:val="center"/>
              <w:rPr>
                <w:noProof/>
              </w:rPr>
            </w:pPr>
            <w:r>
              <w:rPr>
                <w:noProof/>
              </w:rPr>
              <w:t>Ime</w:t>
            </w:r>
          </w:p>
        </w:tc>
        <w:tc>
          <w:tcPr>
            <w:tcW w:w="1802" w:type="dxa"/>
            <w:vMerge w:val="restart"/>
            <w:shd w:val="clear" w:color="auto" w:fill="BDD7EE"/>
            <w:vAlign w:val="center"/>
            <w:hideMark/>
          </w:tcPr>
          <w:p w14:paraId="7F354D2D" w14:textId="77777777" w:rsidR="00615E2D" w:rsidRDefault="00C83E46">
            <w:pPr>
              <w:spacing w:before="0" w:after="0" w:line="240" w:lineRule="auto"/>
              <w:jc w:val="center"/>
              <w:rPr>
                <w:rFonts w:eastAsia="Times New Roman"/>
                <w:b/>
                <w:noProof/>
                <w:sz w:val="18"/>
              </w:rPr>
            </w:pPr>
            <w:r>
              <w:rPr>
                <w:rFonts w:eastAsia="Times New Roman"/>
                <w:b/>
                <w:noProof/>
                <w:sz w:val="18"/>
              </w:rPr>
              <w:t>Kvalitativni pokazatelji</w:t>
            </w:r>
            <w:r>
              <w:rPr>
                <w:noProof/>
              </w:rPr>
              <w:br/>
            </w:r>
            <w:r>
              <w:rPr>
                <w:rFonts w:eastAsia="Times New Roman"/>
                <w:b/>
                <w:noProof/>
                <w:sz w:val="18"/>
              </w:rPr>
              <w:t>(za ključne etape)</w:t>
            </w:r>
          </w:p>
        </w:tc>
        <w:tc>
          <w:tcPr>
            <w:tcW w:w="3018" w:type="dxa"/>
            <w:gridSpan w:val="3"/>
            <w:shd w:val="clear" w:color="auto" w:fill="BDD7EE"/>
            <w:vAlign w:val="center"/>
            <w:hideMark/>
          </w:tcPr>
          <w:p w14:paraId="3ADEB0A8" w14:textId="77777777" w:rsidR="00615E2D" w:rsidRDefault="00C83E46">
            <w:pPr>
              <w:spacing w:before="0" w:after="0" w:line="240" w:lineRule="auto"/>
              <w:jc w:val="center"/>
              <w:rPr>
                <w:rFonts w:eastAsia="Times New Roman"/>
                <w:b/>
                <w:noProof/>
                <w:sz w:val="18"/>
              </w:rPr>
            </w:pPr>
            <w:r>
              <w:rPr>
                <w:rFonts w:eastAsia="Times New Roman"/>
                <w:b/>
                <w:noProof/>
                <w:sz w:val="18"/>
              </w:rPr>
              <w:t>Kvantitativni pokazatelji</w:t>
            </w:r>
            <w:r>
              <w:rPr>
                <w:noProof/>
              </w:rPr>
              <w:br/>
            </w:r>
            <w:r>
              <w:rPr>
                <w:rFonts w:eastAsia="Times New Roman"/>
                <w:b/>
                <w:noProof/>
                <w:sz w:val="18"/>
              </w:rPr>
              <w:t>(za ciljeve)</w:t>
            </w:r>
          </w:p>
        </w:tc>
        <w:tc>
          <w:tcPr>
            <w:tcW w:w="1319" w:type="dxa"/>
            <w:gridSpan w:val="2"/>
            <w:shd w:val="clear" w:color="auto" w:fill="BDD7EE"/>
            <w:vAlign w:val="center"/>
            <w:hideMark/>
          </w:tcPr>
          <w:p w14:paraId="0C2BF9DF"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135" w:type="dxa"/>
            <w:vMerge w:val="restart"/>
            <w:shd w:val="clear" w:color="auto" w:fill="BDD7EE"/>
            <w:vAlign w:val="center"/>
            <w:hideMark/>
          </w:tcPr>
          <w:p w14:paraId="0E1D9584"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49888BF3" w14:textId="77777777">
        <w:trPr>
          <w:trHeight w:val="458"/>
          <w:tblHeader/>
          <w:jc w:val="center"/>
        </w:trPr>
        <w:tc>
          <w:tcPr>
            <w:tcW w:w="656" w:type="dxa"/>
            <w:vMerge/>
            <w:vAlign w:val="center"/>
            <w:hideMark/>
          </w:tcPr>
          <w:p w14:paraId="5DA0CE11" w14:textId="77777777" w:rsidR="00615E2D" w:rsidRDefault="00615E2D">
            <w:pPr>
              <w:spacing w:before="0" w:after="0" w:line="240" w:lineRule="auto"/>
              <w:rPr>
                <w:rFonts w:eastAsia="Times New Roman"/>
                <w:b/>
                <w:noProof/>
                <w:sz w:val="18"/>
              </w:rPr>
            </w:pPr>
          </w:p>
        </w:tc>
        <w:tc>
          <w:tcPr>
            <w:tcW w:w="1629" w:type="dxa"/>
            <w:vMerge/>
            <w:vAlign w:val="center"/>
            <w:hideMark/>
          </w:tcPr>
          <w:p w14:paraId="7D0E3A83" w14:textId="77777777" w:rsidR="00615E2D" w:rsidRDefault="00615E2D">
            <w:pPr>
              <w:spacing w:before="0" w:after="0" w:line="240" w:lineRule="auto"/>
              <w:rPr>
                <w:rFonts w:eastAsia="Times New Roman"/>
                <w:b/>
                <w:noProof/>
                <w:sz w:val="18"/>
              </w:rPr>
            </w:pPr>
          </w:p>
        </w:tc>
        <w:tc>
          <w:tcPr>
            <w:tcW w:w="1134" w:type="dxa"/>
            <w:vMerge/>
            <w:vAlign w:val="center"/>
            <w:hideMark/>
          </w:tcPr>
          <w:p w14:paraId="25E7B9B7" w14:textId="77777777" w:rsidR="00615E2D" w:rsidRDefault="00615E2D">
            <w:pPr>
              <w:spacing w:before="0" w:after="0" w:line="240" w:lineRule="auto"/>
              <w:rPr>
                <w:rFonts w:eastAsia="Times New Roman"/>
                <w:b/>
                <w:noProof/>
                <w:sz w:val="18"/>
              </w:rPr>
            </w:pPr>
          </w:p>
        </w:tc>
        <w:tc>
          <w:tcPr>
            <w:tcW w:w="1548" w:type="dxa"/>
            <w:vMerge/>
            <w:vAlign w:val="center"/>
            <w:hideMark/>
          </w:tcPr>
          <w:p w14:paraId="45CC5A5A" w14:textId="77777777" w:rsidR="00615E2D" w:rsidRDefault="00615E2D">
            <w:pPr>
              <w:spacing w:before="0" w:after="0" w:line="240" w:lineRule="auto"/>
              <w:rPr>
                <w:rFonts w:eastAsia="Times New Roman"/>
                <w:b/>
                <w:noProof/>
                <w:sz w:val="18"/>
              </w:rPr>
            </w:pPr>
          </w:p>
        </w:tc>
        <w:tc>
          <w:tcPr>
            <w:tcW w:w="1802" w:type="dxa"/>
            <w:vMerge/>
            <w:vAlign w:val="center"/>
            <w:hideMark/>
          </w:tcPr>
          <w:p w14:paraId="4BB3035D" w14:textId="77777777" w:rsidR="00615E2D" w:rsidRDefault="00615E2D">
            <w:pPr>
              <w:spacing w:before="0" w:after="0" w:line="240" w:lineRule="auto"/>
              <w:rPr>
                <w:rFonts w:eastAsia="Times New Roman"/>
                <w:b/>
                <w:noProof/>
                <w:sz w:val="18"/>
              </w:rPr>
            </w:pPr>
          </w:p>
        </w:tc>
        <w:tc>
          <w:tcPr>
            <w:tcW w:w="989" w:type="dxa"/>
            <w:shd w:val="clear" w:color="auto" w:fill="BDD7EE"/>
            <w:vAlign w:val="center"/>
            <w:hideMark/>
          </w:tcPr>
          <w:p w14:paraId="2D94EA5E" w14:textId="77777777" w:rsidR="00615E2D" w:rsidRDefault="00C83E46">
            <w:pPr>
              <w:pStyle w:val="P68B1DB1-Normal9"/>
              <w:spacing w:before="0" w:after="0" w:line="240" w:lineRule="auto"/>
              <w:jc w:val="center"/>
              <w:rPr>
                <w:noProof/>
              </w:rPr>
            </w:pPr>
            <w:r>
              <w:rPr>
                <w:noProof/>
              </w:rPr>
              <w:t>Jedinica mjere</w:t>
            </w:r>
          </w:p>
        </w:tc>
        <w:tc>
          <w:tcPr>
            <w:tcW w:w="989" w:type="dxa"/>
            <w:shd w:val="clear" w:color="auto" w:fill="BDD7EE"/>
            <w:vAlign w:val="center"/>
            <w:hideMark/>
          </w:tcPr>
          <w:p w14:paraId="44EFDAFC" w14:textId="77777777" w:rsidR="00615E2D" w:rsidRDefault="00C83E46">
            <w:pPr>
              <w:pStyle w:val="P68B1DB1-Normal9"/>
              <w:spacing w:before="0" w:after="0" w:line="240" w:lineRule="auto"/>
              <w:jc w:val="center"/>
              <w:rPr>
                <w:noProof/>
              </w:rPr>
            </w:pPr>
            <w:r>
              <w:rPr>
                <w:noProof/>
              </w:rPr>
              <w:t xml:space="preserve">Osnovna vrijednost </w:t>
            </w:r>
          </w:p>
        </w:tc>
        <w:tc>
          <w:tcPr>
            <w:tcW w:w="1040" w:type="dxa"/>
            <w:shd w:val="clear" w:color="auto" w:fill="BDD7EE"/>
            <w:vAlign w:val="center"/>
            <w:hideMark/>
          </w:tcPr>
          <w:p w14:paraId="40B0D049" w14:textId="77777777" w:rsidR="00615E2D" w:rsidRDefault="00C83E46">
            <w:pPr>
              <w:pStyle w:val="P68B1DB1-Normal9"/>
              <w:spacing w:before="0" w:after="0" w:line="240" w:lineRule="auto"/>
              <w:jc w:val="center"/>
              <w:rPr>
                <w:noProof/>
              </w:rPr>
            </w:pPr>
            <w:r>
              <w:rPr>
                <w:noProof/>
              </w:rPr>
              <w:t xml:space="preserve">Cilj </w:t>
            </w:r>
          </w:p>
        </w:tc>
        <w:tc>
          <w:tcPr>
            <w:tcW w:w="1021" w:type="dxa"/>
            <w:shd w:val="clear" w:color="auto" w:fill="BDD7EE"/>
            <w:vAlign w:val="center"/>
            <w:hideMark/>
          </w:tcPr>
          <w:p w14:paraId="5A335915" w14:textId="77777777" w:rsidR="00615E2D" w:rsidRDefault="00C83E46">
            <w:pPr>
              <w:pStyle w:val="P68B1DB1-Normal9"/>
              <w:spacing w:before="0" w:after="0" w:line="240" w:lineRule="auto"/>
              <w:jc w:val="center"/>
              <w:rPr>
                <w:noProof/>
              </w:rPr>
            </w:pPr>
            <w:r>
              <w:rPr>
                <w:noProof/>
              </w:rPr>
              <w:t>Tromjesečje</w:t>
            </w:r>
          </w:p>
        </w:tc>
        <w:tc>
          <w:tcPr>
            <w:tcW w:w="659" w:type="dxa"/>
            <w:shd w:val="clear" w:color="auto" w:fill="BDD7EE"/>
            <w:vAlign w:val="center"/>
            <w:hideMark/>
          </w:tcPr>
          <w:p w14:paraId="7EED6F4A" w14:textId="77777777" w:rsidR="00615E2D" w:rsidRDefault="00C83E46">
            <w:pPr>
              <w:pStyle w:val="P68B1DB1-Normal9"/>
              <w:spacing w:before="0" w:after="0" w:line="240" w:lineRule="auto"/>
              <w:jc w:val="center"/>
              <w:rPr>
                <w:noProof/>
              </w:rPr>
            </w:pPr>
            <w:r>
              <w:rPr>
                <w:noProof/>
              </w:rPr>
              <w:t>Godina</w:t>
            </w:r>
          </w:p>
        </w:tc>
        <w:tc>
          <w:tcPr>
            <w:tcW w:w="4135" w:type="dxa"/>
            <w:vMerge/>
            <w:vAlign w:val="center"/>
            <w:hideMark/>
          </w:tcPr>
          <w:p w14:paraId="75D362F7" w14:textId="77777777" w:rsidR="00615E2D" w:rsidRDefault="00615E2D">
            <w:pPr>
              <w:spacing w:before="0" w:after="0" w:line="240" w:lineRule="auto"/>
              <w:rPr>
                <w:rFonts w:eastAsia="Times New Roman"/>
                <w:b/>
                <w:noProof/>
                <w:sz w:val="18"/>
              </w:rPr>
            </w:pPr>
          </w:p>
        </w:tc>
      </w:tr>
      <w:tr w:rsidR="00615E2D" w14:paraId="7CD6AA39" w14:textId="77777777">
        <w:trPr>
          <w:trHeight w:val="309"/>
          <w:jc w:val="center"/>
        </w:trPr>
        <w:tc>
          <w:tcPr>
            <w:tcW w:w="656" w:type="dxa"/>
            <w:shd w:val="clear" w:color="auto" w:fill="C6EFCE"/>
            <w:vAlign w:val="center"/>
            <w:hideMark/>
          </w:tcPr>
          <w:p w14:paraId="166DCA9D" w14:textId="02A7895B" w:rsidR="00615E2D" w:rsidRDefault="00C83E46">
            <w:pPr>
              <w:pStyle w:val="P68B1DB1-Normal16"/>
              <w:spacing w:line="240" w:lineRule="auto"/>
              <w:jc w:val="center"/>
              <w:rPr>
                <w:noProof/>
                <w:color w:val="000000" w:themeColor="text1"/>
              </w:rPr>
            </w:pPr>
            <w:r>
              <w:rPr>
                <w:noProof/>
              </w:rPr>
              <w:t>299</w:t>
            </w:r>
          </w:p>
        </w:tc>
        <w:tc>
          <w:tcPr>
            <w:tcW w:w="1629" w:type="dxa"/>
            <w:shd w:val="clear" w:color="auto" w:fill="C6EFCE"/>
            <w:vAlign w:val="center"/>
            <w:hideMark/>
          </w:tcPr>
          <w:p w14:paraId="0D029AA4" w14:textId="7EEE7DFA" w:rsidR="00615E2D" w:rsidRDefault="00C83E46">
            <w:pPr>
              <w:pStyle w:val="P68B1DB1-Normal11"/>
              <w:spacing w:before="0" w:after="0" w:line="240" w:lineRule="auto"/>
              <w:rPr>
                <w:noProof/>
                <w:color w:val="004300"/>
              </w:rPr>
            </w:pPr>
            <w:r>
              <w:rPr>
                <w:noProof/>
              </w:rPr>
              <w:t>Ulaganje 1: Modernizacija i digitalizacija regionalnih distribucijskih sustava —</w:t>
            </w:r>
          </w:p>
        </w:tc>
        <w:tc>
          <w:tcPr>
            <w:tcW w:w="1134" w:type="dxa"/>
            <w:shd w:val="clear" w:color="auto" w:fill="C6EFCE"/>
            <w:vAlign w:val="center"/>
            <w:hideMark/>
          </w:tcPr>
          <w:p w14:paraId="37F3427F" w14:textId="6A6E6629" w:rsidR="00615E2D" w:rsidRDefault="00C83E46">
            <w:pPr>
              <w:pStyle w:val="P68B1DB1-Normal11"/>
              <w:spacing w:before="0" w:after="0" w:line="240" w:lineRule="auto"/>
              <w:rPr>
                <w:noProof/>
                <w:color w:val="004300"/>
              </w:rPr>
            </w:pPr>
            <w:r>
              <w:rPr>
                <w:noProof/>
              </w:rPr>
              <w:t>Ciljna</w:t>
            </w:r>
          </w:p>
        </w:tc>
        <w:tc>
          <w:tcPr>
            <w:tcW w:w="1548" w:type="dxa"/>
            <w:shd w:val="clear" w:color="auto" w:fill="C6EFCE"/>
            <w:vAlign w:val="center"/>
            <w:hideMark/>
          </w:tcPr>
          <w:p w14:paraId="0A4ACF77" w14:textId="71C7770C" w:rsidR="00615E2D" w:rsidRDefault="00C83E46">
            <w:pPr>
              <w:pStyle w:val="P68B1DB1-Normal11"/>
              <w:spacing w:before="0" w:after="0" w:line="240" w:lineRule="auto"/>
              <w:rPr>
                <w:noProof/>
                <w:color w:val="004300"/>
              </w:rPr>
            </w:pPr>
            <w:r>
              <w:rPr>
                <w:noProof/>
              </w:rPr>
              <w:t xml:space="preserve">Završetak ulaganja u modernizaciju distribucijskih mreža u Češkoj Republici  </w:t>
            </w:r>
          </w:p>
        </w:tc>
        <w:tc>
          <w:tcPr>
            <w:tcW w:w="1802" w:type="dxa"/>
            <w:shd w:val="clear" w:color="auto" w:fill="C6EFCE"/>
            <w:vAlign w:val="center"/>
            <w:hideMark/>
          </w:tcPr>
          <w:p w14:paraId="7305CD16" w14:textId="0C2F06F7" w:rsidR="00615E2D" w:rsidRDefault="00C83E46">
            <w:pPr>
              <w:pStyle w:val="P68B1DB1-Normal11"/>
              <w:spacing w:before="0" w:after="0" w:line="240" w:lineRule="auto"/>
              <w:rPr>
                <w:noProof/>
                <w:color w:val="004300"/>
              </w:rPr>
            </w:pPr>
            <w:r>
              <w:rPr>
                <w:noProof/>
              </w:rPr>
              <w:t xml:space="preserve"> </w:t>
            </w:r>
          </w:p>
        </w:tc>
        <w:tc>
          <w:tcPr>
            <w:tcW w:w="989" w:type="dxa"/>
            <w:shd w:val="clear" w:color="auto" w:fill="C6EFCE"/>
            <w:vAlign w:val="center"/>
          </w:tcPr>
          <w:p w14:paraId="4099C26C" w14:textId="21965DAF" w:rsidR="00615E2D" w:rsidRDefault="00C83E46">
            <w:pPr>
              <w:pStyle w:val="P68B1DB1-Normal11"/>
              <w:spacing w:before="0" w:after="0" w:line="240" w:lineRule="auto"/>
              <w:rPr>
                <w:noProof/>
                <w:color w:val="004300"/>
              </w:rPr>
            </w:pPr>
            <w:r>
              <w:rPr>
                <w:noProof/>
              </w:rPr>
              <w:t xml:space="preserve"> MW</w:t>
            </w:r>
          </w:p>
        </w:tc>
        <w:tc>
          <w:tcPr>
            <w:tcW w:w="989" w:type="dxa"/>
            <w:shd w:val="clear" w:color="auto" w:fill="C6EFCE"/>
            <w:vAlign w:val="center"/>
          </w:tcPr>
          <w:p w14:paraId="65C485C5" w14:textId="070A1785" w:rsidR="00615E2D" w:rsidRDefault="00C83E46">
            <w:pPr>
              <w:pStyle w:val="P68B1DB1-Normal11"/>
              <w:spacing w:before="0" w:after="0" w:line="240" w:lineRule="auto"/>
              <w:jc w:val="center"/>
              <w:rPr>
                <w:noProof/>
                <w:color w:val="004300"/>
              </w:rPr>
            </w:pPr>
            <w:r>
              <w:rPr>
                <w:noProof/>
              </w:rPr>
              <w:t xml:space="preserve"> 0</w:t>
            </w:r>
          </w:p>
        </w:tc>
        <w:tc>
          <w:tcPr>
            <w:tcW w:w="1040" w:type="dxa"/>
            <w:shd w:val="clear" w:color="auto" w:fill="C6EFCE"/>
            <w:vAlign w:val="center"/>
          </w:tcPr>
          <w:p w14:paraId="3F4CBCEB" w14:textId="708A141D" w:rsidR="00615E2D" w:rsidRDefault="00C83E46">
            <w:pPr>
              <w:pStyle w:val="P68B1DB1-Normal11"/>
              <w:spacing w:before="0" w:after="0" w:line="240" w:lineRule="auto"/>
              <w:jc w:val="center"/>
              <w:rPr>
                <w:noProof/>
                <w:color w:val="004300"/>
              </w:rPr>
            </w:pPr>
            <w:r>
              <w:rPr>
                <w:noProof/>
              </w:rPr>
              <w:t>[1777]</w:t>
            </w:r>
          </w:p>
        </w:tc>
        <w:tc>
          <w:tcPr>
            <w:tcW w:w="1021" w:type="dxa"/>
            <w:shd w:val="clear" w:color="auto" w:fill="C6EFCE"/>
            <w:vAlign w:val="center"/>
            <w:hideMark/>
          </w:tcPr>
          <w:p w14:paraId="7DF861DA" w14:textId="4893F072" w:rsidR="00615E2D" w:rsidRDefault="00C83E46">
            <w:pPr>
              <w:pStyle w:val="P68B1DB1-Normal11"/>
              <w:spacing w:line="240" w:lineRule="auto"/>
              <w:jc w:val="center"/>
              <w:rPr>
                <w:noProof/>
                <w:color w:val="004300"/>
              </w:rPr>
            </w:pPr>
            <w:r>
              <w:rPr>
                <w:noProof/>
              </w:rPr>
              <w:t>TROMJESEČJE</w:t>
            </w:r>
          </w:p>
        </w:tc>
        <w:tc>
          <w:tcPr>
            <w:tcW w:w="659" w:type="dxa"/>
            <w:shd w:val="clear" w:color="auto" w:fill="C6EFCE"/>
            <w:vAlign w:val="center"/>
            <w:hideMark/>
          </w:tcPr>
          <w:p w14:paraId="0E7CC985" w14:textId="77777777" w:rsidR="00615E2D" w:rsidRDefault="00C83E46">
            <w:pPr>
              <w:pStyle w:val="P68B1DB1-Normal11"/>
              <w:spacing w:line="240" w:lineRule="auto"/>
              <w:rPr>
                <w:noProof/>
              </w:rPr>
            </w:pPr>
            <w:r>
              <w:rPr>
                <w:noProof/>
              </w:rPr>
              <w:t xml:space="preserve"> 2026</w:t>
            </w:r>
          </w:p>
          <w:p w14:paraId="3CCEEA45" w14:textId="644B9ABA" w:rsidR="00615E2D" w:rsidRDefault="00C83E46">
            <w:pPr>
              <w:pStyle w:val="P68B1DB1-Normal11"/>
              <w:spacing w:before="0" w:after="0" w:line="240" w:lineRule="auto"/>
              <w:jc w:val="center"/>
              <w:rPr>
                <w:noProof/>
                <w:color w:val="004300"/>
              </w:rPr>
            </w:pPr>
            <w:r>
              <w:rPr>
                <w:noProof/>
              </w:rPr>
              <w:t xml:space="preserve"> </w:t>
            </w:r>
          </w:p>
        </w:tc>
        <w:tc>
          <w:tcPr>
            <w:tcW w:w="4135" w:type="dxa"/>
            <w:shd w:val="clear" w:color="auto" w:fill="C6EFCE"/>
            <w:vAlign w:val="center"/>
            <w:hideMark/>
          </w:tcPr>
          <w:p w14:paraId="5048A4EB" w14:textId="7C32A0A1" w:rsidR="00615E2D" w:rsidRDefault="00C83E46">
            <w:pPr>
              <w:pStyle w:val="P68B1DB1-Normal11"/>
              <w:spacing w:after="0" w:line="240" w:lineRule="auto"/>
              <w:rPr>
                <w:noProof/>
              </w:rPr>
            </w:pPr>
            <w:r>
              <w:rPr>
                <w:noProof/>
              </w:rPr>
              <w:t>Mora se postići najmanje [1777] MW kumulativnog dodatnog kapaciteta za priključivanje obnovljivih izvora energije na distribucijske mreže u Češkoj. Projektima se doprinosi uklanjanju uskih grla u mrežama i maksimalnom povećanju dodatnog tehničkog kapaciteta za integraciju novih obnovljivih izvora energije.</w:t>
            </w:r>
          </w:p>
          <w:p w14:paraId="0DEBB519" w14:textId="77777777" w:rsidR="00615E2D" w:rsidRDefault="00615E2D">
            <w:pPr>
              <w:spacing w:after="0" w:line="240" w:lineRule="auto"/>
              <w:rPr>
                <w:rFonts w:eastAsia="Times New Roman"/>
                <w:noProof/>
                <w:color w:val="006100"/>
                <w:sz w:val="18"/>
              </w:rPr>
            </w:pPr>
          </w:p>
          <w:p w14:paraId="268F3EE0" w14:textId="77777777" w:rsidR="00615E2D" w:rsidRDefault="00C83E46">
            <w:pPr>
              <w:pStyle w:val="P68B1DB1-Normal11"/>
              <w:spacing w:after="0" w:line="240" w:lineRule="auto"/>
              <w:rPr>
                <w:noProof/>
              </w:rPr>
            </w:pPr>
            <w:r>
              <w:rPr>
                <w:noProof/>
              </w:rPr>
              <w:t>Kako bi se dokazala sukladnost s gore navedenim zahtjevima u pogledu kapaciteta, dostavlja se tehničko izvješće koje je pripremio neovisni inženjer.</w:t>
            </w:r>
          </w:p>
          <w:p w14:paraId="68FE3F7E" w14:textId="7D8AC8DC" w:rsidR="00615E2D" w:rsidRDefault="00615E2D">
            <w:pPr>
              <w:spacing w:before="0" w:after="0" w:line="240" w:lineRule="auto"/>
              <w:rPr>
                <w:rFonts w:eastAsia="Times New Roman"/>
                <w:noProof/>
                <w:color w:val="004300"/>
                <w:sz w:val="18"/>
              </w:rPr>
            </w:pPr>
          </w:p>
        </w:tc>
      </w:tr>
      <w:tr w:rsidR="00615E2D" w14:paraId="1F46F24B" w14:textId="77777777">
        <w:trPr>
          <w:trHeight w:val="309"/>
          <w:jc w:val="center"/>
        </w:trPr>
        <w:tc>
          <w:tcPr>
            <w:tcW w:w="656" w:type="dxa"/>
            <w:shd w:val="clear" w:color="auto" w:fill="C6EFCE"/>
            <w:vAlign w:val="center"/>
          </w:tcPr>
          <w:p w14:paraId="3F8CCFCA" w14:textId="5867546F" w:rsidR="00615E2D" w:rsidRDefault="00C83E46">
            <w:pPr>
              <w:pStyle w:val="P68B1DB1-Normal16"/>
              <w:spacing w:line="240" w:lineRule="auto"/>
              <w:jc w:val="center"/>
              <w:rPr>
                <w:noProof/>
              </w:rPr>
            </w:pPr>
            <w:r>
              <w:rPr>
                <w:noProof/>
              </w:rPr>
              <w:t>300</w:t>
            </w:r>
          </w:p>
        </w:tc>
        <w:tc>
          <w:tcPr>
            <w:tcW w:w="1629" w:type="dxa"/>
            <w:shd w:val="clear" w:color="auto" w:fill="C6EFCE"/>
            <w:vAlign w:val="center"/>
          </w:tcPr>
          <w:p w14:paraId="180C5AD7" w14:textId="4F11345A" w:rsidR="00615E2D" w:rsidRDefault="00C83E46">
            <w:pPr>
              <w:pStyle w:val="P68B1DB1-Normal11"/>
              <w:spacing w:before="0" w:after="0" w:line="240" w:lineRule="auto"/>
              <w:rPr>
                <w:noProof/>
                <w:color w:val="004300"/>
              </w:rPr>
            </w:pPr>
            <w:r>
              <w:rPr>
                <w:noProof/>
              </w:rPr>
              <w:t>Ulaganje 2: Proširena mjera: Razvoj novih fotonaponskih izvora energije</w:t>
            </w:r>
          </w:p>
        </w:tc>
        <w:tc>
          <w:tcPr>
            <w:tcW w:w="1134" w:type="dxa"/>
            <w:shd w:val="clear" w:color="auto" w:fill="C6EFCE"/>
            <w:vAlign w:val="center"/>
          </w:tcPr>
          <w:p w14:paraId="2D05B782" w14:textId="433AF82A" w:rsidR="00615E2D" w:rsidRDefault="00C83E46">
            <w:pPr>
              <w:pStyle w:val="P68B1DB1-Normal11"/>
              <w:spacing w:before="0" w:after="0" w:line="240" w:lineRule="auto"/>
              <w:rPr>
                <w:noProof/>
                <w:color w:val="004300"/>
              </w:rPr>
            </w:pPr>
            <w:r>
              <w:rPr>
                <w:noProof/>
              </w:rPr>
              <w:t>Ciljna</w:t>
            </w:r>
          </w:p>
        </w:tc>
        <w:tc>
          <w:tcPr>
            <w:tcW w:w="1548" w:type="dxa"/>
            <w:shd w:val="clear" w:color="auto" w:fill="C6EFCE"/>
            <w:vAlign w:val="center"/>
          </w:tcPr>
          <w:p w14:paraId="4F5DC20E" w14:textId="3D4949AF" w:rsidR="00615E2D" w:rsidRDefault="00C83E46">
            <w:pPr>
              <w:pStyle w:val="P68B1DB1-Normal11"/>
              <w:spacing w:before="0" w:after="0" w:line="240" w:lineRule="auto"/>
              <w:rPr>
                <w:noProof/>
                <w:color w:val="004300"/>
              </w:rPr>
            </w:pPr>
            <w:r>
              <w:rPr>
                <w:noProof/>
              </w:rPr>
              <w:t>Dovršetak dodatnog instaliranog kapaciteta od 224,7 MW izvora FVE-a</w:t>
            </w:r>
          </w:p>
        </w:tc>
        <w:tc>
          <w:tcPr>
            <w:tcW w:w="1802" w:type="dxa"/>
            <w:shd w:val="clear" w:color="auto" w:fill="C6EFCE"/>
            <w:vAlign w:val="center"/>
          </w:tcPr>
          <w:p w14:paraId="5AEA6608" w14:textId="203B9889" w:rsidR="00615E2D" w:rsidRDefault="00C83E46">
            <w:pPr>
              <w:pStyle w:val="P68B1DB1-Normal11"/>
              <w:spacing w:before="0" w:after="0" w:line="240" w:lineRule="auto"/>
              <w:rPr>
                <w:noProof/>
                <w:color w:val="004300"/>
              </w:rPr>
            </w:pPr>
            <w:r>
              <w:rPr>
                <w:noProof/>
              </w:rPr>
              <w:t xml:space="preserve"> </w:t>
            </w:r>
          </w:p>
        </w:tc>
        <w:tc>
          <w:tcPr>
            <w:tcW w:w="989" w:type="dxa"/>
            <w:shd w:val="clear" w:color="auto" w:fill="C6EFCE"/>
            <w:vAlign w:val="center"/>
          </w:tcPr>
          <w:p w14:paraId="6D591DAA" w14:textId="29578887" w:rsidR="00615E2D" w:rsidRDefault="00C83E46">
            <w:pPr>
              <w:pStyle w:val="P68B1DB1-Normal11"/>
              <w:spacing w:before="0" w:after="0" w:line="240" w:lineRule="auto"/>
              <w:rPr>
                <w:noProof/>
                <w:color w:val="004300"/>
              </w:rPr>
            </w:pPr>
            <w:r>
              <w:rPr>
                <w:noProof/>
              </w:rPr>
              <w:t>MW</w:t>
            </w:r>
          </w:p>
        </w:tc>
        <w:tc>
          <w:tcPr>
            <w:tcW w:w="989" w:type="dxa"/>
            <w:shd w:val="clear" w:color="auto" w:fill="C6EFCE"/>
            <w:vAlign w:val="center"/>
          </w:tcPr>
          <w:p w14:paraId="0ED3FE05" w14:textId="1E1D64D5" w:rsidR="00615E2D" w:rsidRDefault="00C83E46">
            <w:pPr>
              <w:pStyle w:val="P68B1DB1-Normal11"/>
              <w:spacing w:before="0" w:after="0" w:line="240" w:lineRule="auto"/>
              <w:jc w:val="center"/>
              <w:rPr>
                <w:noProof/>
                <w:color w:val="004300"/>
              </w:rPr>
            </w:pPr>
            <w:r>
              <w:rPr>
                <w:noProof/>
              </w:rPr>
              <w:t>270</w:t>
            </w:r>
          </w:p>
        </w:tc>
        <w:tc>
          <w:tcPr>
            <w:tcW w:w="1040" w:type="dxa"/>
            <w:shd w:val="clear" w:color="auto" w:fill="C6EFCE"/>
            <w:vAlign w:val="center"/>
          </w:tcPr>
          <w:p w14:paraId="75C4B1A6" w14:textId="5B14C947" w:rsidR="00615E2D" w:rsidRDefault="00C83E46">
            <w:pPr>
              <w:pStyle w:val="P68B1DB1-Normal11"/>
              <w:spacing w:before="0" w:after="0" w:line="240" w:lineRule="auto"/>
              <w:jc w:val="center"/>
              <w:rPr>
                <w:noProof/>
                <w:color w:val="004300"/>
              </w:rPr>
            </w:pPr>
            <w:r>
              <w:rPr>
                <w:noProof/>
              </w:rPr>
              <w:t>494,7</w:t>
            </w:r>
          </w:p>
        </w:tc>
        <w:tc>
          <w:tcPr>
            <w:tcW w:w="1021" w:type="dxa"/>
            <w:shd w:val="clear" w:color="auto" w:fill="C6EFCE"/>
            <w:vAlign w:val="center"/>
          </w:tcPr>
          <w:p w14:paraId="15E0111D" w14:textId="1081AD6B" w:rsidR="00615E2D" w:rsidRDefault="00C83E46">
            <w:pPr>
              <w:pStyle w:val="P68B1DB1-Normal11"/>
              <w:spacing w:before="0" w:after="0" w:line="240" w:lineRule="auto"/>
              <w:jc w:val="center"/>
              <w:rPr>
                <w:noProof/>
                <w:color w:val="004300"/>
              </w:rPr>
            </w:pPr>
            <w:r>
              <w:rPr>
                <w:noProof/>
              </w:rPr>
              <w:t>TROMJESEČJE</w:t>
            </w:r>
          </w:p>
        </w:tc>
        <w:tc>
          <w:tcPr>
            <w:tcW w:w="659" w:type="dxa"/>
            <w:shd w:val="clear" w:color="auto" w:fill="C6EFCE"/>
            <w:vAlign w:val="center"/>
          </w:tcPr>
          <w:p w14:paraId="4FFD36EA" w14:textId="59E6AAED" w:rsidR="00615E2D" w:rsidRDefault="00C83E46">
            <w:pPr>
              <w:pStyle w:val="P68B1DB1-Normal11"/>
              <w:spacing w:before="0" w:after="0" w:line="240" w:lineRule="auto"/>
              <w:jc w:val="center"/>
              <w:rPr>
                <w:noProof/>
                <w:color w:val="004300"/>
              </w:rPr>
            </w:pPr>
            <w:r>
              <w:rPr>
                <w:noProof/>
              </w:rPr>
              <w:t>2026</w:t>
            </w:r>
          </w:p>
        </w:tc>
        <w:tc>
          <w:tcPr>
            <w:tcW w:w="4135" w:type="dxa"/>
            <w:shd w:val="clear" w:color="auto" w:fill="C6EFCE"/>
            <w:vAlign w:val="center"/>
          </w:tcPr>
          <w:p w14:paraId="40307D62" w14:textId="3CE5E8DD" w:rsidR="00615E2D" w:rsidRDefault="00C83E46">
            <w:pPr>
              <w:pStyle w:val="P68B1DB1-Normal11"/>
              <w:spacing w:before="0" w:after="0" w:line="240" w:lineRule="auto"/>
              <w:rPr>
                <w:noProof/>
                <w:color w:val="004300"/>
              </w:rPr>
            </w:pPr>
            <w:r>
              <w:rPr>
                <w:noProof/>
              </w:rPr>
              <w:t>Novi kapacitet fotonaponskih izvora energije od 494,7 MW instalira se i stavlja u pogon.</w:t>
            </w:r>
          </w:p>
        </w:tc>
      </w:tr>
      <w:tr w:rsidR="00615E2D" w14:paraId="09676247" w14:textId="77777777">
        <w:trPr>
          <w:trHeight w:val="309"/>
          <w:jc w:val="center"/>
        </w:trPr>
        <w:tc>
          <w:tcPr>
            <w:tcW w:w="656" w:type="dxa"/>
            <w:shd w:val="clear" w:color="auto" w:fill="C6EFCE"/>
            <w:vAlign w:val="center"/>
          </w:tcPr>
          <w:p w14:paraId="5990C51F" w14:textId="7F97D650" w:rsidR="00615E2D" w:rsidRDefault="00C83E46">
            <w:pPr>
              <w:pStyle w:val="P68B1DB1-Normal16"/>
              <w:spacing w:line="240" w:lineRule="auto"/>
              <w:jc w:val="center"/>
              <w:rPr>
                <w:noProof/>
              </w:rPr>
            </w:pPr>
            <w:r>
              <w:rPr>
                <w:noProof/>
              </w:rPr>
              <w:t>301</w:t>
            </w:r>
          </w:p>
        </w:tc>
        <w:tc>
          <w:tcPr>
            <w:tcW w:w="1629" w:type="dxa"/>
            <w:shd w:val="clear" w:color="auto" w:fill="C6EFCE"/>
            <w:vAlign w:val="center"/>
          </w:tcPr>
          <w:p w14:paraId="21E7198B" w14:textId="3E7A44CC" w:rsidR="00615E2D" w:rsidRDefault="00C83E46">
            <w:pPr>
              <w:pStyle w:val="P68B1DB1-Normal11"/>
              <w:spacing w:before="0" w:after="0" w:line="240" w:lineRule="auto"/>
              <w:rPr>
                <w:noProof/>
              </w:rPr>
            </w:pPr>
            <w:r>
              <w:rPr>
                <w:noProof/>
              </w:rPr>
              <w:t>Reforma 1.: Pojednostavnjenje postupaka izdavanja dozvola za obnovljive izvore energije</w:t>
            </w:r>
          </w:p>
        </w:tc>
        <w:tc>
          <w:tcPr>
            <w:tcW w:w="1134" w:type="dxa"/>
            <w:shd w:val="clear" w:color="auto" w:fill="C6EFCE"/>
            <w:vAlign w:val="center"/>
          </w:tcPr>
          <w:p w14:paraId="39CBB6D3" w14:textId="73AE1CB9" w:rsidR="00615E2D" w:rsidRDefault="00C83E46">
            <w:pPr>
              <w:pStyle w:val="P68B1DB1-Normal11"/>
              <w:spacing w:before="0" w:after="0" w:line="240" w:lineRule="auto"/>
              <w:rPr>
                <w:noProof/>
              </w:rPr>
            </w:pPr>
            <w:r>
              <w:rPr>
                <w:noProof/>
              </w:rPr>
              <w:t>Prekretnica</w:t>
            </w:r>
          </w:p>
        </w:tc>
        <w:tc>
          <w:tcPr>
            <w:tcW w:w="1548" w:type="dxa"/>
            <w:shd w:val="clear" w:color="auto" w:fill="C6EFCE"/>
            <w:vAlign w:val="center"/>
          </w:tcPr>
          <w:p w14:paraId="7990E482" w14:textId="77777777" w:rsidR="00615E2D" w:rsidRDefault="00C83E46">
            <w:pPr>
              <w:pStyle w:val="P68B1DB1-Normal11"/>
              <w:spacing w:line="240" w:lineRule="auto"/>
              <w:jc w:val="both"/>
              <w:rPr>
                <w:noProof/>
              </w:rPr>
            </w:pPr>
            <w:r>
              <w:rPr>
                <w:noProof/>
              </w:rPr>
              <w:t>Stupanje na snagu izmijenjenog zakonodavstva</w:t>
            </w:r>
          </w:p>
          <w:p w14:paraId="57318183" w14:textId="77777777" w:rsidR="00615E2D" w:rsidRDefault="00615E2D">
            <w:pPr>
              <w:spacing w:before="0" w:after="0" w:line="240" w:lineRule="auto"/>
              <w:rPr>
                <w:rFonts w:eastAsia="Times New Roman"/>
                <w:noProof/>
                <w:color w:val="006100"/>
                <w:sz w:val="18"/>
              </w:rPr>
            </w:pPr>
          </w:p>
        </w:tc>
        <w:tc>
          <w:tcPr>
            <w:tcW w:w="1802" w:type="dxa"/>
            <w:shd w:val="clear" w:color="auto" w:fill="C6EFCE"/>
            <w:vAlign w:val="center"/>
          </w:tcPr>
          <w:p w14:paraId="469B4071" w14:textId="77777777" w:rsidR="00615E2D" w:rsidRDefault="00C83E46">
            <w:pPr>
              <w:pStyle w:val="P68B1DB1-Normal11"/>
              <w:spacing w:line="240" w:lineRule="auto"/>
              <w:jc w:val="both"/>
              <w:rPr>
                <w:noProof/>
              </w:rPr>
            </w:pPr>
            <w:r>
              <w:rPr>
                <w:noProof/>
              </w:rPr>
              <w:t>Zakonska odredba o stupanju na snagu</w:t>
            </w:r>
          </w:p>
          <w:p w14:paraId="214255A9" w14:textId="77777777" w:rsidR="00615E2D" w:rsidRDefault="00615E2D">
            <w:pPr>
              <w:spacing w:before="0" w:after="0" w:line="240" w:lineRule="auto"/>
              <w:rPr>
                <w:rFonts w:eastAsia="Times New Roman"/>
                <w:noProof/>
                <w:color w:val="006100"/>
                <w:sz w:val="18"/>
              </w:rPr>
            </w:pPr>
          </w:p>
        </w:tc>
        <w:tc>
          <w:tcPr>
            <w:tcW w:w="989" w:type="dxa"/>
            <w:shd w:val="clear" w:color="auto" w:fill="C6EFCE"/>
            <w:vAlign w:val="center"/>
          </w:tcPr>
          <w:p w14:paraId="08DCEA6C" w14:textId="4D041A93" w:rsidR="00615E2D" w:rsidRDefault="00C83E46">
            <w:pPr>
              <w:pStyle w:val="P68B1DB1-Normal11"/>
              <w:spacing w:before="0" w:after="0" w:line="240" w:lineRule="auto"/>
              <w:rPr>
                <w:noProof/>
              </w:rPr>
            </w:pPr>
            <w:r>
              <w:rPr>
                <w:noProof/>
              </w:rPr>
              <w:t xml:space="preserve"> </w:t>
            </w:r>
          </w:p>
        </w:tc>
        <w:tc>
          <w:tcPr>
            <w:tcW w:w="989" w:type="dxa"/>
            <w:shd w:val="clear" w:color="auto" w:fill="C6EFCE"/>
            <w:vAlign w:val="center"/>
          </w:tcPr>
          <w:p w14:paraId="1E19E34A" w14:textId="317C45FB" w:rsidR="00615E2D" w:rsidRDefault="00C83E46">
            <w:pPr>
              <w:pStyle w:val="P68B1DB1-Normal11"/>
              <w:spacing w:before="0" w:after="0" w:line="240" w:lineRule="auto"/>
              <w:jc w:val="center"/>
              <w:rPr>
                <w:noProof/>
              </w:rPr>
            </w:pPr>
            <w:r>
              <w:rPr>
                <w:noProof/>
              </w:rPr>
              <w:t xml:space="preserve"> </w:t>
            </w:r>
          </w:p>
        </w:tc>
        <w:tc>
          <w:tcPr>
            <w:tcW w:w="1040" w:type="dxa"/>
            <w:shd w:val="clear" w:color="auto" w:fill="C6EFCE"/>
            <w:vAlign w:val="center"/>
          </w:tcPr>
          <w:p w14:paraId="62314E3F" w14:textId="07957A17" w:rsidR="00615E2D" w:rsidRDefault="00C83E46">
            <w:pPr>
              <w:pStyle w:val="P68B1DB1-Normal11"/>
              <w:spacing w:before="0" w:after="0" w:line="240" w:lineRule="auto"/>
              <w:jc w:val="center"/>
              <w:rPr>
                <w:noProof/>
              </w:rPr>
            </w:pPr>
            <w:r>
              <w:rPr>
                <w:noProof/>
              </w:rPr>
              <w:t xml:space="preserve"> </w:t>
            </w:r>
          </w:p>
        </w:tc>
        <w:tc>
          <w:tcPr>
            <w:tcW w:w="1021" w:type="dxa"/>
            <w:shd w:val="clear" w:color="auto" w:fill="C6EFCE"/>
            <w:vAlign w:val="center"/>
          </w:tcPr>
          <w:p w14:paraId="1893A1DA" w14:textId="717707C5" w:rsidR="00615E2D" w:rsidRDefault="00C83E46">
            <w:pPr>
              <w:pStyle w:val="P68B1DB1-Normal11"/>
              <w:spacing w:before="0" w:after="0" w:line="240" w:lineRule="auto"/>
              <w:jc w:val="center"/>
              <w:rPr>
                <w:noProof/>
              </w:rPr>
            </w:pPr>
            <w:r>
              <w:rPr>
                <w:noProof/>
              </w:rPr>
              <w:t>TROMJESEČJE</w:t>
            </w:r>
          </w:p>
        </w:tc>
        <w:tc>
          <w:tcPr>
            <w:tcW w:w="659" w:type="dxa"/>
            <w:shd w:val="clear" w:color="auto" w:fill="C6EFCE"/>
            <w:vAlign w:val="center"/>
          </w:tcPr>
          <w:p w14:paraId="72B4EF4D" w14:textId="2AF9D7EC" w:rsidR="00615E2D" w:rsidRDefault="00C83E46">
            <w:pPr>
              <w:pStyle w:val="P68B1DB1-Normal11"/>
              <w:spacing w:before="0" w:after="0" w:line="240" w:lineRule="auto"/>
              <w:jc w:val="center"/>
              <w:rPr>
                <w:noProof/>
              </w:rPr>
            </w:pPr>
            <w:r>
              <w:rPr>
                <w:noProof/>
              </w:rPr>
              <w:t>2023</w:t>
            </w:r>
          </w:p>
        </w:tc>
        <w:tc>
          <w:tcPr>
            <w:tcW w:w="4135" w:type="dxa"/>
            <w:shd w:val="clear" w:color="auto" w:fill="C6EFCE"/>
            <w:vAlign w:val="center"/>
          </w:tcPr>
          <w:p w14:paraId="4DDD4E01" w14:textId="77777777" w:rsidR="00615E2D" w:rsidRDefault="00C83E46">
            <w:pPr>
              <w:pStyle w:val="P68B1DB1-Normal11"/>
              <w:spacing w:line="240" w:lineRule="auto"/>
              <w:jc w:val="both"/>
              <w:rPr>
                <w:noProof/>
              </w:rPr>
            </w:pPr>
            <w:r>
              <w:rPr>
                <w:noProof/>
              </w:rPr>
              <w:t xml:space="preserve"> Zakonodavstvo se mijenja kako bi se:</w:t>
            </w:r>
          </w:p>
          <w:p w14:paraId="3E064AF7" w14:textId="63AC04DE" w:rsidR="00615E2D" w:rsidRDefault="00C83E46">
            <w:pPr>
              <w:pStyle w:val="P68B1DB1-ListParagraph31"/>
              <w:numPr>
                <w:ilvl w:val="0"/>
                <w:numId w:val="274"/>
              </w:numPr>
              <w:spacing w:before="0" w:line="240" w:lineRule="auto"/>
              <w:jc w:val="both"/>
              <w:rPr>
                <w:noProof/>
              </w:rPr>
            </w:pPr>
            <w:r>
              <w:rPr>
                <w:noProof/>
              </w:rPr>
              <w:t>ukloniti zahtjev za dobivanje građevinske dozvole, dozvole za proizvodnju električne energije i prostorne suglasnosti/dozvole za zoniranje za postrojenja za proizvodnju energije iz obnovljivih izvora s ukupnim instaliranim kapacitetom do 50 kW te ukinuti odobrenje za priključenje na mrežu za postrojenja do 10 kW.</w:t>
            </w:r>
          </w:p>
          <w:p w14:paraId="224D4546" w14:textId="135D35D9" w:rsidR="00615E2D" w:rsidRDefault="00C83E46">
            <w:pPr>
              <w:pStyle w:val="P68B1DB1-ListParagraph31"/>
              <w:numPr>
                <w:ilvl w:val="0"/>
                <w:numId w:val="274"/>
              </w:numPr>
              <w:spacing w:before="0" w:line="240" w:lineRule="auto"/>
              <w:jc w:val="both"/>
              <w:rPr>
                <w:noProof/>
              </w:rPr>
            </w:pPr>
            <w:r>
              <w:rPr>
                <w:noProof/>
              </w:rPr>
              <w:t>Ubrzavanje i pojednostavnjenje postupka izdavanja dozvola (građevinska dozvola, prostorna dozvola) i priključivanje na mrežu za postrojenja snage iznad 1 MW</w:t>
            </w:r>
          </w:p>
        </w:tc>
      </w:tr>
      <w:tr w:rsidR="00615E2D" w14:paraId="0163A691" w14:textId="77777777">
        <w:trPr>
          <w:trHeight w:val="309"/>
          <w:jc w:val="center"/>
        </w:trPr>
        <w:tc>
          <w:tcPr>
            <w:tcW w:w="656" w:type="dxa"/>
            <w:shd w:val="clear" w:color="auto" w:fill="C6EFCE"/>
            <w:vAlign w:val="center"/>
          </w:tcPr>
          <w:p w14:paraId="474E0EEE" w14:textId="08337241" w:rsidR="00615E2D" w:rsidRDefault="00C83E46">
            <w:pPr>
              <w:pStyle w:val="P68B1DB1-Normal16"/>
              <w:spacing w:line="240" w:lineRule="auto"/>
              <w:jc w:val="center"/>
              <w:rPr>
                <w:noProof/>
              </w:rPr>
            </w:pPr>
            <w:r>
              <w:rPr>
                <w:noProof/>
              </w:rPr>
              <w:t>302</w:t>
            </w:r>
          </w:p>
        </w:tc>
        <w:tc>
          <w:tcPr>
            <w:tcW w:w="1629" w:type="dxa"/>
            <w:shd w:val="clear" w:color="auto" w:fill="C6EFCE"/>
            <w:vAlign w:val="center"/>
          </w:tcPr>
          <w:p w14:paraId="189F8E04" w14:textId="13C58C17" w:rsidR="00615E2D" w:rsidRDefault="00C83E46">
            <w:pPr>
              <w:pStyle w:val="P68B1DB1-Normal11"/>
              <w:spacing w:before="0" w:after="0" w:line="240" w:lineRule="auto"/>
              <w:rPr>
                <w:noProof/>
              </w:rPr>
            </w:pPr>
            <w:r>
              <w:rPr>
                <w:noProof/>
              </w:rPr>
              <w:t>Reforma br. 2: Ubrzavanje i digitalizacija postupka izdavanja dozvola za obnovljive izvore energije</w:t>
            </w:r>
          </w:p>
        </w:tc>
        <w:tc>
          <w:tcPr>
            <w:tcW w:w="1134" w:type="dxa"/>
            <w:shd w:val="clear" w:color="auto" w:fill="C6EFCE"/>
            <w:vAlign w:val="center"/>
          </w:tcPr>
          <w:p w14:paraId="3C17E2DB" w14:textId="1C9BF8C4" w:rsidR="00615E2D" w:rsidRDefault="00C83E46">
            <w:pPr>
              <w:pStyle w:val="P68B1DB1-Normal11"/>
              <w:spacing w:before="0" w:after="0" w:line="240" w:lineRule="auto"/>
              <w:rPr>
                <w:noProof/>
              </w:rPr>
            </w:pPr>
            <w:r>
              <w:rPr>
                <w:noProof/>
              </w:rPr>
              <w:t>Prekretnica</w:t>
            </w:r>
          </w:p>
        </w:tc>
        <w:tc>
          <w:tcPr>
            <w:tcW w:w="1548" w:type="dxa"/>
            <w:shd w:val="clear" w:color="auto" w:fill="C6EFCE"/>
            <w:vAlign w:val="center"/>
          </w:tcPr>
          <w:p w14:paraId="26A349B3" w14:textId="77777777" w:rsidR="00615E2D" w:rsidRDefault="00C83E46">
            <w:pPr>
              <w:pStyle w:val="P68B1DB1-Normal11"/>
              <w:spacing w:line="240" w:lineRule="auto"/>
              <w:jc w:val="both"/>
              <w:rPr>
                <w:noProof/>
              </w:rPr>
            </w:pPr>
            <w:r>
              <w:rPr>
                <w:noProof/>
              </w:rPr>
              <w:t>Stupanje na snagu izmijenjenog zakonodavstva</w:t>
            </w:r>
          </w:p>
          <w:p w14:paraId="7B66B642" w14:textId="77777777" w:rsidR="00615E2D" w:rsidRDefault="00615E2D">
            <w:pPr>
              <w:spacing w:line="240" w:lineRule="auto"/>
              <w:jc w:val="both"/>
              <w:rPr>
                <w:rFonts w:eastAsia="Times New Roman"/>
                <w:noProof/>
                <w:color w:val="006100"/>
                <w:sz w:val="18"/>
              </w:rPr>
            </w:pPr>
          </w:p>
        </w:tc>
        <w:tc>
          <w:tcPr>
            <w:tcW w:w="1802" w:type="dxa"/>
            <w:shd w:val="clear" w:color="auto" w:fill="C6EFCE"/>
            <w:vAlign w:val="center"/>
          </w:tcPr>
          <w:p w14:paraId="614F3157" w14:textId="77777777" w:rsidR="00615E2D" w:rsidRDefault="00C83E46">
            <w:pPr>
              <w:pStyle w:val="P68B1DB1-Normal11"/>
              <w:spacing w:line="240" w:lineRule="auto"/>
              <w:jc w:val="both"/>
              <w:rPr>
                <w:noProof/>
              </w:rPr>
            </w:pPr>
            <w:r>
              <w:rPr>
                <w:noProof/>
              </w:rPr>
              <w:t>Zakonska odredba o stupanju na snagu</w:t>
            </w:r>
          </w:p>
          <w:p w14:paraId="2E6B05DA" w14:textId="77777777" w:rsidR="00615E2D" w:rsidRDefault="00615E2D">
            <w:pPr>
              <w:spacing w:line="240" w:lineRule="auto"/>
              <w:jc w:val="both"/>
              <w:rPr>
                <w:rFonts w:eastAsia="Times New Roman"/>
                <w:noProof/>
                <w:color w:val="006100"/>
                <w:sz w:val="18"/>
              </w:rPr>
            </w:pPr>
          </w:p>
        </w:tc>
        <w:tc>
          <w:tcPr>
            <w:tcW w:w="989" w:type="dxa"/>
            <w:shd w:val="clear" w:color="auto" w:fill="C6EFCE"/>
            <w:vAlign w:val="center"/>
          </w:tcPr>
          <w:p w14:paraId="5ACC4A0B" w14:textId="77777777" w:rsidR="00615E2D" w:rsidRDefault="00615E2D">
            <w:pPr>
              <w:spacing w:before="0" w:after="0" w:line="240" w:lineRule="auto"/>
              <w:rPr>
                <w:rFonts w:eastAsia="Times New Roman"/>
                <w:noProof/>
                <w:color w:val="006100"/>
                <w:sz w:val="18"/>
              </w:rPr>
            </w:pPr>
          </w:p>
        </w:tc>
        <w:tc>
          <w:tcPr>
            <w:tcW w:w="989" w:type="dxa"/>
            <w:shd w:val="clear" w:color="auto" w:fill="C6EFCE"/>
            <w:vAlign w:val="center"/>
          </w:tcPr>
          <w:p w14:paraId="6A417DA2" w14:textId="77777777" w:rsidR="00615E2D" w:rsidRDefault="00615E2D">
            <w:pPr>
              <w:spacing w:before="0" w:after="0" w:line="240" w:lineRule="auto"/>
              <w:jc w:val="center"/>
              <w:rPr>
                <w:rFonts w:eastAsia="Times New Roman"/>
                <w:noProof/>
                <w:color w:val="006100"/>
                <w:sz w:val="18"/>
              </w:rPr>
            </w:pPr>
          </w:p>
        </w:tc>
        <w:tc>
          <w:tcPr>
            <w:tcW w:w="1040" w:type="dxa"/>
            <w:shd w:val="clear" w:color="auto" w:fill="C6EFCE"/>
            <w:vAlign w:val="center"/>
          </w:tcPr>
          <w:p w14:paraId="6D7D906F" w14:textId="77777777" w:rsidR="00615E2D" w:rsidRDefault="00615E2D">
            <w:pPr>
              <w:spacing w:before="0" w:after="0" w:line="240" w:lineRule="auto"/>
              <w:jc w:val="center"/>
              <w:rPr>
                <w:rFonts w:eastAsia="Times New Roman"/>
                <w:noProof/>
                <w:color w:val="006100"/>
                <w:sz w:val="18"/>
              </w:rPr>
            </w:pPr>
          </w:p>
        </w:tc>
        <w:tc>
          <w:tcPr>
            <w:tcW w:w="1021" w:type="dxa"/>
            <w:shd w:val="clear" w:color="auto" w:fill="C6EFCE"/>
            <w:vAlign w:val="center"/>
          </w:tcPr>
          <w:p w14:paraId="051AD156" w14:textId="77311BCC" w:rsidR="00615E2D" w:rsidRDefault="00C83E46">
            <w:pPr>
              <w:pStyle w:val="P68B1DB1-Normal11"/>
              <w:spacing w:before="0" w:after="0" w:line="240" w:lineRule="auto"/>
              <w:jc w:val="center"/>
              <w:rPr>
                <w:noProof/>
              </w:rPr>
            </w:pPr>
            <w:r>
              <w:rPr>
                <w:noProof/>
              </w:rPr>
              <w:t>TROMJESEČJE</w:t>
            </w:r>
          </w:p>
        </w:tc>
        <w:tc>
          <w:tcPr>
            <w:tcW w:w="659" w:type="dxa"/>
            <w:shd w:val="clear" w:color="auto" w:fill="C6EFCE"/>
            <w:vAlign w:val="center"/>
          </w:tcPr>
          <w:p w14:paraId="70DD9001" w14:textId="3B88B4F2" w:rsidR="00615E2D" w:rsidRDefault="00C83E46">
            <w:pPr>
              <w:pStyle w:val="P68B1DB1-Normal11"/>
              <w:spacing w:before="0" w:after="0" w:line="240" w:lineRule="auto"/>
              <w:jc w:val="center"/>
              <w:rPr>
                <w:noProof/>
              </w:rPr>
            </w:pPr>
            <w:r>
              <w:rPr>
                <w:noProof/>
              </w:rPr>
              <w:t>2024</w:t>
            </w:r>
          </w:p>
        </w:tc>
        <w:tc>
          <w:tcPr>
            <w:tcW w:w="4135" w:type="dxa"/>
            <w:shd w:val="clear" w:color="auto" w:fill="C6EFCE"/>
            <w:vAlign w:val="center"/>
          </w:tcPr>
          <w:p w14:paraId="06927385" w14:textId="77777777" w:rsidR="00615E2D" w:rsidRDefault="00C83E46">
            <w:pPr>
              <w:pStyle w:val="P68B1DB1-ListParagraph31"/>
              <w:spacing w:line="240" w:lineRule="auto"/>
              <w:jc w:val="both"/>
              <w:rPr>
                <w:noProof/>
              </w:rPr>
            </w:pPr>
            <w:r>
              <w:rPr>
                <w:noProof/>
              </w:rPr>
              <w:t>Zakonodavstvo se mijenja kako bi se:</w:t>
            </w:r>
          </w:p>
          <w:p w14:paraId="3B66735C" w14:textId="77777777" w:rsidR="00615E2D" w:rsidRDefault="00C83E46">
            <w:pPr>
              <w:pStyle w:val="P68B1DB1-ListParagraph31"/>
              <w:spacing w:before="0" w:line="240" w:lineRule="auto"/>
              <w:jc w:val="both"/>
              <w:rPr>
                <w:noProof/>
              </w:rPr>
            </w:pPr>
            <w:r>
              <w:rPr>
                <w:noProof/>
              </w:rPr>
              <w:t xml:space="preserve">Odrediti diferencirane, obvezujuće maksimalne rokove za sve relevantne faze postupka na temelju kapaciteta. Cijeli postupak izdavanja dozvola (uključujući priključivanje na mrežu) ne smije trajati dulje od dvije godine za postrojenja za proizvodnju energije iz obnovljivih izvora snage od 150 kW i godinu dana za postrojenja za proizvodnju energije iz obnovljivih izvora snage manje od 150 kW. Za solarne instalacije u umjetnim konstrukcijama kapaciteta 100 kW ili manjeg, postupak izdavanja dozvola ne smije trajati dulje od mjesec dana.  </w:t>
            </w:r>
          </w:p>
          <w:p w14:paraId="7EEA664D" w14:textId="1B5D392A" w:rsidR="00615E2D" w:rsidRDefault="00C83E46">
            <w:pPr>
              <w:pStyle w:val="P68B1DB1-ListParagraph31"/>
              <w:numPr>
                <w:ilvl w:val="0"/>
                <w:numId w:val="274"/>
              </w:numPr>
              <w:spacing w:before="0" w:line="240" w:lineRule="auto"/>
              <w:jc w:val="both"/>
              <w:rPr>
                <w:noProof/>
              </w:rPr>
            </w:pPr>
            <w:r>
              <w:rPr>
                <w:noProof/>
              </w:rPr>
              <w:t>Uvesti praćenje trajanja različitih postupaka izdavanja dozvola od strane regulatora za energiju.</w:t>
            </w:r>
          </w:p>
        </w:tc>
      </w:tr>
      <w:tr w:rsidR="00615E2D" w14:paraId="4D8DE64E" w14:textId="77777777">
        <w:trPr>
          <w:trHeight w:val="309"/>
          <w:jc w:val="center"/>
        </w:trPr>
        <w:tc>
          <w:tcPr>
            <w:tcW w:w="656" w:type="dxa"/>
            <w:shd w:val="clear" w:color="auto" w:fill="C6EFCE"/>
            <w:vAlign w:val="center"/>
          </w:tcPr>
          <w:p w14:paraId="2FB3F3BB" w14:textId="01558919" w:rsidR="00615E2D" w:rsidRDefault="00C83E46">
            <w:pPr>
              <w:pStyle w:val="P68B1DB1-Normal16"/>
              <w:spacing w:line="240" w:lineRule="auto"/>
              <w:jc w:val="center"/>
              <w:rPr>
                <w:noProof/>
              </w:rPr>
            </w:pPr>
            <w:r>
              <w:rPr>
                <w:noProof/>
              </w:rPr>
              <w:t>303</w:t>
            </w:r>
          </w:p>
        </w:tc>
        <w:tc>
          <w:tcPr>
            <w:tcW w:w="1629" w:type="dxa"/>
            <w:shd w:val="clear" w:color="auto" w:fill="C6EFCE"/>
            <w:vAlign w:val="center"/>
          </w:tcPr>
          <w:p w14:paraId="259A1CCF" w14:textId="57C920A4" w:rsidR="00615E2D" w:rsidRDefault="00C83E46">
            <w:pPr>
              <w:pStyle w:val="P68B1DB1-Normal11"/>
              <w:spacing w:before="0" w:after="0" w:line="240" w:lineRule="auto"/>
              <w:rPr>
                <w:noProof/>
              </w:rPr>
            </w:pPr>
            <w:r>
              <w:rPr>
                <w:noProof/>
              </w:rPr>
              <w:t>Reforma br. 2: Ubrzavanje i digitalizacija postupka izdavanja dozvola za obnovljive izvore energije</w:t>
            </w:r>
          </w:p>
        </w:tc>
        <w:tc>
          <w:tcPr>
            <w:tcW w:w="1134" w:type="dxa"/>
            <w:shd w:val="clear" w:color="auto" w:fill="C6EFCE"/>
            <w:vAlign w:val="center"/>
          </w:tcPr>
          <w:p w14:paraId="244FFCCE" w14:textId="59F61968" w:rsidR="00615E2D" w:rsidRDefault="00C83E46">
            <w:pPr>
              <w:pStyle w:val="P68B1DB1-Normal11"/>
              <w:spacing w:before="0" w:after="0" w:line="240" w:lineRule="auto"/>
              <w:rPr>
                <w:noProof/>
              </w:rPr>
            </w:pPr>
            <w:r>
              <w:rPr>
                <w:noProof/>
              </w:rPr>
              <w:t>Prekretnica</w:t>
            </w:r>
          </w:p>
        </w:tc>
        <w:tc>
          <w:tcPr>
            <w:tcW w:w="1548" w:type="dxa"/>
            <w:shd w:val="clear" w:color="auto" w:fill="C6EFCE"/>
            <w:vAlign w:val="center"/>
          </w:tcPr>
          <w:p w14:paraId="2BA228E1" w14:textId="53230DEE" w:rsidR="00615E2D" w:rsidRDefault="00C83E46">
            <w:pPr>
              <w:pStyle w:val="P68B1DB1-Normal11"/>
              <w:spacing w:line="240" w:lineRule="auto"/>
              <w:jc w:val="both"/>
              <w:rPr>
                <w:noProof/>
              </w:rPr>
            </w:pPr>
            <w:r>
              <w:rPr>
                <w:noProof/>
              </w:rPr>
              <w:t>Digitalna jedinstvena kontaktna točka</w:t>
            </w:r>
          </w:p>
        </w:tc>
        <w:tc>
          <w:tcPr>
            <w:tcW w:w="1802" w:type="dxa"/>
            <w:shd w:val="clear" w:color="auto" w:fill="C6EFCE"/>
            <w:vAlign w:val="center"/>
          </w:tcPr>
          <w:p w14:paraId="07070281" w14:textId="51397EDA" w:rsidR="00615E2D" w:rsidRDefault="00C83E46">
            <w:pPr>
              <w:pStyle w:val="P68B1DB1-Normal11"/>
              <w:spacing w:line="240" w:lineRule="auto"/>
              <w:jc w:val="both"/>
              <w:rPr>
                <w:noProof/>
              </w:rPr>
            </w:pPr>
            <w:r>
              <w:rPr>
                <w:noProof/>
              </w:rPr>
              <w:t xml:space="preserve">Početak rada internetskog portala </w:t>
            </w:r>
          </w:p>
        </w:tc>
        <w:tc>
          <w:tcPr>
            <w:tcW w:w="989" w:type="dxa"/>
            <w:shd w:val="clear" w:color="auto" w:fill="C6EFCE"/>
            <w:vAlign w:val="center"/>
          </w:tcPr>
          <w:p w14:paraId="32F7BC45" w14:textId="77777777" w:rsidR="00615E2D" w:rsidRDefault="00615E2D">
            <w:pPr>
              <w:spacing w:before="0" w:after="0" w:line="240" w:lineRule="auto"/>
              <w:rPr>
                <w:rFonts w:eastAsia="Times New Roman"/>
                <w:noProof/>
                <w:color w:val="006100"/>
                <w:sz w:val="18"/>
              </w:rPr>
            </w:pPr>
          </w:p>
        </w:tc>
        <w:tc>
          <w:tcPr>
            <w:tcW w:w="989" w:type="dxa"/>
            <w:shd w:val="clear" w:color="auto" w:fill="C6EFCE"/>
            <w:vAlign w:val="center"/>
          </w:tcPr>
          <w:p w14:paraId="64FE7FC0" w14:textId="77777777" w:rsidR="00615E2D" w:rsidRDefault="00615E2D">
            <w:pPr>
              <w:spacing w:before="0" w:after="0" w:line="240" w:lineRule="auto"/>
              <w:jc w:val="center"/>
              <w:rPr>
                <w:rFonts w:eastAsia="Times New Roman"/>
                <w:noProof/>
                <w:color w:val="006100"/>
                <w:sz w:val="18"/>
              </w:rPr>
            </w:pPr>
          </w:p>
        </w:tc>
        <w:tc>
          <w:tcPr>
            <w:tcW w:w="1040" w:type="dxa"/>
            <w:shd w:val="clear" w:color="auto" w:fill="C6EFCE"/>
            <w:vAlign w:val="center"/>
          </w:tcPr>
          <w:p w14:paraId="1277DD0B" w14:textId="77777777" w:rsidR="00615E2D" w:rsidRDefault="00615E2D">
            <w:pPr>
              <w:spacing w:before="0" w:after="0" w:line="240" w:lineRule="auto"/>
              <w:jc w:val="center"/>
              <w:rPr>
                <w:rFonts w:eastAsia="Times New Roman"/>
                <w:noProof/>
                <w:color w:val="006100"/>
                <w:sz w:val="18"/>
              </w:rPr>
            </w:pPr>
          </w:p>
        </w:tc>
        <w:tc>
          <w:tcPr>
            <w:tcW w:w="1021" w:type="dxa"/>
            <w:shd w:val="clear" w:color="auto" w:fill="C6EFCE"/>
            <w:vAlign w:val="center"/>
          </w:tcPr>
          <w:p w14:paraId="1B679EE1" w14:textId="25C44365" w:rsidR="00615E2D" w:rsidRDefault="00C83E46">
            <w:pPr>
              <w:pStyle w:val="P68B1DB1-Normal11"/>
              <w:spacing w:before="0" w:after="0" w:line="240" w:lineRule="auto"/>
              <w:jc w:val="center"/>
              <w:rPr>
                <w:noProof/>
              </w:rPr>
            </w:pPr>
            <w:r>
              <w:rPr>
                <w:noProof/>
              </w:rPr>
              <w:t>ČETVRTO TROMJESEČJE</w:t>
            </w:r>
          </w:p>
        </w:tc>
        <w:tc>
          <w:tcPr>
            <w:tcW w:w="659" w:type="dxa"/>
            <w:shd w:val="clear" w:color="auto" w:fill="C6EFCE"/>
            <w:vAlign w:val="center"/>
          </w:tcPr>
          <w:p w14:paraId="7146D3D5" w14:textId="755A3721" w:rsidR="00615E2D" w:rsidRDefault="00C83E46">
            <w:pPr>
              <w:pStyle w:val="P68B1DB1-Normal11"/>
              <w:spacing w:before="0" w:after="0" w:line="240" w:lineRule="auto"/>
              <w:jc w:val="center"/>
              <w:rPr>
                <w:noProof/>
              </w:rPr>
            </w:pPr>
            <w:r>
              <w:rPr>
                <w:noProof/>
              </w:rPr>
              <w:t>2024</w:t>
            </w:r>
          </w:p>
        </w:tc>
        <w:tc>
          <w:tcPr>
            <w:tcW w:w="4135" w:type="dxa"/>
            <w:shd w:val="clear" w:color="auto" w:fill="C6EFCE"/>
            <w:vAlign w:val="center"/>
          </w:tcPr>
          <w:p w14:paraId="2101EB18" w14:textId="77777777" w:rsidR="00615E2D" w:rsidRDefault="00C83E46">
            <w:pPr>
              <w:pStyle w:val="P68B1DB1-Normal11"/>
              <w:spacing w:line="240" w:lineRule="auto"/>
              <w:jc w:val="both"/>
              <w:rPr>
                <w:noProof/>
              </w:rPr>
            </w:pPr>
            <w:r>
              <w:rPr>
                <w:noProof/>
              </w:rPr>
              <w:t>Digitalna jedinstvena kontaktna točka (internetski portal) operativna je i počela nuditi usluge i usmjeravati podnositelja zahtjeva u okviru različitih administrativnih postupaka podnošenja zahtjeva za dozvolu. Jedinstvena kontaktna točka djeluje kao jedinstvena kontaktna točka za ulagatelje/podnositelje zahtjeva za postupanje s dozvolama i njihovu isporuku te uključuje, prema potrebi, druga upravna tijela.</w:t>
            </w:r>
          </w:p>
          <w:p w14:paraId="61A4C62B" w14:textId="7A0FE911" w:rsidR="00615E2D" w:rsidRDefault="00C83E46">
            <w:pPr>
              <w:pStyle w:val="P68B1DB1-Normal11"/>
              <w:spacing w:after="160" w:line="240" w:lineRule="auto"/>
              <w:jc w:val="both"/>
              <w:rPr>
                <w:noProof/>
              </w:rPr>
            </w:pPr>
            <w:r>
              <w:rPr>
                <w:noProof/>
              </w:rPr>
              <w:t>Internetski portal omogućuje građanima i poduzećima da uvedu digitalnu potražnju za različitim vrstama dozvola (izgradnja, licenciranje, okolišne dozvole) i postupke priključivanja na mrežu. Internetski portal objedinjuje sve faze postupaka i funkcionalnost kojom se podnositeljima zahtjeva omogućuje da na internetu prate status dozvola, digitalno razmjenjuju potrebne dokumente, mijenjaju zahtjev do izdavanja dozvole.</w:t>
            </w:r>
          </w:p>
          <w:p w14:paraId="45399820" w14:textId="19A1160E" w:rsidR="00615E2D" w:rsidRDefault="00C83E46">
            <w:pPr>
              <w:pStyle w:val="P68B1DB1-Normal11"/>
              <w:spacing w:line="240" w:lineRule="auto"/>
              <w:jc w:val="both"/>
              <w:rPr>
                <w:noProof/>
              </w:rPr>
            </w:pPr>
            <w:r>
              <w:rPr>
                <w:noProof/>
              </w:rPr>
              <w:t>Različite faze postupka izdavanja dozvola (npr. građevinske dozvole, okolišne dozvole, priključivanje na mrežu i licenciranje) u potpunosti su digitalizirane.</w:t>
            </w:r>
          </w:p>
        </w:tc>
      </w:tr>
      <w:tr w:rsidR="00615E2D" w14:paraId="5115FB2E" w14:textId="77777777">
        <w:trPr>
          <w:trHeight w:val="309"/>
          <w:jc w:val="center"/>
        </w:trPr>
        <w:tc>
          <w:tcPr>
            <w:tcW w:w="656" w:type="dxa"/>
            <w:shd w:val="clear" w:color="auto" w:fill="C6EFCE"/>
            <w:vAlign w:val="center"/>
          </w:tcPr>
          <w:p w14:paraId="1C5BD0BE" w14:textId="773B324F" w:rsidR="00615E2D" w:rsidRDefault="00C83E46">
            <w:pPr>
              <w:pStyle w:val="P68B1DB1-Normal16"/>
              <w:spacing w:line="240" w:lineRule="auto"/>
              <w:jc w:val="center"/>
              <w:rPr>
                <w:noProof/>
              </w:rPr>
            </w:pPr>
            <w:r>
              <w:rPr>
                <w:noProof/>
              </w:rPr>
              <w:t xml:space="preserve"> 304</w:t>
            </w:r>
          </w:p>
        </w:tc>
        <w:tc>
          <w:tcPr>
            <w:tcW w:w="1629" w:type="dxa"/>
            <w:shd w:val="clear" w:color="auto" w:fill="C6EFCE"/>
            <w:vAlign w:val="center"/>
          </w:tcPr>
          <w:p w14:paraId="0B2F7396" w14:textId="32046403" w:rsidR="00615E2D" w:rsidRDefault="00C83E46">
            <w:pPr>
              <w:pStyle w:val="P68B1DB1-Normal11"/>
              <w:spacing w:after="160" w:line="240" w:lineRule="auto"/>
              <w:rPr>
                <w:noProof/>
              </w:rPr>
            </w:pPr>
            <w:r>
              <w:rPr>
                <w:noProof/>
              </w:rPr>
              <w:t>Reforma 3 – Podmjera 1.</w:t>
            </w:r>
          </w:p>
          <w:p w14:paraId="0963DAD9" w14:textId="3671ED07" w:rsidR="00615E2D" w:rsidRDefault="00C83E46">
            <w:pPr>
              <w:pStyle w:val="P68B1DB1-Normal11"/>
              <w:spacing w:before="0" w:after="0" w:line="240" w:lineRule="auto"/>
              <w:rPr>
                <w:noProof/>
              </w:rPr>
            </w:pPr>
            <w:r>
              <w:rPr>
                <w:noProof/>
              </w:rPr>
              <w:t xml:space="preserve">Poboljšanje transparentnosti postupka priključenja na mrežu </w:t>
            </w:r>
          </w:p>
        </w:tc>
        <w:tc>
          <w:tcPr>
            <w:tcW w:w="1134" w:type="dxa"/>
            <w:shd w:val="clear" w:color="auto" w:fill="C6EFCE"/>
            <w:vAlign w:val="center"/>
          </w:tcPr>
          <w:p w14:paraId="56CF77CB" w14:textId="4B9EED79" w:rsidR="00615E2D" w:rsidRDefault="00C83E46">
            <w:pPr>
              <w:pStyle w:val="P68B1DB1-Normal11"/>
              <w:spacing w:before="0" w:after="0" w:line="240" w:lineRule="auto"/>
              <w:rPr>
                <w:noProof/>
              </w:rPr>
            </w:pPr>
            <w:r>
              <w:rPr>
                <w:noProof/>
              </w:rPr>
              <w:t>Prekretnica</w:t>
            </w:r>
          </w:p>
        </w:tc>
        <w:tc>
          <w:tcPr>
            <w:tcW w:w="1548" w:type="dxa"/>
            <w:shd w:val="clear" w:color="auto" w:fill="C6EFCE"/>
            <w:vAlign w:val="center"/>
          </w:tcPr>
          <w:p w14:paraId="2B09232F" w14:textId="77777777" w:rsidR="00615E2D" w:rsidRDefault="00C83E46">
            <w:pPr>
              <w:pStyle w:val="P68B1DB1-Normal11"/>
              <w:spacing w:after="160" w:line="240" w:lineRule="auto"/>
              <w:rPr>
                <w:noProof/>
              </w:rPr>
            </w:pPr>
            <w:r>
              <w:rPr>
                <w:noProof/>
              </w:rPr>
              <w:t xml:space="preserve">Stupanje na snagu zakonodavnih i postupovnih promjena  </w:t>
            </w:r>
          </w:p>
          <w:p w14:paraId="70339317" w14:textId="77777777" w:rsidR="00615E2D" w:rsidRDefault="00615E2D">
            <w:pPr>
              <w:spacing w:line="240" w:lineRule="auto"/>
              <w:jc w:val="both"/>
              <w:rPr>
                <w:rFonts w:eastAsia="Times New Roman"/>
                <w:noProof/>
                <w:color w:val="006100"/>
                <w:sz w:val="18"/>
              </w:rPr>
            </w:pPr>
          </w:p>
        </w:tc>
        <w:tc>
          <w:tcPr>
            <w:tcW w:w="1802" w:type="dxa"/>
            <w:shd w:val="clear" w:color="auto" w:fill="C6EFCE"/>
            <w:vAlign w:val="center"/>
          </w:tcPr>
          <w:p w14:paraId="059ECC39" w14:textId="18978EF4" w:rsidR="00615E2D" w:rsidRDefault="00C83E46">
            <w:pPr>
              <w:pStyle w:val="P68B1DB1-Normal11"/>
              <w:spacing w:line="240" w:lineRule="auto"/>
              <w:jc w:val="both"/>
              <w:rPr>
                <w:noProof/>
              </w:rPr>
            </w:pPr>
            <w:r>
              <w:rPr>
                <w:noProof/>
              </w:rPr>
              <w:t>Odredba zakona i dekreta o stupanju na snagu zakona ili uredbe</w:t>
            </w:r>
          </w:p>
        </w:tc>
        <w:tc>
          <w:tcPr>
            <w:tcW w:w="989" w:type="dxa"/>
            <w:shd w:val="clear" w:color="auto" w:fill="C6EFCE"/>
            <w:vAlign w:val="center"/>
          </w:tcPr>
          <w:p w14:paraId="380D6BB8" w14:textId="0953E80F" w:rsidR="00615E2D" w:rsidRDefault="00C83E46">
            <w:pPr>
              <w:pStyle w:val="P68B1DB1-Normal11"/>
              <w:spacing w:before="0" w:after="0" w:line="240" w:lineRule="auto"/>
              <w:rPr>
                <w:noProof/>
              </w:rPr>
            </w:pPr>
            <w:r>
              <w:rPr>
                <w:noProof/>
              </w:rPr>
              <w:t xml:space="preserve"> </w:t>
            </w:r>
          </w:p>
        </w:tc>
        <w:tc>
          <w:tcPr>
            <w:tcW w:w="989" w:type="dxa"/>
            <w:shd w:val="clear" w:color="auto" w:fill="C6EFCE"/>
            <w:vAlign w:val="center"/>
          </w:tcPr>
          <w:p w14:paraId="75EA307B" w14:textId="72FA2A83" w:rsidR="00615E2D" w:rsidRDefault="00C83E46">
            <w:pPr>
              <w:pStyle w:val="P68B1DB1-Normal11"/>
              <w:spacing w:before="0" w:after="0" w:line="240" w:lineRule="auto"/>
              <w:jc w:val="center"/>
              <w:rPr>
                <w:noProof/>
              </w:rPr>
            </w:pPr>
            <w:r>
              <w:rPr>
                <w:noProof/>
              </w:rPr>
              <w:t xml:space="preserve"> </w:t>
            </w:r>
          </w:p>
        </w:tc>
        <w:tc>
          <w:tcPr>
            <w:tcW w:w="1040" w:type="dxa"/>
            <w:shd w:val="clear" w:color="auto" w:fill="C6EFCE"/>
            <w:vAlign w:val="center"/>
          </w:tcPr>
          <w:p w14:paraId="3452D931" w14:textId="023DE419" w:rsidR="00615E2D" w:rsidRDefault="00C83E46">
            <w:pPr>
              <w:pStyle w:val="P68B1DB1-Normal11"/>
              <w:spacing w:before="0" w:after="0" w:line="240" w:lineRule="auto"/>
              <w:jc w:val="center"/>
              <w:rPr>
                <w:noProof/>
              </w:rPr>
            </w:pPr>
            <w:r>
              <w:rPr>
                <w:noProof/>
              </w:rPr>
              <w:t xml:space="preserve"> </w:t>
            </w:r>
          </w:p>
        </w:tc>
        <w:tc>
          <w:tcPr>
            <w:tcW w:w="1021" w:type="dxa"/>
            <w:shd w:val="clear" w:color="auto" w:fill="C6EFCE"/>
            <w:vAlign w:val="center"/>
          </w:tcPr>
          <w:p w14:paraId="6963060A" w14:textId="1B6433FA" w:rsidR="00615E2D" w:rsidRDefault="00C83E46">
            <w:pPr>
              <w:pStyle w:val="P68B1DB1-Normal11"/>
              <w:spacing w:before="0" w:after="0" w:line="240" w:lineRule="auto"/>
              <w:jc w:val="center"/>
              <w:rPr>
                <w:noProof/>
              </w:rPr>
            </w:pPr>
            <w:r>
              <w:rPr>
                <w:noProof/>
              </w:rPr>
              <w:t>TROMJESEČJE</w:t>
            </w:r>
          </w:p>
        </w:tc>
        <w:tc>
          <w:tcPr>
            <w:tcW w:w="659" w:type="dxa"/>
            <w:shd w:val="clear" w:color="auto" w:fill="C6EFCE"/>
            <w:vAlign w:val="center"/>
          </w:tcPr>
          <w:p w14:paraId="16EB944A" w14:textId="6E2ACDB2" w:rsidR="00615E2D" w:rsidRDefault="00C83E46">
            <w:pPr>
              <w:pStyle w:val="P68B1DB1-Normal11"/>
              <w:spacing w:before="0" w:after="0" w:line="240" w:lineRule="auto"/>
              <w:jc w:val="center"/>
              <w:rPr>
                <w:noProof/>
              </w:rPr>
            </w:pPr>
            <w:r>
              <w:rPr>
                <w:noProof/>
              </w:rPr>
              <w:t>2024</w:t>
            </w:r>
          </w:p>
        </w:tc>
        <w:tc>
          <w:tcPr>
            <w:tcW w:w="4135" w:type="dxa"/>
            <w:shd w:val="clear" w:color="auto" w:fill="C6EFCE"/>
            <w:vAlign w:val="center"/>
          </w:tcPr>
          <w:p w14:paraId="7B220844" w14:textId="77777777" w:rsidR="00615E2D" w:rsidRDefault="00C83E46">
            <w:pPr>
              <w:pStyle w:val="P68B1DB1-Normal11"/>
              <w:spacing w:after="160" w:line="240" w:lineRule="auto"/>
              <w:jc w:val="both"/>
              <w:rPr>
                <w:noProof/>
              </w:rPr>
            </w:pPr>
            <w:r>
              <w:rPr>
                <w:noProof/>
              </w:rPr>
              <w:t>Zakonodavstvo se mijenja kako bi se:</w:t>
            </w:r>
          </w:p>
          <w:p w14:paraId="63A41A67" w14:textId="77777777" w:rsidR="00615E2D" w:rsidRDefault="00C83E46">
            <w:pPr>
              <w:pStyle w:val="P68B1DB1-ListParagraph31"/>
              <w:numPr>
                <w:ilvl w:val="0"/>
                <w:numId w:val="126"/>
              </w:numPr>
              <w:spacing w:before="0" w:after="0" w:line="240" w:lineRule="auto"/>
              <w:rPr>
                <w:noProof/>
              </w:rPr>
            </w:pPr>
            <w:r>
              <w:rPr>
                <w:noProof/>
              </w:rPr>
              <w:t>Ovlastiti operatore distribucijskih sustava da otkažu rezervaciju mrežnih kapaciteta samo na temelju tehničkih kriterija i nakon dokazivanja da kapaciteti nisu iskorišteni.</w:t>
            </w:r>
          </w:p>
          <w:p w14:paraId="2995CB71" w14:textId="6D7D8727" w:rsidR="00615E2D" w:rsidRDefault="00C83E46">
            <w:pPr>
              <w:pStyle w:val="P68B1DB1-ListParagraph31"/>
              <w:numPr>
                <w:ilvl w:val="0"/>
                <w:numId w:val="126"/>
              </w:numPr>
              <w:spacing w:before="0" w:after="0" w:line="240" w:lineRule="auto"/>
              <w:rPr>
                <w:noProof/>
              </w:rPr>
            </w:pPr>
            <w:r>
              <w:rPr>
                <w:noProof/>
              </w:rPr>
              <w:t>Obveza operatora distribucijskog sustava da podnositelju zahtjeva za priključenje dostavi pisano obrazloženje nedostatka kapaciteta priključenja te da navede datum i uvjete budućeg priključenja</w:t>
            </w:r>
          </w:p>
          <w:p w14:paraId="72AA88B6" w14:textId="03B6C8A0" w:rsidR="00615E2D" w:rsidRDefault="00C83E46">
            <w:pPr>
              <w:pStyle w:val="P68B1DB1-ListParagraph31"/>
              <w:numPr>
                <w:ilvl w:val="0"/>
                <w:numId w:val="126"/>
              </w:numPr>
              <w:spacing w:before="0" w:after="0" w:line="240" w:lineRule="auto"/>
              <w:rPr>
                <w:noProof/>
              </w:rPr>
            </w:pPr>
            <w:r>
              <w:rPr>
                <w:noProof/>
              </w:rPr>
              <w:t xml:space="preserve">Utvrditi pravila za ponovno oslobađanje neiskorištenih kapaciteta, financijske poticaje kojima se obeshrabruje pravodobno neiskorištavanje dodijeljenih kapaciteta i uvjeti pod kojima operatori distribucijskih sustava mogu otkazati rezervaciju kapaciteta.  </w:t>
            </w:r>
          </w:p>
          <w:p w14:paraId="134BA615" w14:textId="7CFF4A3C" w:rsidR="00615E2D" w:rsidRDefault="00C83E46">
            <w:pPr>
              <w:pStyle w:val="P68B1DB1-ListParagraph31"/>
              <w:numPr>
                <w:ilvl w:val="0"/>
                <w:numId w:val="126"/>
              </w:numPr>
              <w:spacing w:before="0" w:after="0" w:line="240" w:lineRule="auto"/>
              <w:rPr>
                <w:noProof/>
              </w:rPr>
            </w:pPr>
            <w:r>
              <w:rPr>
                <w:noProof/>
              </w:rPr>
              <w:t>Češki energetski regulator najmanje svakih šest mjeseci u svakoj regiji preispituje primjerenost odluke koju je donio ODS o poništenju kapaciteta.</w:t>
            </w:r>
          </w:p>
          <w:p w14:paraId="582F1FC3" w14:textId="09CB7202" w:rsidR="00615E2D" w:rsidRDefault="00C83E46">
            <w:pPr>
              <w:pStyle w:val="P68B1DB1-ListParagraph31"/>
              <w:numPr>
                <w:ilvl w:val="0"/>
                <w:numId w:val="126"/>
              </w:numPr>
              <w:spacing w:before="0" w:after="0" w:line="240" w:lineRule="auto"/>
              <w:rPr>
                <w:noProof/>
              </w:rPr>
            </w:pPr>
            <w:r>
              <w:rPr>
                <w:noProof/>
              </w:rPr>
              <w:t xml:space="preserve">Uvođenje najdužeg obvezujućeg vremena za priključivanje na mrežu koje će biti navedeno u ugovorima o priključenju na mrežu </w:t>
            </w:r>
          </w:p>
          <w:p w14:paraId="22E25528" w14:textId="77777777" w:rsidR="00615E2D" w:rsidRDefault="00C83E46">
            <w:pPr>
              <w:pStyle w:val="P68B1DB1-ListParagraph31"/>
              <w:numPr>
                <w:ilvl w:val="0"/>
                <w:numId w:val="126"/>
              </w:numPr>
              <w:spacing w:before="0" w:after="0" w:line="240" w:lineRule="auto"/>
              <w:rPr>
                <w:noProof/>
              </w:rPr>
            </w:pPr>
            <w:r>
              <w:rPr>
                <w:noProof/>
              </w:rPr>
              <w:t>Skratiti rokove za podnošenje žalbe pred tijelima za mirenje između podnositelja zahtjeva i operatora distribucijskih sustava</w:t>
            </w:r>
          </w:p>
          <w:p w14:paraId="5FE9A6C9" w14:textId="77777777" w:rsidR="00615E2D" w:rsidRDefault="00C83E46">
            <w:pPr>
              <w:pStyle w:val="P68B1DB1-ListParagraph31"/>
              <w:numPr>
                <w:ilvl w:val="0"/>
                <w:numId w:val="126"/>
              </w:numPr>
              <w:spacing w:before="0" w:after="0" w:line="240" w:lineRule="auto"/>
              <w:rPr>
                <w:noProof/>
              </w:rPr>
            </w:pPr>
            <w:r>
              <w:rPr>
                <w:noProof/>
              </w:rPr>
              <w:t xml:space="preserve">Povećati transparentnost i odgovornost postupka priključenja na mrežu. </w:t>
            </w:r>
          </w:p>
          <w:p w14:paraId="21B06342" w14:textId="39440FE9" w:rsidR="00615E2D" w:rsidRDefault="00C83E46">
            <w:pPr>
              <w:pStyle w:val="P68B1DB1-ListParagraph31"/>
              <w:numPr>
                <w:ilvl w:val="0"/>
                <w:numId w:val="126"/>
              </w:numPr>
              <w:spacing w:before="0" w:after="0" w:line="240" w:lineRule="auto"/>
              <w:rPr>
                <w:noProof/>
              </w:rPr>
            </w:pPr>
            <w:r>
              <w:rPr>
                <w:noProof/>
              </w:rPr>
              <w:t>operatori distribucijskih sustava (ČEZdi, PREDI, EG.D) najmanje svaki mjesec objavljuju na internetu informacije o dostupnim kapacitetima priključenja na mrežu za nove priključke u svojim područjima rada te objavljuju agregirane anonimizirane zahtjeve za priključenje prihvaćenih i odbijenih zahtjeva.</w:t>
            </w:r>
          </w:p>
          <w:p w14:paraId="66A48883" w14:textId="06DCA695" w:rsidR="00615E2D" w:rsidRDefault="00C83E46">
            <w:pPr>
              <w:pStyle w:val="P68B1DB1-Normal11"/>
              <w:spacing w:line="240" w:lineRule="auto"/>
              <w:jc w:val="both"/>
              <w:rPr>
                <w:noProof/>
              </w:rPr>
            </w:pPr>
            <w:r>
              <w:rPr>
                <w:noProof/>
              </w:rPr>
              <w:t>ODS-ovi/OPS također pružaju korisnicima sustava jasne i transparentne informacije o statusu i obradi njihovih zahtjeva za priključenje.</w:t>
            </w:r>
          </w:p>
        </w:tc>
      </w:tr>
      <w:tr w:rsidR="00615E2D" w14:paraId="42F9E368" w14:textId="77777777">
        <w:trPr>
          <w:trHeight w:val="309"/>
          <w:jc w:val="center"/>
        </w:trPr>
        <w:tc>
          <w:tcPr>
            <w:tcW w:w="656" w:type="dxa"/>
            <w:shd w:val="clear" w:color="auto" w:fill="C6EFCE"/>
            <w:vAlign w:val="center"/>
          </w:tcPr>
          <w:p w14:paraId="3AE20D7D" w14:textId="581822C9" w:rsidR="00615E2D" w:rsidRDefault="00C83E46">
            <w:pPr>
              <w:pStyle w:val="P68B1DB1-Normal16"/>
              <w:spacing w:line="240" w:lineRule="auto"/>
              <w:jc w:val="center"/>
              <w:rPr>
                <w:noProof/>
              </w:rPr>
            </w:pPr>
            <w:r>
              <w:rPr>
                <w:noProof/>
              </w:rPr>
              <w:t>305</w:t>
            </w:r>
          </w:p>
        </w:tc>
        <w:tc>
          <w:tcPr>
            <w:tcW w:w="1629" w:type="dxa"/>
            <w:shd w:val="clear" w:color="auto" w:fill="C6EFCE"/>
            <w:vAlign w:val="center"/>
          </w:tcPr>
          <w:p w14:paraId="0795F60F" w14:textId="2B88B0ED" w:rsidR="00615E2D" w:rsidRDefault="00C83E46">
            <w:pPr>
              <w:pStyle w:val="P68B1DB1-Normal11"/>
              <w:spacing w:after="160" w:line="240" w:lineRule="auto"/>
              <w:rPr>
                <w:noProof/>
              </w:rPr>
            </w:pPr>
            <w:r>
              <w:rPr>
                <w:noProof/>
              </w:rPr>
              <w:t>Reforma 3 – Podmjera 1.</w:t>
            </w:r>
          </w:p>
          <w:p w14:paraId="1F0D58CB" w14:textId="77777777" w:rsidR="00615E2D" w:rsidRDefault="00C83E46">
            <w:pPr>
              <w:pStyle w:val="P68B1DB1-Normal11"/>
              <w:spacing w:after="160" w:line="240" w:lineRule="auto"/>
              <w:rPr>
                <w:noProof/>
              </w:rPr>
            </w:pPr>
            <w:r>
              <w:rPr>
                <w:noProof/>
              </w:rPr>
              <w:t>Poboljšanje transparentnosti postupka priključenja na mrežu</w:t>
            </w:r>
          </w:p>
          <w:p w14:paraId="0D2C4A22" w14:textId="77777777" w:rsidR="00615E2D" w:rsidRDefault="00615E2D">
            <w:pPr>
              <w:spacing w:after="160" w:line="240" w:lineRule="auto"/>
              <w:rPr>
                <w:rFonts w:eastAsia="Times New Roman"/>
                <w:noProof/>
                <w:color w:val="006100"/>
                <w:sz w:val="18"/>
              </w:rPr>
            </w:pPr>
          </w:p>
        </w:tc>
        <w:tc>
          <w:tcPr>
            <w:tcW w:w="1134" w:type="dxa"/>
            <w:shd w:val="clear" w:color="auto" w:fill="C6EFCE"/>
            <w:vAlign w:val="center"/>
          </w:tcPr>
          <w:p w14:paraId="7724A608" w14:textId="5E143830" w:rsidR="00615E2D" w:rsidRDefault="00C83E46">
            <w:pPr>
              <w:pStyle w:val="P68B1DB1-Normal11"/>
              <w:spacing w:before="0" w:after="0" w:line="240" w:lineRule="auto"/>
              <w:rPr>
                <w:noProof/>
              </w:rPr>
            </w:pPr>
            <w:r>
              <w:rPr>
                <w:noProof/>
              </w:rPr>
              <w:t>Prekretnica</w:t>
            </w:r>
          </w:p>
        </w:tc>
        <w:tc>
          <w:tcPr>
            <w:tcW w:w="1548" w:type="dxa"/>
            <w:shd w:val="clear" w:color="auto" w:fill="C6EFCE"/>
            <w:vAlign w:val="center"/>
          </w:tcPr>
          <w:p w14:paraId="48BC7E7A" w14:textId="77777777" w:rsidR="00615E2D" w:rsidRDefault="00C83E46">
            <w:pPr>
              <w:pStyle w:val="P68B1DB1-Normal11"/>
              <w:spacing w:after="0" w:line="240" w:lineRule="auto"/>
              <w:rPr>
                <w:noProof/>
              </w:rPr>
            </w:pPr>
            <w:r>
              <w:rPr>
                <w:noProof/>
              </w:rPr>
              <w:t>Objava informacija o zahtjevima za priključenje na mrežu i kapacitetima</w:t>
            </w:r>
          </w:p>
          <w:p w14:paraId="54027D23" w14:textId="024CDD86" w:rsidR="00615E2D" w:rsidRDefault="00C83E46">
            <w:pPr>
              <w:pStyle w:val="P68B1DB1-Normal11"/>
              <w:spacing w:after="160" w:line="240" w:lineRule="auto"/>
              <w:rPr>
                <w:noProof/>
              </w:rPr>
            </w:pPr>
            <w:r>
              <w:rPr>
                <w:noProof/>
              </w:rPr>
              <w:t xml:space="preserve"> </w:t>
            </w:r>
          </w:p>
        </w:tc>
        <w:tc>
          <w:tcPr>
            <w:tcW w:w="1802" w:type="dxa"/>
            <w:shd w:val="clear" w:color="auto" w:fill="C6EFCE"/>
            <w:vAlign w:val="center"/>
          </w:tcPr>
          <w:p w14:paraId="7E8787D8" w14:textId="59DB10EE" w:rsidR="00615E2D" w:rsidRDefault="00C83E46">
            <w:pPr>
              <w:pStyle w:val="P68B1DB1-Normal11"/>
              <w:spacing w:line="240" w:lineRule="auto"/>
              <w:jc w:val="both"/>
              <w:rPr>
                <w:noProof/>
              </w:rPr>
            </w:pPr>
            <w:r>
              <w:rPr>
                <w:noProof/>
              </w:rPr>
              <w:t>Početak rada interaktivne karte</w:t>
            </w:r>
          </w:p>
        </w:tc>
        <w:tc>
          <w:tcPr>
            <w:tcW w:w="989" w:type="dxa"/>
            <w:shd w:val="clear" w:color="auto" w:fill="C6EFCE"/>
            <w:vAlign w:val="center"/>
          </w:tcPr>
          <w:p w14:paraId="30736B65" w14:textId="44255D98" w:rsidR="00615E2D" w:rsidRDefault="00C83E46">
            <w:pPr>
              <w:pStyle w:val="P68B1DB1-Normal11"/>
              <w:spacing w:before="0" w:after="0" w:line="240" w:lineRule="auto"/>
              <w:rPr>
                <w:noProof/>
              </w:rPr>
            </w:pPr>
            <w:r>
              <w:rPr>
                <w:noProof/>
              </w:rPr>
              <w:t xml:space="preserve"> </w:t>
            </w:r>
          </w:p>
        </w:tc>
        <w:tc>
          <w:tcPr>
            <w:tcW w:w="989" w:type="dxa"/>
            <w:shd w:val="clear" w:color="auto" w:fill="C6EFCE"/>
            <w:vAlign w:val="center"/>
          </w:tcPr>
          <w:p w14:paraId="56EBDA55" w14:textId="6884669C" w:rsidR="00615E2D" w:rsidRDefault="00C83E46">
            <w:pPr>
              <w:pStyle w:val="P68B1DB1-Normal11"/>
              <w:spacing w:before="0" w:after="0" w:line="240" w:lineRule="auto"/>
              <w:jc w:val="center"/>
              <w:rPr>
                <w:noProof/>
              </w:rPr>
            </w:pPr>
            <w:r>
              <w:rPr>
                <w:noProof/>
              </w:rPr>
              <w:t xml:space="preserve"> </w:t>
            </w:r>
          </w:p>
        </w:tc>
        <w:tc>
          <w:tcPr>
            <w:tcW w:w="1040" w:type="dxa"/>
            <w:shd w:val="clear" w:color="auto" w:fill="C6EFCE"/>
            <w:vAlign w:val="center"/>
          </w:tcPr>
          <w:p w14:paraId="3123C426" w14:textId="3A615912" w:rsidR="00615E2D" w:rsidRDefault="00C83E46">
            <w:pPr>
              <w:pStyle w:val="P68B1DB1-Normal11"/>
              <w:spacing w:before="0" w:after="0" w:line="240" w:lineRule="auto"/>
              <w:jc w:val="center"/>
              <w:rPr>
                <w:noProof/>
              </w:rPr>
            </w:pPr>
            <w:r>
              <w:rPr>
                <w:noProof/>
              </w:rPr>
              <w:t xml:space="preserve"> </w:t>
            </w:r>
          </w:p>
        </w:tc>
        <w:tc>
          <w:tcPr>
            <w:tcW w:w="1021" w:type="dxa"/>
            <w:shd w:val="clear" w:color="auto" w:fill="C6EFCE"/>
            <w:vAlign w:val="center"/>
          </w:tcPr>
          <w:p w14:paraId="4428B468" w14:textId="43A2DEAE" w:rsidR="00615E2D" w:rsidRDefault="00C83E46">
            <w:pPr>
              <w:pStyle w:val="P68B1DB1-Normal11"/>
              <w:spacing w:before="0" w:after="0" w:line="240" w:lineRule="auto"/>
              <w:jc w:val="center"/>
              <w:rPr>
                <w:noProof/>
              </w:rPr>
            </w:pPr>
            <w:r>
              <w:rPr>
                <w:noProof/>
              </w:rPr>
              <w:t>TROMJESEČJE</w:t>
            </w:r>
          </w:p>
        </w:tc>
        <w:tc>
          <w:tcPr>
            <w:tcW w:w="659" w:type="dxa"/>
            <w:shd w:val="clear" w:color="auto" w:fill="C6EFCE"/>
            <w:vAlign w:val="center"/>
          </w:tcPr>
          <w:p w14:paraId="689DC203" w14:textId="5A459C91" w:rsidR="00615E2D" w:rsidRDefault="00C83E46">
            <w:pPr>
              <w:pStyle w:val="P68B1DB1-Normal11"/>
              <w:spacing w:before="0" w:after="0" w:line="240" w:lineRule="auto"/>
              <w:jc w:val="center"/>
              <w:rPr>
                <w:noProof/>
              </w:rPr>
            </w:pPr>
            <w:r>
              <w:rPr>
                <w:noProof/>
              </w:rPr>
              <w:t>2024</w:t>
            </w:r>
          </w:p>
        </w:tc>
        <w:tc>
          <w:tcPr>
            <w:tcW w:w="4135" w:type="dxa"/>
            <w:shd w:val="clear" w:color="auto" w:fill="C6EFCE"/>
            <w:vAlign w:val="center"/>
          </w:tcPr>
          <w:p w14:paraId="696333EE" w14:textId="23871CAD" w:rsidR="00615E2D" w:rsidRDefault="00C83E46">
            <w:pPr>
              <w:pStyle w:val="P68B1DB1-Normal11"/>
              <w:spacing w:before="0" w:after="0" w:line="240" w:lineRule="auto"/>
              <w:rPr>
                <w:noProof/>
              </w:rPr>
            </w:pPr>
            <w:r>
              <w:rPr>
                <w:noProof/>
              </w:rPr>
              <w:t xml:space="preserve">Interaktivna karta objavljuje se na internetskim stranicama triju regionalnih ODS-ova (E.GD, CEZ i PRE) i prikazuje sljedeće informacije: </w:t>
            </w:r>
          </w:p>
          <w:p w14:paraId="1657D91F" w14:textId="06E56D64" w:rsidR="00615E2D" w:rsidRDefault="00C83E46">
            <w:pPr>
              <w:pStyle w:val="P68B1DB1-ListParagraph31"/>
              <w:numPr>
                <w:ilvl w:val="0"/>
                <w:numId w:val="126"/>
              </w:numPr>
              <w:spacing w:before="0" w:after="0" w:line="240" w:lineRule="auto"/>
              <w:rPr>
                <w:noProof/>
              </w:rPr>
            </w:pPr>
            <w:r>
              <w:rPr>
                <w:noProof/>
              </w:rPr>
              <w:t xml:space="preserve">za svako područje rada informacije o raspoloživom kapacitetu mreže pri srednjem i visokom naponu. </w:t>
            </w:r>
          </w:p>
          <w:p w14:paraId="0728CAD4" w14:textId="6CA7A7B5" w:rsidR="00615E2D" w:rsidRDefault="00C83E46">
            <w:pPr>
              <w:pStyle w:val="P68B1DB1-ListParagraph31"/>
              <w:numPr>
                <w:ilvl w:val="0"/>
                <w:numId w:val="126"/>
              </w:numPr>
              <w:spacing w:before="0" w:after="0" w:line="240" w:lineRule="auto"/>
              <w:rPr>
                <w:noProof/>
              </w:rPr>
            </w:pPr>
            <w:r>
              <w:rPr>
                <w:noProof/>
              </w:rPr>
              <w:t xml:space="preserve">Za nisku razinu napona, informacije na razini transformatora, anonimizirane informacije o prihvaćenim i odbijenim zahtjevima (uključujući broj alternativnih ugovora o priključenju) i anonimizirane zahtjeve za priključenje te prihvaćene i odbijene zahtjeve </w:t>
            </w:r>
          </w:p>
        </w:tc>
      </w:tr>
      <w:tr w:rsidR="00615E2D" w14:paraId="034F50B4" w14:textId="77777777">
        <w:trPr>
          <w:trHeight w:val="309"/>
          <w:jc w:val="center"/>
        </w:trPr>
        <w:tc>
          <w:tcPr>
            <w:tcW w:w="656" w:type="dxa"/>
            <w:shd w:val="clear" w:color="auto" w:fill="C6EFCE"/>
            <w:vAlign w:val="center"/>
          </w:tcPr>
          <w:p w14:paraId="2AFA991C" w14:textId="5BFFDA2B" w:rsidR="00615E2D" w:rsidRDefault="00615E2D">
            <w:pPr>
              <w:spacing w:line="240" w:lineRule="auto"/>
              <w:jc w:val="center"/>
              <w:rPr>
                <w:noProof/>
                <w:color w:val="004300"/>
                <w:sz w:val="18"/>
              </w:rPr>
            </w:pPr>
          </w:p>
          <w:p w14:paraId="3AAFBA9F" w14:textId="704AA284" w:rsidR="00615E2D" w:rsidRDefault="00C83E46">
            <w:pPr>
              <w:pStyle w:val="P68B1DB1-Normal16"/>
              <w:spacing w:line="240" w:lineRule="auto"/>
              <w:jc w:val="center"/>
              <w:rPr>
                <w:noProof/>
              </w:rPr>
            </w:pPr>
            <w:r>
              <w:rPr>
                <w:noProof/>
              </w:rPr>
              <w:t>306</w:t>
            </w:r>
          </w:p>
        </w:tc>
        <w:tc>
          <w:tcPr>
            <w:tcW w:w="1629" w:type="dxa"/>
            <w:shd w:val="clear" w:color="auto" w:fill="C6EFCE"/>
            <w:vAlign w:val="center"/>
          </w:tcPr>
          <w:p w14:paraId="17CF5ABD" w14:textId="77777777" w:rsidR="00615E2D" w:rsidRDefault="00C83E46">
            <w:pPr>
              <w:pStyle w:val="P68B1DB1-Normal11"/>
              <w:spacing w:after="160" w:line="240" w:lineRule="auto"/>
              <w:rPr>
                <w:noProof/>
              </w:rPr>
            </w:pPr>
            <w:r>
              <w:rPr>
                <w:noProof/>
              </w:rPr>
              <w:t>Reforma 3 – Podmjera 1.</w:t>
            </w:r>
          </w:p>
          <w:p w14:paraId="08D8C387" w14:textId="77777777" w:rsidR="00615E2D" w:rsidRDefault="00C83E46">
            <w:pPr>
              <w:pStyle w:val="P68B1DB1-Normal11"/>
              <w:spacing w:after="160" w:line="240" w:lineRule="auto"/>
              <w:rPr>
                <w:noProof/>
              </w:rPr>
            </w:pPr>
            <w:r>
              <w:rPr>
                <w:noProof/>
              </w:rPr>
              <w:t>Poboljšanje transparentnosti postupka priključenja na mrežu</w:t>
            </w:r>
          </w:p>
          <w:p w14:paraId="0297435A" w14:textId="77777777" w:rsidR="00615E2D" w:rsidRDefault="00615E2D">
            <w:pPr>
              <w:spacing w:after="160" w:line="240" w:lineRule="auto"/>
              <w:rPr>
                <w:rFonts w:eastAsia="Times New Roman"/>
                <w:noProof/>
                <w:color w:val="006100"/>
                <w:sz w:val="18"/>
              </w:rPr>
            </w:pPr>
          </w:p>
        </w:tc>
        <w:tc>
          <w:tcPr>
            <w:tcW w:w="1134" w:type="dxa"/>
            <w:shd w:val="clear" w:color="auto" w:fill="C6EFCE"/>
            <w:vAlign w:val="center"/>
          </w:tcPr>
          <w:p w14:paraId="7FFF8226" w14:textId="4BDBDD7D" w:rsidR="00615E2D" w:rsidRDefault="00C83E46">
            <w:pPr>
              <w:pStyle w:val="P68B1DB1-Normal11"/>
              <w:spacing w:before="0" w:after="0" w:line="240" w:lineRule="auto"/>
              <w:rPr>
                <w:noProof/>
              </w:rPr>
            </w:pPr>
            <w:r>
              <w:rPr>
                <w:noProof/>
              </w:rPr>
              <w:t>Prekretnica</w:t>
            </w:r>
          </w:p>
        </w:tc>
        <w:tc>
          <w:tcPr>
            <w:tcW w:w="1548" w:type="dxa"/>
            <w:shd w:val="clear" w:color="auto" w:fill="C6EFCE"/>
            <w:vAlign w:val="center"/>
          </w:tcPr>
          <w:p w14:paraId="0F8D6B34" w14:textId="77777777" w:rsidR="00615E2D" w:rsidRDefault="00C83E46">
            <w:pPr>
              <w:pStyle w:val="P68B1DB1-Normal11"/>
              <w:spacing w:after="0" w:line="240" w:lineRule="auto"/>
              <w:rPr>
                <w:noProof/>
              </w:rPr>
            </w:pPr>
            <w:r>
              <w:rPr>
                <w:noProof/>
              </w:rPr>
              <w:t>Objava informacija o zahtjevima za priključenje na mrežu i kapacitetima</w:t>
            </w:r>
          </w:p>
          <w:p w14:paraId="0830DD54" w14:textId="77777777" w:rsidR="00615E2D" w:rsidRDefault="00615E2D">
            <w:pPr>
              <w:spacing w:after="0" w:line="240" w:lineRule="auto"/>
              <w:rPr>
                <w:rFonts w:eastAsia="Times New Roman"/>
                <w:noProof/>
                <w:color w:val="006100"/>
                <w:sz w:val="18"/>
              </w:rPr>
            </w:pPr>
          </w:p>
        </w:tc>
        <w:tc>
          <w:tcPr>
            <w:tcW w:w="1802" w:type="dxa"/>
            <w:shd w:val="clear" w:color="auto" w:fill="C6EFCE"/>
            <w:vAlign w:val="center"/>
          </w:tcPr>
          <w:p w14:paraId="55A78AC0" w14:textId="4B86DB4F" w:rsidR="00615E2D" w:rsidRDefault="00C83E46">
            <w:pPr>
              <w:pStyle w:val="P68B1DB1-Normal11"/>
              <w:spacing w:line="240" w:lineRule="auto"/>
              <w:jc w:val="both"/>
              <w:rPr>
                <w:noProof/>
              </w:rPr>
            </w:pPr>
            <w:r>
              <w:rPr>
                <w:noProof/>
              </w:rPr>
              <w:t>Objava informacija o kapacitetu mreže na svim razinama napona</w:t>
            </w:r>
          </w:p>
        </w:tc>
        <w:tc>
          <w:tcPr>
            <w:tcW w:w="989" w:type="dxa"/>
            <w:shd w:val="clear" w:color="auto" w:fill="C6EFCE"/>
            <w:vAlign w:val="center"/>
          </w:tcPr>
          <w:p w14:paraId="1782BA2D" w14:textId="77777777" w:rsidR="00615E2D" w:rsidRDefault="00615E2D">
            <w:pPr>
              <w:spacing w:before="0" w:after="0" w:line="240" w:lineRule="auto"/>
              <w:rPr>
                <w:rFonts w:eastAsia="Times New Roman"/>
                <w:noProof/>
                <w:color w:val="006100"/>
                <w:sz w:val="18"/>
              </w:rPr>
            </w:pPr>
          </w:p>
        </w:tc>
        <w:tc>
          <w:tcPr>
            <w:tcW w:w="989" w:type="dxa"/>
            <w:shd w:val="clear" w:color="auto" w:fill="C6EFCE"/>
            <w:vAlign w:val="center"/>
          </w:tcPr>
          <w:p w14:paraId="0D2CFC56" w14:textId="77777777" w:rsidR="00615E2D" w:rsidRDefault="00615E2D">
            <w:pPr>
              <w:spacing w:before="0" w:after="0" w:line="240" w:lineRule="auto"/>
              <w:jc w:val="center"/>
              <w:rPr>
                <w:rFonts w:eastAsia="Times New Roman"/>
                <w:noProof/>
                <w:color w:val="006100"/>
                <w:sz w:val="18"/>
              </w:rPr>
            </w:pPr>
          </w:p>
        </w:tc>
        <w:tc>
          <w:tcPr>
            <w:tcW w:w="1040" w:type="dxa"/>
            <w:shd w:val="clear" w:color="auto" w:fill="C6EFCE"/>
            <w:vAlign w:val="center"/>
          </w:tcPr>
          <w:p w14:paraId="11D91443" w14:textId="77777777" w:rsidR="00615E2D" w:rsidRDefault="00615E2D">
            <w:pPr>
              <w:spacing w:before="0" w:after="0" w:line="240" w:lineRule="auto"/>
              <w:jc w:val="center"/>
              <w:rPr>
                <w:rFonts w:eastAsia="Times New Roman"/>
                <w:noProof/>
                <w:color w:val="006100"/>
                <w:sz w:val="18"/>
              </w:rPr>
            </w:pPr>
          </w:p>
        </w:tc>
        <w:tc>
          <w:tcPr>
            <w:tcW w:w="1021" w:type="dxa"/>
            <w:shd w:val="clear" w:color="auto" w:fill="C6EFCE"/>
            <w:vAlign w:val="center"/>
          </w:tcPr>
          <w:p w14:paraId="4FEAF77A" w14:textId="0F983A4C" w:rsidR="00615E2D" w:rsidRDefault="00C83E46">
            <w:pPr>
              <w:pStyle w:val="P68B1DB1-Normal11"/>
              <w:spacing w:before="0" w:after="0" w:line="240" w:lineRule="auto"/>
              <w:jc w:val="center"/>
              <w:rPr>
                <w:noProof/>
              </w:rPr>
            </w:pPr>
            <w:r>
              <w:rPr>
                <w:noProof/>
              </w:rPr>
              <w:t>TROMJESEČJE</w:t>
            </w:r>
          </w:p>
        </w:tc>
        <w:tc>
          <w:tcPr>
            <w:tcW w:w="659" w:type="dxa"/>
            <w:shd w:val="clear" w:color="auto" w:fill="C6EFCE"/>
            <w:vAlign w:val="center"/>
          </w:tcPr>
          <w:p w14:paraId="1BE32E70" w14:textId="5E012BDB" w:rsidR="00615E2D" w:rsidRDefault="00615E2D">
            <w:pPr>
              <w:spacing w:before="0" w:after="0" w:line="240" w:lineRule="auto"/>
              <w:jc w:val="center"/>
              <w:rPr>
                <w:rFonts w:eastAsia="Times New Roman"/>
                <w:noProof/>
                <w:sz w:val="18"/>
              </w:rPr>
            </w:pPr>
          </w:p>
          <w:p w14:paraId="0424D273" w14:textId="362D4D0F" w:rsidR="00615E2D" w:rsidRDefault="00C83E46">
            <w:pPr>
              <w:pStyle w:val="P68B1DB1-Normal11"/>
              <w:spacing w:before="0" w:after="0" w:line="240" w:lineRule="auto"/>
              <w:jc w:val="center"/>
              <w:rPr>
                <w:noProof/>
              </w:rPr>
            </w:pPr>
            <w:r>
              <w:rPr>
                <w:noProof/>
              </w:rPr>
              <w:t>2025</w:t>
            </w:r>
          </w:p>
        </w:tc>
        <w:tc>
          <w:tcPr>
            <w:tcW w:w="4135" w:type="dxa"/>
            <w:shd w:val="clear" w:color="auto" w:fill="C6EFCE"/>
            <w:vAlign w:val="center"/>
          </w:tcPr>
          <w:p w14:paraId="74403550" w14:textId="0361B19F" w:rsidR="00615E2D" w:rsidRDefault="00C83E46">
            <w:pPr>
              <w:pStyle w:val="P68B1DB1-Normal11"/>
              <w:spacing w:before="0" w:after="0" w:line="240" w:lineRule="auto"/>
              <w:rPr>
                <w:noProof/>
              </w:rPr>
            </w:pPr>
            <w:r>
              <w:rPr>
                <w:noProof/>
              </w:rPr>
              <w:t>Na digitalnoj karti prikazuju se informacije o dostupnim mrežnim kapacitetima na svim razinama napona kojima upravljaju ODS-ovi, uključujući nisku razinu napona.</w:t>
            </w:r>
          </w:p>
          <w:p w14:paraId="13AA3210" w14:textId="61B26154" w:rsidR="00615E2D" w:rsidRDefault="00615E2D">
            <w:pPr>
              <w:spacing w:before="0" w:after="0" w:line="240" w:lineRule="auto"/>
              <w:rPr>
                <w:rFonts w:eastAsia="Times New Roman"/>
                <w:noProof/>
                <w:color w:val="006100"/>
                <w:sz w:val="18"/>
              </w:rPr>
            </w:pPr>
          </w:p>
        </w:tc>
      </w:tr>
      <w:tr w:rsidR="00615E2D" w14:paraId="4AC7F8FB" w14:textId="77777777">
        <w:trPr>
          <w:trHeight w:val="309"/>
          <w:jc w:val="center"/>
        </w:trPr>
        <w:tc>
          <w:tcPr>
            <w:tcW w:w="656" w:type="dxa"/>
            <w:shd w:val="clear" w:color="auto" w:fill="C6EFCE"/>
            <w:vAlign w:val="center"/>
          </w:tcPr>
          <w:p w14:paraId="25790909" w14:textId="4DD2BD6A" w:rsidR="00615E2D" w:rsidRDefault="00C83E46">
            <w:pPr>
              <w:pStyle w:val="P68B1DB1-Normal16"/>
              <w:spacing w:line="240" w:lineRule="auto"/>
              <w:jc w:val="center"/>
              <w:rPr>
                <w:noProof/>
              </w:rPr>
            </w:pPr>
            <w:r>
              <w:rPr>
                <w:noProof/>
              </w:rPr>
              <w:t>307</w:t>
            </w:r>
          </w:p>
        </w:tc>
        <w:tc>
          <w:tcPr>
            <w:tcW w:w="1629" w:type="dxa"/>
            <w:shd w:val="clear" w:color="auto" w:fill="C6EFCE"/>
            <w:vAlign w:val="center"/>
          </w:tcPr>
          <w:p w14:paraId="74A7917E" w14:textId="69FEC1D3" w:rsidR="00615E2D" w:rsidRDefault="00C83E46">
            <w:pPr>
              <w:pStyle w:val="P68B1DB1-Normal11"/>
              <w:spacing w:after="160" w:line="240" w:lineRule="auto"/>
              <w:rPr>
                <w:noProof/>
              </w:rPr>
            </w:pPr>
            <w:r>
              <w:rPr>
                <w:noProof/>
              </w:rPr>
              <w:t>Reforma 3 – Podmjera 1.</w:t>
            </w:r>
          </w:p>
          <w:p w14:paraId="2F5C5BC9" w14:textId="7AB6310F" w:rsidR="00615E2D" w:rsidRDefault="00C83E46">
            <w:pPr>
              <w:pStyle w:val="P68B1DB1-Normal11"/>
              <w:spacing w:after="160" w:line="240" w:lineRule="auto"/>
              <w:rPr>
                <w:noProof/>
              </w:rPr>
            </w:pPr>
            <w:r>
              <w:rPr>
                <w:noProof/>
              </w:rPr>
              <w:t xml:space="preserve">Poboljšanje transparentnosti postupka priključenja na mrežu </w:t>
            </w:r>
          </w:p>
        </w:tc>
        <w:tc>
          <w:tcPr>
            <w:tcW w:w="1134" w:type="dxa"/>
            <w:shd w:val="clear" w:color="auto" w:fill="C6EFCE"/>
            <w:vAlign w:val="center"/>
          </w:tcPr>
          <w:p w14:paraId="053A0CBC" w14:textId="1BFAED48" w:rsidR="00615E2D" w:rsidRDefault="00C83E46">
            <w:pPr>
              <w:pStyle w:val="P68B1DB1-Normal11"/>
              <w:spacing w:before="0" w:after="0" w:line="240" w:lineRule="auto"/>
              <w:rPr>
                <w:noProof/>
              </w:rPr>
            </w:pPr>
            <w:r>
              <w:rPr>
                <w:noProof/>
              </w:rPr>
              <w:t>Ciljna</w:t>
            </w:r>
          </w:p>
        </w:tc>
        <w:tc>
          <w:tcPr>
            <w:tcW w:w="1548" w:type="dxa"/>
            <w:shd w:val="clear" w:color="auto" w:fill="C6EFCE"/>
            <w:vAlign w:val="center"/>
          </w:tcPr>
          <w:p w14:paraId="1F072C31" w14:textId="046DA9AB" w:rsidR="00615E2D" w:rsidRDefault="00C83E46">
            <w:pPr>
              <w:pStyle w:val="P68B1DB1-Normal11"/>
              <w:spacing w:after="0" w:line="240" w:lineRule="auto"/>
              <w:rPr>
                <w:noProof/>
              </w:rPr>
            </w:pPr>
            <w:r>
              <w:rPr>
                <w:noProof/>
              </w:rPr>
              <w:t>Odobrenje za priključenje na mrežu za kapacitet postrojenja za proizvodnju energije iz obnovljivih izvora</w:t>
            </w:r>
          </w:p>
        </w:tc>
        <w:tc>
          <w:tcPr>
            <w:tcW w:w="1802" w:type="dxa"/>
            <w:shd w:val="clear" w:color="auto" w:fill="C6EFCE"/>
            <w:vAlign w:val="center"/>
          </w:tcPr>
          <w:p w14:paraId="71370780" w14:textId="7E12B5AC" w:rsidR="00615E2D" w:rsidRDefault="00C83E46">
            <w:pPr>
              <w:pStyle w:val="P68B1DB1-Normal11"/>
              <w:spacing w:line="240" w:lineRule="auto"/>
              <w:jc w:val="both"/>
              <w:rPr>
                <w:noProof/>
              </w:rPr>
            </w:pPr>
            <w:r>
              <w:rPr>
                <w:noProof/>
              </w:rPr>
              <w:t xml:space="preserve">Ukupni povezani kapacitet za proizvodnju energije iz obnovljivih izvora </w:t>
            </w:r>
          </w:p>
        </w:tc>
        <w:tc>
          <w:tcPr>
            <w:tcW w:w="989" w:type="dxa"/>
            <w:shd w:val="clear" w:color="auto" w:fill="C6EFCE"/>
            <w:vAlign w:val="center"/>
          </w:tcPr>
          <w:p w14:paraId="6727A013" w14:textId="2ED07C4D" w:rsidR="00615E2D" w:rsidRDefault="00C83E46">
            <w:pPr>
              <w:pStyle w:val="P68B1DB1-Normal11"/>
              <w:spacing w:before="0" w:after="0" w:line="240" w:lineRule="auto"/>
              <w:rPr>
                <w:noProof/>
              </w:rPr>
            </w:pPr>
            <w:r>
              <w:rPr>
                <w:noProof/>
              </w:rPr>
              <w:t>MW</w:t>
            </w:r>
          </w:p>
        </w:tc>
        <w:tc>
          <w:tcPr>
            <w:tcW w:w="989" w:type="dxa"/>
            <w:shd w:val="clear" w:color="auto" w:fill="C6EFCE"/>
            <w:vAlign w:val="center"/>
          </w:tcPr>
          <w:p w14:paraId="7634EC5D" w14:textId="1A9EF441" w:rsidR="00615E2D" w:rsidRDefault="00C83E46">
            <w:pPr>
              <w:pStyle w:val="P68B1DB1-Normal11"/>
              <w:spacing w:before="0" w:after="0" w:line="240" w:lineRule="auto"/>
              <w:jc w:val="center"/>
              <w:rPr>
                <w:noProof/>
              </w:rPr>
            </w:pPr>
            <w:r>
              <w:rPr>
                <w:noProof/>
              </w:rPr>
              <w:t>0</w:t>
            </w:r>
          </w:p>
        </w:tc>
        <w:tc>
          <w:tcPr>
            <w:tcW w:w="1040" w:type="dxa"/>
            <w:shd w:val="clear" w:color="auto" w:fill="C6EFCE"/>
            <w:vAlign w:val="center"/>
          </w:tcPr>
          <w:p w14:paraId="675CA877" w14:textId="2E333EBC" w:rsidR="00615E2D" w:rsidRDefault="00C83E46">
            <w:pPr>
              <w:pStyle w:val="P68B1DB1-Normal11"/>
              <w:spacing w:before="0" w:after="0" w:line="240" w:lineRule="auto"/>
              <w:jc w:val="center"/>
              <w:rPr>
                <w:noProof/>
              </w:rPr>
            </w:pPr>
            <w:r>
              <w:rPr>
                <w:noProof/>
              </w:rPr>
              <w:t>8000</w:t>
            </w:r>
          </w:p>
        </w:tc>
        <w:tc>
          <w:tcPr>
            <w:tcW w:w="1021" w:type="dxa"/>
            <w:shd w:val="clear" w:color="auto" w:fill="C6EFCE"/>
            <w:vAlign w:val="center"/>
          </w:tcPr>
          <w:p w14:paraId="68B7C0A8" w14:textId="069917DE" w:rsidR="00615E2D" w:rsidRDefault="00C83E46">
            <w:pPr>
              <w:pStyle w:val="P68B1DB1-Normal11"/>
              <w:spacing w:before="0" w:after="0" w:line="240" w:lineRule="auto"/>
              <w:jc w:val="center"/>
              <w:rPr>
                <w:noProof/>
              </w:rPr>
            </w:pPr>
            <w:r>
              <w:rPr>
                <w:noProof/>
              </w:rPr>
              <w:t xml:space="preserve">TROMJESEČJE </w:t>
            </w:r>
          </w:p>
        </w:tc>
        <w:tc>
          <w:tcPr>
            <w:tcW w:w="659" w:type="dxa"/>
            <w:shd w:val="clear" w:color="auto" w:fill="C6EFCE"/>
            <w:vAlign w:val="center"/>
          </w:tcPr>
          <w:p w14:paraId="6C66EEA8" w14:textId="20F75581" w:rsidR="00615E2D" w:rsidRDefault="00C83E46">
            <w:pPr>
              <w:pStyle w:val="P68B1DB1-Normal11"/>
              <w:spacing w:before="0" w:after="0" w:line="240" w:lineRule="auto"/>
              <w:jc w:val="center"/>
              <w:rPr>
                <w:noProof/>
              </w:rPr>
            </w:pPr>
            <w:r>
              <w:rPr>
                <w:noProof/>
              </w:rPr>
              <w:t>2026</w:t>
            </w:r>
          </w:p>
        </w:tc>
        <w:tc>
          <w:tcPr>
            <w:tcW w:w="4135" w:type="dxa"/>
            <w:shd w:val="clear" w:color="auto" w:fill="C6EFCE"/>
            <w:vAlign w:val="center"/>
          </w:tcPr>
          <w:p w14:paraId="43DE8603" w14:textId="05AA5B1B" w:rsidR="00615E2D" w:rsidRDefault="00C83E46">
            <w:pPr>
              <w:pStyle w:val="P68B1DB1-Normal11"/>
              <w:spacing w:before="0" w:after="0" w:line="240" w:lineRule="auto"/>
              <w:rPr>
                <w:noProof/>
              </w:rPr>
            </w:pPr>
            <w:r>
              <w:rPr>
                <w:noProof/>
              </w:rPr>
              <w:t>Postignut je ukupni dodatni kapacitet mreže za priključivanje na obnovljive izvore energije od najmanje 8 000 MW. Ciljna vrijednost obuhvaća sve kategorije solarnih elektrana i vjetroelektrana. Vladina baza podataka prati napredak u ostvarivanju odgovarajućih ciljeva.</w:t>
            </w:r>
          </w:p>
        </w:tc>
      </w:tr>
      <w:tr w:rsidR="00615E2D" w14:paraId="1590BAE0" w14:textId="77777777">
        <w:trPr>
          <w:trHeight w:val="309"/>
          <w:jc w:val="center"/>
        </w:trPr>
        <w:tc>
          <w:tcPr>
            <w:tcW w:w="656" w:type="dxa"/>
            <w:shd w:val="clear" w:color="auto" w:fill="C6EFCE"/>
            <w:vAlign w:val="center"/>
          </w:tcPr>
          <w:p w14:paraId="2C6AD841" w14:textId="7E3AC518" w:rsidR="00615E2D" w:rsidRDefault="00C83E46">
            <w:pPr>
              <w:pStyle w:val="P68B1DB1-Normal16"/>
              <w:spacing w:line="240" w:lineRule="auto"/>
              <w:jc w:val="center"/>
              <w:rPr>
                <w:noProof/>
              </w:rPr>
            </w:pPr>
            <w:r>
              <w:rPr>
                <w:noProof/>
              </w:rPr>
              <w:t>308</w:t>
            </w:r>
          </w:p>
        </w:tc>
        <w:tc>
          <w:tcPr>
            <w:tcW w:w="1629" w:type="dxa"/>
            <w:shd w:val="clear" w:color="auto" w:fill="C6EFCE"/>
            <w:vAlign w:val="center"/>
          </w:tcPr>
          <w:p w14:paraId="19F6F229" w14:textId="566D4C6A" w:rsidR="00615E2D" w:rsidRDefault="00C83E46">
            <w:pPr>
              <w:pStyle w:val="P68B1DB1-Normal11"/>
              <w:spacing w:after="160" w:line="240" w:lineRule="auto"/>
              <w:rPr>
                <w:noProof/>
              </w:rPr>
            </w:pPr>
            <w:r>
              <w:rPr>
                <w:noProof/>
              </w:rPr>
              <w:t>Reforma 3 – Podmjera 2.: Regulatorni poticaji za operatore elektroenergetskih mreža kako bi povećali fleksibilnost mreže</w:t>
            </w:r>
          </w:p>
        </w:tc>
        <w:tc>
          <w:tcPr>
            <w:tcW w:w="1134" w:type="dxa"/>
            <w:shd w:val="clear" w:color="auto" w:fill="C6EFCE"/>
            <w:vAlign w:val="center"/>
          </w:tcPr>
          <w:p w14:paraId="31B4C4E2" w14:textId="6907E3D8" w:rsidR="00615E2D" w:rsidRDefault="00C83E46">
            <w:pPr>
              <w:pStyle w:val="P68B1DB1-Normal11"/>
              <w:spacing w:before="0" w:after="0" w:line="240" w:lineRule="auto"/>
              <w:rPr>
                <w:noProof/>
              </w:rPr>
            </w:pPr>
            <w:r>
              <w:rPr>
                <w:noProof/>
              </w:rPr>
              <w:t>Prekretnica</w:t>
            </w:r>
          </w:p>
        </w:tc>
        <w:tc>
          <w:tcPr>
            <w:tcW w:w="1548" w:type="dxa"/>
            <w:shd w:val="clear" w:color="auto" w:fill="C6EFCE"/>
            <w:vAlign w:val="center"/>
          </w:tcPr>
          <w:p w14:paraId="7EF1D3D9" w14:textId="1373FFE9" w:rsidR="00615E2D" w:rsidRDefault="00C83E46">
            <w:pPr>
              <w:pStyle w:val="P68B1DB1-Normal11"/>
              <w:spacing w:after="0" w:line="240" w:lineRule="auto"/>
              <w:rPr>
                <w:noProof/>
              </w:rPr>
            </w:pPr>
            <w:r>
              <w:rPr>
                <w:noProof/>
              </w:rPr>
              <w:t>Objava novih tarifnih metodologija za operatore prijenosnih sustava i ODS-ove na internetskim stranicama energetskog regulatora</w:t>
            </w:r>
          </w:p>
        </w:tc>
        <w:tc>
          <w:tcPr>
            <w:tcW w:w="1802" w:type="dxa"/>
            <w:shd w:val="clear" w:color="auto" w:fill="C6EFCE"/>
            <w:vAlign w:val="center"/>
          </w:tcPr>
          <w:p w14:paraId="1E5927CE" w14:textId="5C9A81F3" w:rsidR="00615E2D" w:rsidRDefault="00C83E46">
            <w:pPr>
              <w:pStyle w:val="P68B1DB1-Normal11"/>
              <w:spacing w:line="240" w:lineRule="auto"/>
              <w:jc w:val="both"/>
              <w:rPr>
                <w:noProof/>
              </w:rPr>
            </w:pPr>
            <w:r>
              <w:rPr>
                <w:noProof/>
              </w:rPr>
              <w:t xml:space="preserve"> </w:t>
            </w:r>
          </w:p>
        </w:tc>
        <w:tc>
          <w:tcPr>
            <w:tcW w:w="989" w:type="dxa"/>
            <w:shd w:val="clear" w:color="auto" w:fill="C6EFCE"/>
            <w:vAlign w:val="center"/>
          </w:tcPr>
          <w:p w14:paraId="5D58BE5C" w14:textId="2E782C82" w:rsidR="00615E2D" w:rsidRDefault="00C83E46">
            <w:pPr>
              <w:pStyle w:val="P68B1DB1-Normal11"/>
              <w:spacing w:before="0" w:after="0" w:line="240" w:lineRule="auto"/>
              <w:rPr>
                <w:noProof/>
              </w:rPr>
            </w:pPr>
            <w:r>
              <w:rPr>
                <w:noProof/>
              </w:rPr>
              <w:t xml:space="preserve"> </w:t>
            </w:r>
          </w:p>
        </w:tc>
        <w:tc>
          <w:tcPr>
            <w:tcW w:w="989" w:type="dxa"/>
            <w:shd w:val="clear" w:color="auto" w:fill="C6EFCE"/>
            <w:vAlign w:val="center"/>
          </w:tcPr>
          <w:p w14:paraId="308BB5ED" w14:textId="535039E9" w:rsidR="00615E2D" w:rsidRDefault="00C83E46">
            <w:pPr>
              <w:pStyle w:val="P68B1DB1-Normal11"/>
              <w:spacing w:before="0" w:after="0" w:line="240" w:lineRule="auto"/>
              <w:jc w:val="center"/>
              <w:rPr>
                <w:noProof/>
              </w:rPr>
            </w:pPr>
            <w:r>
              <w:rPr>
                <w:noProof/>
              </w:rPr>
              <w:t xml:space="preserve"> </w:t>
            </w:r>
          </w:p>
        </w:tc>
        <w:tc>
          <w:tcPr>
            <w:tcW w:w="1040" w:type="dxa"/>
            <w:shd w:val="clear" w:color="auto" w:fill="C6EFCE"/>
            <w:vAlign w:val="center"/>
          </w:tcPr>
          <w:p w14:paraId="7ACF0B27" w14:textId="47CA92CF" w:rsidR="00615E2D" w:rsidRDefault="00C83E46">
            <w:pPr>
              <w:pStyle w:val="P68B1DB1-Normal11"/>
              <w:spacing w:before="0" w:after="0" w:line="240" w:lineRule="auto"/>
              <w:jc w:val="center"/>
              <w:rPr>
                <w:noProof/>
              </w:rPr>
            </w:pPr>
            <w:r>
              <w:rPr>
                <w:noProof/>
              </w:rPr>
              <w:t xml:space="preserve"> </w:t>
            </w:r>
          </w:p>
        </w:tc>
        <w:tc>
          <w:tcPr>
            <w:tcW w:w="1021" w:type="dxa"/>
            <w:shd w:val="clear" w:color="auto" w:fill="C6EFCE"/>
            <w:vAlign w:val="center"/>
          </w:tcPr>
          <w:p w14:paraId="73EBD100" w14:textId="416EF002" w:rsidR="00615E2D" w:rsidRDefault="00C83E46">
            <w:pPr>
              <w:pStyle w:val="P68B1DB1-Normal11"/>
              <w:spacing w:before="0" w:after="0" w:line="240" w:lineRule="auto"/>
              <w:jc w:val="center"/>
              <w:rPr>
                <w:noProof/>
              </w:rPr>
            </w:pPr>
            <w:r>
              <w:rPr>
                <w:noProof/>
              </w:rPr>
              <w:t>TROMJESEČJE</w:t>
            </w:r>
          </w:p>
        </w:tc>
        <w:tc>
          <w:tcPr>
            <w:tcW w:w="659" w:type="dxa"/>
            <w:shd w:val="clear" w:color="auto" w:fill="C6EFCE"/>
            <w:vAlign w:val="center"/>
          </w:tcPr>
          <w:p w14:paraId="43E7AD0D" w14:textId="14E3A5D8" w:rsidR="00615E2D" w:rsidRDefault="00615E2D">
            <w:pPr>
              <w:spacing w:before="0" w:after="0" w:line="240" w:lineRule="auto"/>
              <w:jc w:val="center"/>
              <w:rPr>
                <w:rFonts w:eastAsia="Times New Roman"/>
                <w:noProof/>
                <w:color w:val="006100"/>
                <w:sz w:val="18"/>
              </w:rPr>
            </w:pPr>
          </w:p>
          <w:p w14:paraId="38BDD454" w14:textId="04978576" w:rsidR="00615E2D" w:rsidRDefault="00C83E46">
            <w:pPr>
              <w:pStyle w:val="P68B1DB1-Normal11"/>
              <w:spacing w:before="0" w:after="0" w:line="240" w:lineRule="auto"/>
              <w:jc w:val="center"/>
              <w:rPr>
                <w:noProof/>
              </w:rPr>
            </w:pPr>
            <w:r>
              <w:rPr>
                <w:noProof/>
              </w:rPr>
              <w:t>2026</w:t>
            </w:r>
          </w:p>
        </w:tc>
        <w:tc>
          <w:tcPr>
            <w:tcW w:w="4135" w:type="dxa"/>
            <w:shd w:val="clear" w:color="auto" w:fill="C6EFCE"/>
            <w:vAlign w:val="center"/>
          </w:tcPr>
          <w:p w14:paraId="38005F8F" w14:textId="78F821C7" w:rsidR="00615E2D" w:rsidRDefault="00C83E46">
            <w:pPr>
              <w:pStyle w:val="P68B1DB1-Normal11"/>
              <w:spacing w:after="160" w:line="240" w:lineRule="auto"/>
              <w:jc w:val="both"/>
              <w:rPr>
                <w:noProof/>
              </w:rPr>
            </w:pPr>
            <w:r>
              <w:rPr>
                <w:noProof/>
              </w:rPr>
              <w:t>Nova tarifna metodologija odražava fiksne i operativne troškove OPS-ova i ODS-ova te uzima u obzir kapitalne i operativne troškove. Njome se operatorima prijenosnih sustava i ODS-ovima pružaju poticaji za ulaganje u energetsku učinkovitost, integraciju energije iz obnovljivih izvora, rješenja za optimizaciju postojeće mreže i olakšavanje upravljanja potrošnjom i skladištenja energije. Njime se osiguravaju poticaji za potporu korištenju usluga fleksibilnosti i poticaji za olakšavanje inovacija u područjima kao što su digitalizacija, usluge fleksibilnosti i međusobna povezanost.</w:t>
            </w:r>
          </w:p>
          <w:p w14:paraId="65876092" w14:textId="01164F2D" w:rsidR="00615E2D" w:rsidRDefault="00C83E46">
            <w:pPr>
              <w:pStyle w:val="P68B1DB1-Normal11"/>
              <w:spacing w:after="160" w:line="240" w:lineRule="auto"/>
              <w:jc w:val="both"/>
              <w:rPr>
                <w:noProof/>
              </w:rPr>
            </w:pPr>
            <w:r>
              <w:rPr>
                <w:noProof/>
              </w:rPr>
              <w:t>Operatori prijenosnih sustava i ODS-ovi potiču se tarifnom metodologijom prema većem povratu pri ulaganju u učinkovitost mreže, povećanje fleksibilnosti ili priključivanje energije iz obnovljivih izvora.</w:t>
            </w:r>
          </w:p>
        </w:tc>
      </w:tr>
    </w:tbl>
    <w:p w14:paraId="52809B31" w14:textId="77777777" w:rsidR="00615E2D" w:rsidRDefault="00615E2D">
      <w:pPr>
        <w:spacing w:after="0" w:line="259" w:lineRule="auto"/>
        <w:jc w:val="both"/>
        <w:rPr>
          <w:rFonts w:eastAsia="Times New Roman"/>
          <w:b/>
          <w:noProof/>
          <w:color w:val="000000" w:themeColor="text1"/>
          <w:u w:val="single"/>
        </w:rPr>
      </w:pPr>
    </w:p>
    <w:p w14:paraId="69A1D242" w14:textId="3BCE66EA" w:rsidR="00615E2D" w:rsidRDefault="00615E2D">
      <w:pPr>
        <w:spacing w:line="257" w:lineRule="auto"/>
        <w:jc w:val="center"/>
        <w:rPr>
          <w:rFonts w:eastAsia="Times New Roman"/>
          <w:b/>
          <w:noProof/>
          <w:color w:val="000000" w:themeColor="text1"/>
          <w:sz w:val="18"/>
        </w:rPr>
        <w:sectPr w:rsidR="00615E2D" w:rsidSect="00997F50">
          <w:headerReference w:type="even" r:id="rId444"/>
          <w:headerReference w:type="default" r:id="rId445"/>
          <w:footerReference w:type="even" r:id="rId446"/>
          <w:footerReference w:type="default" r:id="rId447"/>
          <w:headerReference w:type="first" r:id="rId448"/>
          <w:footerReference w:type="first" r:id="rId449"/>
          <w:pgSz w:w="16839" w:h="11907" w:orient="landscape"/>
          <w:pgMar w:top="1134" w:right="1134" w:bottom="1134" w:left="1134" w:header="567" w:footer="567" w:gutter="0"/>
          <w:cols w:space="720"/>
          <w:docGrid w:linePitch="360"/>
        </w:sectPr>
      </w:pPr>
    </w:p>
    <w:p w14:paraId="58BFE4FC" w14:textId="772A6E55" w:rsidR="00615E2D" w:rsidRDefault="00C83E46">
      <w:pPr>
        <w:pStyle w:val="P68B1DB1-Normal2"/>
        <w:keepNext/>
        <w:tabs>
          <w:tab w:val="left" w:pos="850"/>
        </w:tabs>
        <w:spacing w:line="240" w:lineRule="auto"/>
        <w:jc w:val="both"/>
        <w:outlineLvl w:val="0"/>
        <w:rPr>
          <w:noProof/>
        </w:rPr>
      </w:pPr>
      <w:r>
        <w:rPr>
          <w:noProof/>
        </w:rPr>
        <w:t>I DALJE Sastavnica 7.2 Potpora decentralizaciji i digitalizaciji energetskog sektora (REPOWER EU)</w:t>
      </w:r>
    </w:p>
    <w:p w14:paraId="0D434C08" w14:textId="44E2479E"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 xml:space="preserve">Cilj je komponente poduprijeti prelazak na novi energetski sustav koji se temelji na decentraliziranoj proizvodnji energije iz obnovljivih izvora, digitalizaciji i većem sudjelovanju građana. Komponenta pridonosi olakšavanju uvođenja novih aktivnosti u sektoru električne energije kao što su skladištenje, agregacija, dijeljenje energije i nove upotrebe kojima se podupire fleksibilnost i dekarbonizacija cijelog elektroenergetskog sustava. </w:t>
      </w:r>
    </w:p>
    <w:p w14:paraId="5A09068C" w14:textId="45ED7AC5" w:rsidR="00615E2D" w:rsidRDefault="00C83E46">
      <w:pPr>
        <w:pStyle w:val="P68B1DB1-Normal3"/>
        <w:tabs>
          <w:tab w:val="left" w:pos="993"/>
        </w:tabs>
        <w:spacing w:line="240" w:lineRule="auto"/>
        <w:jc w:val="both"/>
        <w:rPr>
          <w:noProof/>
          <w:color w:val="000000" w:themeColor="text1"/>
        </w:rPr>
      </w:pPr>
      <w:r>
        <w:rPr>
          <w:noProof/>
        </w:rPr>
        <w:t>Komponentom se podupire odgovor na preporuku za pojedinu zemlju da se</w:t>
      </w:r>
      <w:r>
        <w:rPr>
          <w:noProof/>
          <w:color w:val="000000" w:themeColor="text1"/>
        </w:rPr>
        <w:t xml:space="preserve"> smanji ukupna ovisnost o fosilnim gorivima i njihova potrošnja ubrzavanjem uvođenja obnovljivih izvora energije i olakšavanjem njihove integracije u elektroenergetski sustav (preporuka za pojedinu zemlju br. 4, 2022.).</w:t>
      </w:r>
    </w:p>
    <w:p w14:paraId="675D1AF2" w14:textId="77777777" w:rsidR="00615E2D" w:rsidRDefault="00615E2D">
      <w:pPr>
        <w:tabs>
          <w:tab w:val="left" w:pos="993"/>
        </w:tabs>
        <w:spacing w:line="240" w:lineRule="auto"/>
        <w:jc w:val="both"/>
        <w:rPr>
          <w:rFonts w:eastAsia="Times New Roman"/>
          <w:noProof/>
          <w:color w:val="000000" w:themeColor="text1"/>
        </w:rPr>
      </w:pPr>
    </w:p>
    <w:p w14:paraId="72EBD46D" w14:textId="650A174F" w:rsidR="00615E2D" w:rsidRDefault="00C83E46">
      <w:pPr>
        <w:pStyle w:val="P68B1DB1-Normal8"/>
        <w:tabs>
          <w:tab w:val="left" w:pos="993"/>
        </w:tabs>
        <w:spacing w:line="240" w:lineRule="auto"/>
        <w:jc w:val="both"/>
        <w:rPr>
          <w:rFonts w:eastAsia="Times New Roman"/>
          <w:noProof/>
          <w:color w:val="000000" w:themeColor="text1"/>
        </w:rPr>
      </w:pPr>
      <w:r>
        <w:rPr>
          <w:noProof/>
        </w:rPr>
        <w:t>FF.1. Opis reformi i ulaganja za programe bespovratne financijske potpore</w:t>
      </w:r>
    </w:p>
    <w:p w14:paraId="208FB53D" w14:textId="7E394A42" w:rsidR="00615E2D" w:rsidRDefault="00C83E46">
      <w:pPr>
        <w:pStyle w:val="P68B1DB1-Normal18"/>
        <w:pBdr>
          <w:top w:val="nil"/>
          <w:left w:val="nil"/>
          <w:bottom w:val="nil"/>
          <w:right w:val="nil"/>
          <w:between w:val="nil"/>
        </w:pBdr>
        <w:tabs>
          <w:tab w:val="left" w:pos="993"/>
        </w:tabs>
        <w:spacing w:line="240" w:lineRule="auto"/>
        <w:jc w:val="both"/>
        <w:rPr>
          <w:noProof/>
        </w:rPr>
      </w:pPr>
      <w:r>
        <w:rPr>
          <w:noProof/>
        </w:rPr>
        <w:t>Ulaganje 1: Centar za podatke o električnoj energiji</w:t>
      </w:r>
    </w:p>
    <w:p w14:paraId="4428B7A8" w14:textId="705D971A" w:rsidR="00615E2D" w:rsidRDefault="00C83E46">
      <w:pPr>
        <w:pStyle w:val="P68B1DB1-Normal4"/>
        <w:spacing w:after="0" w:line="240" w:lineRule="auto"/>
        <w:jc w:val="both"/>
        <w:rPr>
          <w:noProof/>
          <w:color w:val="000000" w:themeColor="text1"/>
        </w:rPr>
      </w:pPr>
      <w:r>
        <w:rPr>
          <w:noProof/>
        </w:rPr>
        <w:t>Cilj je mjere uspostaviti podatkovni centar za električnu energiju (EDC). EDC upravlja digitalnom IT platformom koja prikuplja podatke o proizvodnji, potrošnji i fleksibilnosti na jednoj središnjoj lokaciji i pruža tehničke usluge za povećanje sigurnosti i pouzdanosti rada elektroenergetskog sustava Češke u korist svih sudionika na tržištu (uključujući krajnje kupce). Stvaranjem EDC-a nastoji se poduprijeti stvaranje novog tržišta i aktivnosti te omogućiti dijeljenje energije.</w:t>
      </w:r>
    </w:p>
    <w:p w14:paraId="691A8158" w14:textId="517AB99B" w:rsidR="00615E2D" w:rsidRDefault="00C83E46">
      <w:pPr>
        <w:pStyle w:val="P68B1DB1-Normal4"/>
        <w:spacing w:after="0" w:line="240" w:lineRule="auto"/>
        <w:jc w:val="both"/>
        <w:rPr>
          <w:noProof/>
          <w:color w:val="000000" w:themeColor="text1"/>
        </w:rPr>
      </w:pPr>
      <w:r>
        <w:rPr>
          <w:noProof/>
        </w:rPr>
        <w:t>EDC osigurava koordinaciju, dijeljenje i razmjenu izmjerenih podataka te usklađivanje i obradu podataka povezanih s pružanjem fleksibilnosti, agregiranjem fleksibilnosti i skladištenjem električne energije. Također pruža usluge u sljedećim područjima: prikupljanje i pružanje podataka o mjerenju, procjena podataka u svrhu skladištenja energije, dijeljenja energije, agregacije fleksibilnosti, uravnoteženja, planiranja mreže, registracije tržišta, prijenosa podataka o mjerenju, mrežnih sustava lakog prometa i registracije glavnih podataka. Pristup tehničkim funkcionalnostima informacijskog sustava EDC-a nediskriminirajući je i otvoren je svim sudionicima na tržištu. Kupci, operator distribucijskog sustava, opskrbljivači električnom energijom i operatori tržišta električne energije mogu pristupiti podacima na koje imaju pravo u skladu s relevantnim primjenjivim zakonodavstvom.</w:t>
      </w:r>
    </w:p>
    <w:p w14:paraId="38E0FA97" w14:textId="07A10AAE" w:rsidR="00615E2D" w:rsidRDefault="00C83E46">
      <w:pPr>
        <w:pStyle w:val="P68B1DB1-Normal3"/>
        <w:spacing w:line="240" w:lineRule="auto"/>
        <w:jc w:val="both"/>
        <w:rPr>
          <w:noProof/>
        </w:rPr>
      </w:pPr>
      <w:r>
        <w:rPr>
          <w:noProof/>
        </w:rPr>
        <w:t>Ulaganje mora biti dovršeno do 31. ožujka 2026.</w:t>
      </w:r>
    </w:p>
    <w:p w14:paraId="4E9D1B7A" w14:textId="24B145AB" w:rsidR="00615E2D" w:rsidRDefault="00C83E46">
      <w:pPr>
        <w:pStyle w:val="P68B1DB1-Normal18"/>
        <w:tabs>
          <w:tab w:val="left" w:pos="993"/>
        </w:tabs>
        <w:spacing w:line="240" w:lineRule="auto"/>
        <w:jc w:val="both"/>
        <w:rPr>
          <w:noProof/>
        </w:rPr>
      </w:pPr>
      <w:r>
        <w:rPr>
          <w:noProof/>
        </w:rPr>
        <w:t>Reforma 1.: Energetske zajednice.</w:t>
      </w:r>
    </w:p>
    <w:p w14:paraId="26F57CE1" w14:textId="6FECEF34" w:rsidR="00615E2D" w:rsidRDefault="00C83E46">
      <w:pPr>
        <w:pStyle w:val="P68B1DB1-Normal3"/>
        <w:spacing w:after="160" w:line="240" w:lineRule="auto"/>
        <w:jc w:val="both"/>
        <w:rPr>
          <w:noProof/>
        </w:rPr>
      </w:pPr>
      <w:r>
        <w:rPr>
          <w:noProof/>
        </w:rPr>
        <w:t xml:space="preserve">Cilj je reforme uspostaviti regulatorni okvir u cilju poticanja i olakšavanja razvoja građana i zajednica obnovljive energije. </w:t>
      </w:r>
    </w:p>
    <w:p w14:paraId="1B99870F" w14:textId="5840FB1E" w:rsidR="00615E2D" w:rsidRDefault="00C83E46">
      <w:pPr>
        <w:pStyle w:val="P68B1DB1-Normal3"/>
        <w:spacing w:after="160" w:line="240" w:lineRule="auto"/>
        <w:jc w:val="both"/>
        <w:rPr>
          <w:noProof/>
        </w:rPr>
      </w:pPr>
      <w:r>
        <w:rPr>
          <w:noProof/>
        </w:rPr>
        <w:t xml:space="preserve">Reformom se nastoje uvesti poticaji za razvoj energetskih zajednica i potaknuti njihovo sudjelovanje u aktivnostima kao što su zajednička proizvodnja i potrošnja u okviru energetske zajednice. </w:t>
      </w:r>
    </w:p>
    <w:p w14:paraId="01E6AF43" w14:textId="6C2F3E35" w:rsidR="00615E2D" w:rsidRDefault="00C83E46">
      <w:pPr>
        <w:pStyle w:val="P68B1DB1-Normal3"/>
        <w:spacing w:after="160" w:line="240" w:lineRule="auto"/>
        <w:jc w:val="both"/>
        <w:rPr>
          <w:noProof/>
        </w:rPr>
      </w:pPr>
      <w:r>
        <w:rPr>
          <w:noProof/>
        </w:rPr>
        <w:t>Izmijenjenim pravilima provodi se načelo otvorenog sudjelovanja, ne smije se neopravdano ograničavati kolektivna vlastita potrošnja i proizvodnja ili uvoditi bilo kakva ograničenja na temelju veličine ili zemljopisnog položaja. Energetskim zajednicama trebalo bi dopustiti da djeluju i u području grijanja iz obnovljivih izvora, ne samo na tržištu električne energije.</w:t>
      </w:r>
    </w:p>
    <w:p w14:paraId="15BFC26F" w14:textId="6B725B5B" w:rsidR="00615E2D" w:rsidRDefault="00C83E46">
      <w:pPr>
        <w:pStyle w:val="P68B1DB1-Normal3"/>
        <w:spacing w:after="160" w:line="240" w:lineRule="auto"/>
        <w:jc w:val="both"/>
        <w:rPr>
          <w:noProof/>
        </w:rPr>
      </w:pPr>
      <w:r>
        <w:rPr>
          <w:noProof/>
        </w:rPr>
        <w:t>Reforma mora biti dovršena do 31. prosinca 2026.</w:t>
      </w:r>
    </w:p>
    <w:p w14:paraId="7525359D" w14:textId="3D18349E" w:rsidR="00615E2D" w:rsidRDefault="00C83E46">
      <w:pPr>
        <w:pStyle w:val="P68B1DB1-Normal18"/>
        <w:pBdr>
          <w:top w:val="nil"/>
          <w:left w:val="nil"/>
          <w:bottom w:val="nil"/>
          <w:right w:val="nil"/>
          <w:between w:val="nil"/>
        </w:pBdr>
        <w:tabs>
          <w:tab w:val="left" w:pos="993"/>
        </w:tabs>
        <w:spacing w:line="240" w:lineRule="auto"/>
        <w:jc w:val="both"/>
        <w:rPr>
          <w:noProof/>
        </w:rPr>
      </w:pPr>
      <w:r>
        <w:rPr>
          <w:noProof/>
        </w:rPr>
        <w:t>Reforma br. 2: Okvir za skladištenje energije i nefosilnu fleksibilnost</w:t>
      </w:r>
    </w:p>
    <w:p w14:paraId="2F86D0EE" w14:textId="77777777" w:rsidR="00615E2D" w:rsidRDefault="00C83E46">
      <w:pPr>
        <w:pStyle w:val="P68B1DB1-Normal3"/>
        <w:spacing w:line="240" w:lineRule="auto"/>
        <w:jc w:val="both"/>
        <w:rPr>
          <w:noProof/>
        </w:rPr>
      </w:pPr>
      <w:r>
        <w:rPr>
          <w:noProof/>
        </w:rPr>
        <w:t xml:space="preserve">Cilj je te mjere uspostaviti razumljiv regulatorni okvir za usluge fleksibilnosti kao što su skladištenje energije, upravljanje potrošnjom i agregacija. Cilj je promicati razvoj inovativnih tehničkih, tehnoloških i softverskih rješenja za optimizaciju tokova energije kako bi se osigurala integracija obnovljivih izvora energije u mrežu i omogućila prilagodba elektroenergetskog sustava promjenjivosti proizvodnje i potrošnje električne energije u različitim vremenskim okvirima.  </w:t>
      </w:r>
    </w:p>
    <w:p w14:paraId="620A0EE7" w14:textId="3729B345" w:rsidR="00615E2D" w:rsidRDefault="00C83E46">
      <w:pPr>
        <w:pStyle w:val="P68B1DB1-Normal3"/>
        <w:spacing w:after="160" w:line="240" w:lineRule="auto"/>
        <w:jc w:val="both"/>
        <w:rPr>
          <w:noProof/>
        </w:rPr>
      </w:pPr>
      <w:r>
        <w:rPr>
          <w:noProof/>
        </w:rPr>
        <w:t xml:space="preserve">Nadalje, reformom se nastoji osigurati sudjelovanje energetskih zajednica, agregatora, potrošača vlastite energije, aktivnih kupaca, sredstava za skladištenje energije, sudionika u upravljanju industrijskom potrošnjom na tržištu električne energije, uz istodobno povećanje ukupne fleksibilnosti elektroenergetskog sustava i smanjenje upotrebe fosilnih goriva. </w:t>
      </w:r>
    </w:p>
    <w:p w14:paraId="36EAA8F5" w14:textId="537FADEF" w:rsidR="00615E2D" w:rsidRDefault="00C83E46">
      <w:pPr>
        <w:pStyle w:val="P68B1DB1-Normal3"/>
        <w:spacing w:after="160" w:line="240" w:lineRule="auto"/>
        <w:jc w:val="both"/>
        <w:rPr>
          <w:noProof/>
        </w:rPr>
      </w:pPr>
      <w:r>
        <w:rPr>
          <w:noProof/>
        </w:rPr>
        <w:t xml:space="preserve">Reformom se osigurava da je tržište nefosilnih rješenja za fleksibilnost otvoreno svim sudionicima iz drugih država članica te se uklanjaju sve prepreke takvom sudjelovanju. Reformom bi se trebao razviti povoljan regulatorni režim za integraciju nefosilne fleksibilnosti u tržišta energije, kapaciteta i pomoćnih usluga. Reformom se uvode poticaji za razvoj energetskih zajednica i potiče agregiranje potražnje, skladištenje električne energije i osiguravanje fleksibilnosti unutar okvira energetske zajednice. </w:t>
      </w:r>
    </w:p>
    <w:p w14:paraId="0C182832" w14:textId="150B9BD1" w:rsidR="00615E2D" w:rsidRDefault="00C83E46">
      <w:pPr>
        <w:pStyle w:val="P68B1DB1-Normal3"/>
        <w:spacing w:line="240" w:lineRule="auto"/>
        <w:jc w:val="both"/>
        <w:rPr>
          <w:noProof/>
        </w:rPr>
      </w:pPr>
      <w:r>
        <w:rPr>
          <w:noProof/>
        </w:rPr>
        <w:t>Zakonodavstvom se olakšavaju tržišno utemeljena ulaganja u komercijalno skladištenje energije i cilj mu je popratiti dodatnim programima financijske potpore za povećanje postrojenja za skladištenje energije.</w:t>
      </w:r>
    </w:p>
    <w:p w14:paraId="39F8996B" w14:textId="4214C6AF" w:rsidR="00615E2D" w:rsidRDefault="00C83E46">
      <w:pPr>
        <w:pStyle w:val="P68B1DB1-Normal3"/>
        <w:spacing w:line="240" w:lineRule="auto"/>
        <w:jc w:val="both"/>
        <w:rPr>
          <w:noProof/>
        </w:rPr>
      </w:pPr>
      <w:r>
        <w:rPr>
          <w:noProof/>
        </w:rPr>
        <w:t>Reforma se provodi do 30. rujna 2025.</w:t>
      </w:r>
    </w:p>
    <w:p w14:paraId="2262D760" w14:textId="77777777" w:rsidR="00615E2D" w:rsidRDefault="00615E2D">
      <w:pPr>
        <w:spacing w:after="0" w:line="259" w:lineRule="auto"/>
        <w:jc w:val="both"/>
        <w:rPr>
          <w:rFonts w:eastAsia="Times New Roman"/>
          <w:b/>
          <w:noProof/>
          <w:sz w:val="22"/>
          <w:highlight w:val="yellow"/>
        </w:rPr>
        <w:sectPr w:rsidR="00615E2D" w:rsidSect="00997F50">
          <w:headerReference w:type="even" r:id="rId450"/>
          <w:headerReference w:type="default" r:id="rId451"/>
          <w:footerReference w:type="even" r:id="rId452"/>
          <w:footerReference w:type="default" r:id="rId453"/>
          <w:headerReference w:type="first" r:id="rId454"/>
          <w:footerReference w:type="first" r:id="rId455"/>
          <w:pgSz w:w="11907" w:h="16839"/>
          <w:pgMar w:top="1134" w:right="1134" w:bottom="1134" w:left="1134" w:header="567" w:footer="567" w:gutter="0"/>
          <w:cols w:space="720"/>
          <w:docGrid w:linePitch="360"/>
        </w:sectPr>
      </w:pPr>
    </w:p>
    <w:p w14:paraId="1307D5EF" w14:textId="032CAF75" w:rsidR="00615E2D" w:rsidRDefault="00C83E46">
      <w:pPr>
        <w:pStyle w:val="P68B1DB1-Normal33"/>
        <w:spacing w:line="259" w:lineRule="auto"/>
        <w:jc w:val="both"/>
        <w:rPr>
          <w:noProof/>
        </w:rPr>
      </w:pPr>
      <w:r>
        <w:rPr>
          <w:noProof/>
        </w:rPr>
        <w:t>FF.2. Ključne etape, ciljne vrijednosti i vremenski raspored za praćenje i provedbu programa bespovratne financijske potpore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7"/>
        <w:gridCol w:w="1565"/>
        <w:gridCol w:w="1095"/>
        <w:gridCol w:w="1489"/>
        <w:gridCol w:w="1731"/>
        <w:gridCol w:w="955"/>
        <w:gridCol w:w="955"/>
        <w:gridCol w:w="955"/>
        <w:gridCol w:w="1040"/>
        <w:gridCol w:w="640"/>
        <w:gridCol w:w="3959"/>
      </w:tblGrid>
      <w:tr w:rsidR="00615E2D" w14:paraId="632723C4" w14:textId="77777777">
        <w:trPr>
          <w:trHeight w:val="672"/>
          <w:tblHeader/>
          <w:jc w:val="center"/>
        </w:trPr>
        <w:tc>
          <w:tcPr>
            <w:tcW w:w="654" w:type="dxa"/>
            <w:vMerge w:val="restart"/>
            <w:shd w:val="clear" w:color="auto" w:fill="BDD7EE"/>
            <w:vAlign w:val="center"/>
            <w:hideMark/>
          </w:tcPr>
          <w:p w14:paraId="1CF7337E" w14:textId="77777777" w:rsidR="00615E2D" w:rsidRDefault="00C83E46">
            <w:pPr>
              <w:pStyle w:val="P68B1DB1-Normal9"/>
              <w:spacing w:before="0" w:after="0" w:line="240" w:lineRule="auto"/>
              <w:jc w:val="center"/>
              <w:rPr>
                <w:noProof/>
              </w:rPr>
            </w:pPr>
            <w:r>
              <w:rPr>
                <w:noProof/>
              </w:rPr>
              <w:t>Sljedeće NUM.</w:t>
            </w:r>
          </w:p>
        </w:tc>
        <w:tc>
          <w:tcPr>
            <w:tcW w:w="1625" w:type="dxa"/>
            <w:vMerge w:val="restart"/>
            <w:shd w:val="clear" w:color="auto" w:fill="BDD7EE"/>
            <w:vAlign w:val="center"/>
            <w:hideMark/>
          </w:tcPr>
          <w:p w14:paraId="527F228B"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725D0A0E" w14:textId="77777777" w:rsidR="00615E2D" w:rsidRDefault="00C83E46">
            <w:pPr>
              <w:pStyle w:val="P68B1DB1-Normal9"/>
              <w:spacing w:before="0" w:after="0" w:line="240" w:lineRule="auto"/>
              <w:jc w:val="center"/>
              <w:rPr>
                <w:noProof/>
              </w:rPr>
            </w:pPr>
            <w:r>
              <w:rPr>
                <w:noProof/>
              </w:rPr>
              <w:t>Ključna etapa/ciljna vrijednost</w:t>
            </w:r>
          </w:p>
        </w:tc>
        <w:tc>
          <w:tcPr>
            <w:tcW w:w="1546" w:type="dxa"/>
            <w:vMerge w:val="restart"/>
            <w:shd w:val="clear" w:color="auto" w:fill="BDD7EE"/>
            <w:vAlign w:val="center"/>
            <w:hideMark/>
          </w:tcPr>
          <w:p w14:paraId="7657B9F0" w14:textId="77777777" w:rsidR="00615E2D" w:rsidRDefault="00C83E46">
            <w:pPr>
              <w:pStyle w:val="P68B1DB1-Normal9"/>
              <w:spacing w:before="0" w:after="0" w:line="240" w:lineRule="auto"/>
              <w:jc w:val="center"/>
              <w:rPr>
                <w:noProof/>
              </w:rPr>
            </w:pPr>
            <w:r>
              <w:rPr>
                <w:noProof/>
              </w:rPr>
              <w:t>Ime</w:t>
            </w:r>
          </w:p>
        </w:tc>
        <w:tc>
          <w:tcPr>
            <w:tcW w:w="1799" w:type="dxa"/>
            <w:vMerge w:val="restart"/>
            <w:shd w:val="clear" w:color="auto" w:fill="BDD7EE"/>
            <w:vAlign w:val="center"/>
            <w:hideMark/>
          </w:tcPr>
          <w:p w14:paraId="1E8519F6"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2964" w:type="dxa"/>
            <w:gridSpan w:val="3"/>
            <w:shd w:val="clear" w:color="auto" w:fill="BDD7EE"/>
            <w:vAlign w:val="center"/>
            <w:hideMark/>
          </w:tcPr>
          <w:p w14:paraId="7341A9E3"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317" w:type="dxa"/>
            <w:gridSpan w:val="2"/>
            <w:shd w:val="clear" w:color="auto" w:fill="BDD7EE"/>
            <w:vAlign w:val="center"/>
            <w:hideMark/>
          </w:tcPr>
          <w:p w14:paraId="391F5A28"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128" w:type="dxa"/>
            <w:vMerge w:val="restart"/>
            <w:shd w:val="clear" w:color="auto" w:fill="BDD7EE"/>
            <w:vAlign w:val="center"/>
            <w:hideMark/>
          </w:tcPr>
          <w:p w14:paraId="02D29191"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55D1377B" w14:textId="77777777">
        <w:trPr>
          <w:trHeight w:val="458"/>
          <w:tblHeader/>
          <w:jc w:val="center"/>
        </w:trPr>
        <w:tc>
          <w:tcPr>
            <w:tcW w:w="654" w:type="dxa"/>
            <w:vMerge/>
            <w:vAlign w:val="center"/>
            <w:hideMark/>
          </w:tcPr>
          <w:p w14:paraId="6F9409F8" w14:textId="77777777" w:rsidR="00615E2D" w:rsidRDefault="00615E2D">
            <w:pPr>
              <w:spacing w:before="0" w:after="0" w:line="240" w:lineRule="auto"/>
              <w:rPr>
                <w:rFonts w:eastAsia="Times New Roman"/>
                <w:b/>
                <w:noProof/>
                <w:sz w:val="18"/>
              </w:rPr>
            </w:pPr>
          </w:p>
        </w:tc>
        <w:tc>
          <w:tcPr>
            <w:tcW w:w="1625" w:type="dxa"/>
            <w:vMerge/>
            <w:vAlign w:val="center"/>
            <w:hideMark/>
          </w:tcPr>
          <w:p w14:paraId="1D4F51ED" w14:textId="77777777" w:rsidR="00615E2D" w:rsidRDefault="00615E2D">
            <w:pPr>
              <w:spacing w:before="0" w:after="0" w:line="240" w:lineRule="auto"/>
              <w:rPr>
                <w:rFonts w:eastAsia="Times New Roman"/>
                <w:b/>
                <w:noProof/>
                <w:sz w:val="18"/>
              </w:rPr>
            </w:pPr>
          </w:p>
        </w:tc>
        <w:tc>
          <w:tcPr>
            <w:tcW w:w="1134" w:type="dxa"/>
            <w:vMerge/>
            <w:vAlign w:val="center"/>
            <w:hideMark/>
          </w:tcPr>
          <w:p w14:paraId="0706BB0E" w14:textId="77777777" w:rsidR="00615E2D" w:rsidRDefault="00615E2D">
            <w:pPr>
              <w:spacing w:before="0" w:after="0" w:line="240" w:lineRule="auto"/>
              <w:rPr>
                <w:rFonts w:eastAsia="Times New Roman"/>
                <w:b/>
                <w:noProof/>
                <w:sz w:val="18"/>
              </w:rPr>
            </w:pPr>
          </w:p>
        </w:tc>
        <w:tc>
          <w:tcPr>
            <w:tcW w:w="1546" w:type="dxa"/>
            <w:vMerge/>
            <w:vAlign w:val="center"/>
            <w:hideMark/>
          </w:tcPr>
          <w:p w14:paraId="2842C647" w14:textId="77777777" w:rsidR="00615E2D" w:rsidRDefault="00615E2D">
            <w:pPr>
              <w:spacing w:before="0" w:after="0" w:line="240" w:lineRule="auto"/>
              <w:rPr>
                <w:rFonts w:eastAsia="Times New Roman"/>
                <w:b/>
                <w:noProof/>
                <w:sz w:val="18"/>
              </w:rPr>
            </w:pPr>
          </w:p>
        </w:tc>
        <w:tc>
          <w:tcPr>
            <w:tcW w:w="1799" w:type="dxa"/>
            <w:vMerge/>
            <w:vAlign w:val="center"/>
            <w:hideMark/>
          </w:tcPr>
          <w:p w14:paraId="24BD627E" w14:textId="77777777" w:rsidR="00615E2D" w:rsidRDefault="00615E2D">
            <w:pPr>
              <w:spacing w:before="0" w:after="0" w:line="240" w:lineRule="auto"/>
              <w:rPr>
                <w:rFonts w:eastAsia="Times New Roman"/>
                <w:b/>
                <w:noProof/>
                <w:sz w:val="18"/>
              </w:rPr>
            </w:pPr>
          </w:p>
        </w:tc>
        <w:tc>
          <w:tcPr>
            <w:tcW w:w="988" w:type="dxa"/>
            <w:shd w:val="clear" w:color="auto" w:fill="BDD7EE"/>
            <w:vAlign w:val="center"/>
            <w:hideMark/>
          </w:tcPr>
          <w:p w14:paraId="1078474E" w14:textId="77777777" w:rsidR="00615E2D" w:rsidRDefault="00C83E46">
            <w:pPr>
              <w:pStyle w:val="P68B1DB1-Normal9"/>
              <w:spacing w:before="0" w:after="0" w:line="240" w:lineRule="auto"/>
              <w:jc w:val="center"/>
              <w:rPr>
                <w:noProof/>
              </w:rPr>
            </w:pPr>
            <w:r>
              <w:rPr>
                <w:noProof/>
              </w:rPr>
              <w:t>Jedinica mjere</w:t>
            </w:r>
          </w:p>
        </w:tc>
        <w:tc>
          <w:tcPr>
            <w:tcW w:w="988" w:type="dxa"/>
            <w:shd w:val="clear" w:color="auto" w:fill="BDD7EE"/>
            <w:vAlign w:val="center"/>
            <w:hideMark/>
          </w:tcPr>
          <w:p w14:paraId="71543268" w14:textId="77777777" w:rsidR="00615E2D" w:rsidRDefault="00C83E46">
            <w:pPr>
              <w:pStyle w:val="P68B1DB1-Normal9"/>
              <w:spacing w:before="0" w:after="0" w:line="240" w:lineRule="auto"/>
              <w:jc w:val="center"/>
              <w:rPr>
                <w:noProof/>
              </w:rPr>
            </w:pPr>
            <w:r>
              <w:rPr>
                <w:noProof/>
              </w:rPr>
              <w:t xml:space="preserve">Osnovna vrijednost </w:t>
            </w:r>
          </w:p>
        </w:tc>
        <w:tc>
          <w:tcPr>
            <w:tcW w:w="988" w:type="dxa"/>
            <w:shd w:val="clear" w:color="auto" w:fill="BDD7EE"/>
            <w:vAlign w:val="center"/>
            <w:hideMark/>
          </w:tcPr>
          <w:p w14:paraId="461EAD07" w14:textId="77777777" w:rsidR="00615E2D" w:rsidRDefault="00C83E46">
            <w:pPr>
              <w:pStyle w:val="P68B1DB1-Normal9"/>
              <w:spacing w:before="0" w:after="0" w:line="240" w:lineRule="auto"/>
              <w:jc w:val="center"/>
              <w:rPr>
                <w:noProof/>
              </w:rPr>
            </w:pPr>
            <w:r>
              <w:rPr>
                <w:noProof/>
              </w:rPr>
              <w:t xml:space="preserve">Cilj </w:t>
            </w:r>
          </w:p>
        </w:tc>
        <w:tc>
          <w:tcPr>
            <w:tcW w:w="1077" w:type="dxa"/>
            <w:shd w:val="clear" w:color="auto" w:fill="BDD7EE"/>
            <w:vAlign w:val="center"/>
            <w:hideMark/>
          </w:tcPr>
          <w:p w14:paraId="21E0B917" w14:textId="77777777" w:rsidR="00615E2D" w:rsidRDefault="00C83E46">
            <w:pPr>
              <w:pStyle w:val="P68B1DB1-Normal9"/>
              <w:spacing w:before="0" w:after="0" w:line="240" w:lineRule="auto"/>
              <w:jc w:val="center"/>
              <w:rPr>
                <w:noProof/>
              </w:rPr>
            </w:pPr>
            <w:r>
              <w:rPr>
                <w:noProof/>
              </w:rPr>
              <w:t>Tromjesečje</w:t>
            </w:r>
          </w:p>
        </w:tc>
        <w:tc>
          <w:tcPr>
            <w:tcW w:w="658" w:type="dxa"/>
            <w:shd w:val="clear" w:color="auto" w:fill="BDD7EE"/>
            <w:vAlign w:val="center"/>
            <w:hideMark/>
          </w:tcPr>
          <w:p w14:paraId="45296F23" w14:textId="77777777" w:rsidR="00615E2D" w:rsidRDefault="00C83E46">
            <w:pPr>
              <w:pStyle w:val="P68B1DB1-Normal9"/>
              <w:spacing w:before="0" w:after="0" w:line="240" w:lineRule="auto"/>
              <w:jc w:val="center"/>
              <w:rPr>
                <w:noProof/>
              </w:rPr>
            </w:pPr>
            <w:r>
              <w:rPr>
                <w:noProof/>
              </w:rPr>
              <w:t>Godina</w:t>
            </w:r>
          </w:p>
        </w:tc>
        <w:tc>
          <w:tcPr>
            <w:tcW w:w="4128" w:type="dxa"/>
            <w:vMerge/>
            <w:vAlign w:val="center"/>
            <w:hideMark/>
          </w:tcPr>
          <w:p w14:paraId="61996C00" w14:textId="77777777" w:rsidR="00615E2D" w:rsidRDefault="00615E2D">
            <w:pPr>
              <w:spacing w:before="0" w:after="0" w:line="240" w:lineRule="auto"/>
              <w:rPr>
                <w:rFonts w:eastAsia="Times New Roman"/>
                <w:b/>
                <w:noProof/>
                <w:sz w:val="18"/>
              </w:rPr>
            </w:pPr>
          </w:p>
        </w:tc>
      </w:tr>
      <w:tr w:rsidR="00615E2D" w14:paraId="222A45A3" w14:textId="77777777">
        <w:trPr>
          <w:trHeight w:val="309"/>
          <w:jc w:val="center"/>
        </w:trPr>
        <w:tc>
          <w:tcPr>
            <w:tcW w:w="654" w:type="dxa"/>
            <w:shd w:val="clear" w:color="auto" w:fill="C6EFCE"/>
            <w:vAlign w:val="center"/>
            <w:hideMark/>
          </w:tcPr>
          <w:p w14:paraId="564A50B5" w14:textId="423C5CB8" w:rsidR="00615E2D" w:rsidRDefault="00C83E46">
            <w:pPr>
              <w:pStyle w:val="P68B1DB1-Normal15"/>
              <w:spacing w:before="0" w:after="0" w:line="240" w:lineRule="auto"/>
              <w:jc w:val="center"/>
              <w:rPr>
                <w:noProof/>
              </w:rPr>
            </w:pPr>
            <w:r>
              <w:rPr>
                <w:noProof/>
              </w:rPr>
              <w:t>309</w:t>
            </w:r>
          </w:p>
        </w:tc>
        <w:tc>
          <w:tcPr>
            <w:tcW w:w="1625" w:type="dxa"/>
            <w:shd w:val="clear" w:color="auto" w:fill="C6EFCE"/>
            <w:vAlign w:val="center"/>
            <w:hideMark/>
          </w:tcPr>
          <w:p w14:paraId="6791C1C5" w14:textId="77777777" w:rsidR="00615E2D" w:rsidRDefault="00C83E46">
            <w:pPr>
              <w:pStyle w:val="P68B1DB1-Normal11"/>
              <w:spacing w:line="240" w:lineRule="auto"/>
              <w:rPr>
                <w:noProof/>
              </w:rPr>
            </w:pPr>
            <w:r>
              <w:rPr>
                <w:noProof/>
              </w:rPr>
              <w:t>Ulaganje 1:  Centar za podatke o električnoj energiji</w:t>
            </w:r>
          </w:p>
          <w:p w14:paraId="7C072696" w14:textId="483D0265" w:rsidR="00615E2D" w:rsidRDefault="00615E2D">
            <w:pPr>
              <w:spacing w:before="0" w:after="0" w:line="240" w:lineRule="auto"/>
              <w:rPr>
                <w:rFonts w:eastAsia="Times New Roman"/>
                <w:noProof/>
                <w:color w:val="004300"/>
                <w:sz w:val="18"/>
              </w:rPr>
            </w:pPr>
          </w:p>
        </w:tc>
        <w:tc>
          <w:tcPr>
            <w:tcW w:w="1134" w:type="dxa"/>
            <w:shd w:val="clear" w:color="auto" w:fill="C6EFCE"/>
            <w:vAlign w:val="center"/>
            <w:hideMark/>
          </w:tcPr>
          <w:p w14:paraId="39604BD8" w14:textId="2FB95142" w:rsidR="00615E2D" w:rsidRDefault="00C83E46">
            <w:pPr>
              <w:pStyle w:val="P68B1DB1-Normal11"/>
              <w:spacing w:before="0" w:after="0" w:line="240" w:lineRule="auto"/>
              <w:rPr>
                <w:noProof/>
                <w:color w:val="004300"/>
              </w:rPr>
            </w:pPr>
            <w:r>
              <w:rPr>
                <w:noProof/>
              </w:rPr>
              <w:t>Prekretnica</w:t>
            </w:r>
          </w:p>
        </w:tc>
        <w:tc>
          <w:tcPr>
            <w:tcW w:w="1546" w:type="dxa"/>
            <w:shd w:val="clear" w:color="auto" w:fill="C6EFCE"/>
            <w:vAlign w:val="center"/>
            <w:hideMark/>
          </w:tcPr>
          <w:p w14:paraId="3E4A60FB" w14:textId="05F93D15" w:rsidR="00615E2D" w:rsidRDefault="00C83E46">
            <w:pPr>
              <w:pStyle w:val="P68B1DB1-Normal11"/>
              <w:spacing w:before="0" w:after="0" w:line="240" w:lineRule="auto"/>
              <w:rPr>
                <w:noProof/>
                <w:color w:val="004300"/>
              </w:rPr>
            </w:pPr>
            <w:r>
              <w:rPr>
                <w:noProof/>
              </w:rPr>
              <w:t>Stupanje na snagu zakonodavstva o osnivanju Centra za podatke o električnoj energiji</w:t>
            </w:r>
          </w:p>
        </w:tc>
        <w:tc>
          <w:tcPr>
            <w:tcW w:w="1799" w:type="dxa"/>
            <w:shd w:val="clear" w:color="auto" w:fill="C6EFCE"/>
            <w:vAlign w:val="center"/>
            <w:hideMark/>
          </w:tcPr>
          <w:p w14:paraId="467749E9" w14:textId="45A904F4" w:rsidR="00615E2D" w:rsidRDefault="00C83E46">
            <w:pPr>
              <w:pStyle w:val="P68B1DB1-Normal11"/>
              <w:spacing w:before="0" w:after="0" w:line="240" w:lineRule="auto"/>
              <w:rPr>
                <w:noProof/>
                <w:color w:val="004300"/>
              </w:rPr>
            </w:pPr>
            <w:r>
              <w:rPr>
                <w:noProof/>
              </w:rPr>
              <w:t>Odredba u zakonu o stupanju na snagu podatkovnog centra o električnoj energiji</w:t>
            </w:r>
          </w:p>
        </w:tc>
        <w:tc>
          <w:tcPr>
            <w:tcW w:w="988" w:type="dxa"/>
            <w:shd w:val="clear" w:color="auto" w:fill="C6EFCE"/>
            <w:vAlign w:val="center"/>
          </w:tcPr>
          <w:p w14:paraId="695B497B" w14:textId="002FD292" w:rsidR="00615E2D" w:rsidRDefault="00615E2D">
            <w:pPr>
              <w:spacing w:before="0" w:after="0" w:line="240" w:lineRule="auto"/>
              <w:rPr>
                <w:rFonts w:eastAsia="Times New Roman"/>
                <w:noProof/>
                <w:color w:val="004300"/>
                <w:sz w:val="18"/>
              </w:rPr>
            </w:pPr>
          </w:p>
        </w:tc>
        <w:tc>
          <w:tcPr>
            <w:tcW w:w="988" w:type="dxa"/>
            <w:shd w:val="clear" w:color="auto" w:fill="C6EFCE"/>
            <w:vAlign w:val="center"/>
          </w:tcPr>
          <w:p w14:paraId="6E1EEBB7" w14:textId="45ADDAEB" w:rsidR="00615E2D" w:rsidRDefault="00615E2D">
            <w:pPr>
              <w:spacing w:before="0" w:after="0" w:line="240" w:lineRule="auto"/>
              <w:jc w:val="center"/>
              <w:rPr>
                <w:rFonts w:eastAsia="Times New Roman"/>
                <w:noProof/>
                <w:color w:val="004300"/>
                <w:sz w:val="18"/>
              </w:rPr>
            </w:pPr>
          </w:p>
        </w:tc>
        <w:tc>
          <w:tcPr>
            <w:tcW w:w="988" w:type="dxa"/>
            <w:shd w:val="clear" w:color="auto" w:fill="C6EFCE"/>
            <w:vAlign w:val="center"/>
          </w:tcPr>
          <w:p w14:paraId="3345CB3C" w14:textId="39B445D6" w:rsidR="00615E2D" w:rsidRDefault="00615E2D">
            <w:pPr>
              <w:spacing w:before="0" w:after="0" w:line="240" w:lineRule="auto"/>
              <w:jc w:val="center"/>
              <w:rPr>
                <w:rFonts w:eastAsia="Times New Roman"/>
                <w:noProof/>
                <w:color w:val="004300"/>
                <w:sz w:val="18"/>
              </w:rPr>
            </w:pPr>
          </w:p>
        </w:tc>
        <w:tc>
          <w:tcPr>
            <w:tcW w:w="1077" w:type="dxa"/>
            <w:shd w:val="clear" w:color="auto" w:fill="C6EFCE"/>
            <w:vAlign w:val="center"/>
            <w:hideMark/>
          </w:tcPr>
          <w:p w14:paraId="17928B1A" w14:textId="030E919E" w:rsidR="00615E2D" w:rsidRDefault="00C83E46">
            <w:pPr>
              <w:pStyle w:val="P68B1DB1-Normal11"/>
              <w:spacing w:before="0" w:after="0" w:line="240" w:lineRule="auto"/>
              <w:jc w:val="center"/>
              <w:rPr>
                <w:noProof/>
                <w:color w:val="004300"/>
              </w:rPr>
            </w:pPr>
            <w:r>
              <w:rPr>
                <w:noProof/>
              </w:rPr>
              <w:t xml:space="preserve">TROMJESEČJE </w:t>
            </w:r>
          </w:p>
        </w:tc>
        <w:tc>
          <w:tcPr>
            <w:tcW w:w="658" w:type="dxa"/>
            <w:shd w:val="clear" w:color="auto" w:fill="C6EFCE"/>
            <w:vAlign w:val="center"/>
            <w:hideMark/>
          </w:tcPr>
          <w:p w14:paraId="6BEF10CD" w14:textId="368380A2" w:rsidR="00615E2D" w:rsidRDefault="00C83E46">
            <w:pPr>
              <w:pStyle w:val="P68B1DB1-Normal11"/>
              <w:spacing w:before="0" w:after="0" w:line="240" w:lineRule="auto"/>
              <w:jc w:val="center"/>
              <w:rPr>
                <w:noProof/>
                <w:color w:val="004300"/>
              </w:rPr>
            </w:pPr>
            <w:r>
              <w:rPr>
                <w:noProof/>
              </w:rPr>
              <w:t>2024</w:t>
            </w:r>
          </w:p>
        </w:tc>
        <w:tc>
          <w:tcPr>
            <w:tcW w:w="4128" w:type="dxa"/>
            <w:shd w:val="clear" w:color="auto" w:fill="C6EFCE"/>
            <w:vAlign w:val="center"/>
            <w:hideMark/>
          </w:tcPr>
          <w:p w14:paraId="5C126442" w14:textId="376773A3" w:rsidR="00615E2D" w:rsidRDefault="00C83E46">
            <w:pPr>
              <w:pStyle w:val="P68B1DB1-Normal11"/>
              <w:spacing w:after="0" w:line="240" w:lineRule="auto"/>
              <w:rPr>
                <w:noProof/>
              </w:rPr>
            </w:pPr>
            <w:r>
              <w:rPr>
                <w:noProof/>
              </w:rPr>
              <w:t>Centar za podatke o električnoj energiji osnovan je zakonom, a njegove funkcije i obveze definirane su zakonom. Konkretno, EDC:</w:t>
            </w:r>
          </w:p>
          <w:p w14:paraId="489D194F" w14:textId="77777777" w:rsidR="00615E2D" w:rsidRDefault="00C83E46">
            <w:pPr>
              <w:pStyle w:val="P68B1DB1-Normal11"/>
              <w:spacing w:after="0" w:line="240" w:lineRule="auto"/>
              <w:rPr>
                <w:noProof/>
              </w:rPr>
            </w:pPr>
            <w:r>
              <w:rPr>
                <w:noProof/>
              </w:rPr>
              <w:t xml:space="preserve">— na zahtjev sudionika na tržištu registrirati oznaku ili drugu identifikaciju točaka prijenosa uključenih u mjesta dijeljenja i prijenosa električne energije uključenih u preuzimanje na drugoj točki preuzimanja u podatkovnom centru i prenijeti informacije o registraciji operatoru tržišta, </w:t>
            </w:r>
          </w:p>
          <w:p w14:paraId="4DE0C3AA" w14:textId="77777777" w:rsidR="00615E2D" w:rsidRDefault="00C83E46">
            <w:pPr>
              <w:pStyle w:val="P68B1DB1-Normal11"/>
              <w:spacing w:after="0" w:line="240" w:lineRule="auto"/>
              <w:rPr>
                <w:noProof/>
              </w:rPr>
            </w:pPr>
            <w:r>
              <w:rPr>
                <w:noProof/>
              </w:rPr>
              <w:t xml:space="preserve">—na zahtjev sudionika na tržištu dodijeliti udio električne energije koji se dijeli unutar točaka prijenosa i dodijeliti udio vlastite proizvedene električne energije na mjestu potrošnje drugog sudionika na tržištu,   </w:t>
            </w:r>
          </w:p>
          <w:p w14:paraId="42BF340A" w14:textId="77777777" w:rsidR="00615E2D" w:rsidRDefault="00C83E46">
            <w:pPr>
              <w:pStyle w:val="P68B1DB1-Normal11"/>
              <w:spacing w:after="0" w:line="240" w:lineRule="auto"/>
              <w:rPr>
                <w:noProof/>
              </w:rPr>
            </w:pPr>
            <w:r>
              <w:rPr>
                <w:noProof/>
              </w:rPr>
              <w:t>—podaci o mjerenju električne energije iz proizvodnih procesa za uključivanje dijeljenja električne energije u procjenu odstupanja i u količinu električne energije za koju se na tržištu električne energije plaćaju regulirane i neregulirane cijene,</w:t>
            </w:r>
          </w:p>
          <w:p w14:paraId="3C3C30F6" w14:textId="77777777" w:rsidR="00615E2D" w:rsidRDefault="00C83E46">
            <w:pPr>
              <w:pStyle w:val="P68B1DB1-Normal11"/>
              <w:spacing w:after="0" w:line="240" w:lineRule="auto"/>
              <w:rPr>
                <w:noProof/>
              </w:rPr>
            </w:pPr>
            <w:r>
              <w:rPr>
                <w:noProof/>
              </w:rPr>
              <w:t xml:space="preserve">pružiti trgovcima anonimizirane podatke koje je zabilježio podatkovni centar s točkama prijenosa mjesta potrošnje električne energije i proizvodnih postrojenja, uključujući druge podatke povezane s dijeljenjem električne energije,  </w:t>
            </w:r>
          </w:p>
          <w:p w14:paraId="6C2F1239" w14:textId="77777777" w:rsidR="00615E2D" w:rsidRDefault="00C83E46">
            <w:pPr>
              <w:pStyle w:val="P68B1DB1-Normal11"/>
              <w:spacing w:after="0" w:line="240" w:lineRule="auto"/>
              <w:rPr>
                <w:noProof/>
              </w:rPr>
            </w:pPr>
            <w:r>
              <w:rPr>
                <w:noProof/>
              </w:rPr>
              <w:t>—pružati tržišnim operatorima i operatorima distribucijskih sustava podatke o mjerenju uzimajući u obzir zajedničku električnu energiju.</w:t>
            </w:r>
          </w:p>
          <w:p w14:paraId="4D6476B1" w14:textId="16CC0F2E" w:rsidR="00615E2D" w:rsidRDefault="00C83E46">
            <w:pPr>
              <w:pStyle w:val="P68B1DB1-Normal11"/>
              <w:spacing w:before="0" w:after="0" w:line="240" w:lineRule="auto"/>
              <w:rPr>
                <w:noProof/>
                <w:color w:val="004300"/>
              </w:rPr>
            </w:pPr>
            <w:r>
              <w:rPr>
                <w:noProof/>
              </w:rPr>
              <w:t>Pristup tehničkim funkcionalnostima EDC-a nediskriminirajući je i otvoren je svim sudionicima na tržištu. Kupci, operator distribucijskog sustava, opskrbljivači električnom energijom i operatori tržišta električne energije mogu pristupiti podacima na koje imaju pravo u skladu s relevantnim primjenjivim zakonodavstvom.</w:t>
            </w:r>
          </w:p>
        </w:tc>
      </w:tr>
      <w:tr w:rsidR="00615E2D" w14:paraId="1F17C8B9" w14:textId="77777777">
        <w:trPr>
          <w:trHeight w:val="309"/>
          <w:jc w:val="center"/>
        </w:trPr>
        <w:tc>
          <w:tcPr>
            <w:tcW w:w="654" w:type="dxa"/>
            <w:shd w:val="clear" w:color="auto" w:fill="C6EFCE"/>
            <w:vAlign w:val="center"/>
          </w:tcPr>
          <w:p w14:paraId="50513C50" w14:textId="3A025FAD" w:rsidR="00615E2D" w:rsidRDefault="00C83E46">
            <w:pPr>
              <w:pStyle w:val="P68B1DB1-Normal15"/>
              <w:spacing w:before="0" w:after="0" w:line="240" w:lineRule="auto"/>
              <w:jc w:val="center"/>
              <w:rPr>
                <w:noProof/>
              </w:rPr>
            </w:pPr>
            <w:r>
              <w:rPr>
                <w:noProof/>
              </w:rPr>
              <w:t>310</w:t>
            </w:r>
          </w:p>
        </w:tc>
        <w:tc>
          <w:tcPr>
            <w:tcW w:w="1625" w:type="dxa"/>
            <w:shd w:val="clear" w:color="auto" w:fill="C6EFCE"/>
            <w:vAlign w:val="center"/>
          </w:tcPr>
          <w:p w14:paraId="57839903" w14:textId="4353A540" w:rsidR="00615E2D" w:rsidRDefault="00C83E46">
            <w:pPr>
              <w:pStyle w:val="P68B1DB1-Normal11"/>
              <w:spacing w:before="0" w:after="0" w:line="240" w:lineRule="auto"/>
              <w:rPr>
                <w:noProof/>
                <w:color w:val="004300"/>
              </w:rPr>
            </w:pPr>
            <w:r>
              <w:rPr>
                <w:noProof/>
              </w:rPr>
              <w:t>Ulaganje 1:  Centar za podatke o električnoj energiji</w:t>
            </w:r>
          </w:p>
        </w:tc>
        <w:tc>
          <w:tcPr>
            <w:tcW w:w="1134" w:type="dxa"/>
            <w:shd w:val="clear" w:color="auto" w:fill="C6EFCE"/>
            <w:vAlign w:val="center"/>
          </w:tcPr>
          <w:p w14:paraId="6E91DAA9" w14:textId="7AF76E99" w:rsidR="00615E2D" w:rsidRDefault="00C83E46">
            <w:pPr>
              <w:pStyle w:val="P68B1DB1-Normal11"/>
              <w:spacing w:before="0" w:after="0" w:line="240" w:lineRule="auto"/>
              <w:rPr>
                <w:noProof/>
                <w:color w:val="004300"/>
              </w:rPr>
            </w:pPr>
            <w:r>
              <w:rPr>
                <w:noProof/>
              </w:rPr>
              <w:t>Prekretnica</w:t>
            </w:r>
          </w:p>
        </w:tc>
        <w:tc>
          <w:tcPr>
            <w:tcW w:w="1546" w:type="dxa"/>
            <w:shd w:val="clear" w:color="auto" w:fill="C6EFCE"/>
            <w:vAlign w:val="center"/>
          </w:tcPr>
          <w:p w14:paraId="6C7E65AD" w14:textId="015AE86F" w:rsidR="00615E2D" w:rsidRDefault="00C83E46">
            <w:pPr>
              <w:pStyle w:val="P68B1DB1-Normal11"/>
              <w:spacing w:before="0" w:after="0" w:line="240" w:lineRule="auto"/>
              <w:rPr>
                <w:noProof/>
                <w:color w:val="004300"/>
              </w:rPr>
            </w:pPr>
            <w:r>
              <w:rPr>
                <w:noProof/>
              </w:rPr>
              <w:t>Početak rada Centra za podatke o energiji</w:t>
            </w:r>
          </w:p>
        </w:tc>
        <w:tc>
          <w:tcPr>
            <w:tcW w:w="1799" w:type="dxa"/>
            <w:shd w:val="clear" w:color="auto" w:fill="C6EFCE"/>
            <w:vAlign w:val="center"/>
          </w:tcPr>
          <w:p w14:paraId="480F876C" w14:textId="17939FC0" w:rsidR="00615E2D" w:rsidRDefault="00C83E46">
            <w:pPr>
              <w:pStyle w:val="P68B1DB1-Normal11"/>
              <w:spacing w:before="0" w:after="0" w:line="240" w:lineRule="auto"/>
              <w:rPr>
                <w:noProof/>
                <w:color w:val="004300"/>
              </w:rPr>
            </w:pPr>
            <w:r>
              <w:rPr>
                <w:noProof/>
              </w:rPr>
              <w:t>Uvođenje funkcija povezanih s dijeljenjem energije</w:t>
            </w:r>
          </w:p>
        </w:tc>
        <w:tc>
          <w:tcPr>
            <w:tcW w:w="988" w:type="dxa"/>
            <w:shd w:val="clear" w:color="auto" w:fill="C6EFCE"/>
            <w:vAlign w:val="center"/>
          </w:tcPr>
          <w:p w14:paraId="16CB1187" w14:textId="15644FC9" w:rsidR="00615E2D" w:rsidRDefault="00C83E46">
            <w:pPr>
              <w:pStyle w:val="P68B1DB1-Normal11"/>
              <w:spacing w:before="0" w:after="0" w:line="240" w:lineRule="auto"/>
              <w:rPr>
                <w:noProof/>
                <w:color w:val="004300"/>
              </w:rPr>
            </w:pPr>
            <w:r>
              <w:rPr>
                <w:noProof/>
              </w:rPr>
              <w:t xml:space="preserve"> </w:t>
            </w:r>
          </w:p>
        </w:tc>
        <w:tc>
          <w:tcPr>
            <w:tcW w:w="988" w:type="dxa"/>
            <w:shd w:val="clear" w:color="auto" w:fill="C6EFCE"/>
            <w:vAlign w:val="center"/>
          </w:tcPr>
          <w:p w14:paraId="3B0E4585" w14:textId="77777777" w:rsidR="00615E2D" w:rsidRDefault="00C83E46">
            <w:pPr>
              <w:pStyle w:val="P68B1DB1-Normal11"/>
              <w:spacing w:before="0" w:after="0" w:line="240" w:lineRule="auto"/>
              <w:jc w:val="center"/>
              <w:rPr>
                <w:noProof/>
              </w:rPr>
            </w:pPr>
            <w:r>
              <w:rPr>
                <w:noProof/>
              </w:rPr>
              <w:t xml:space="preserve"> </w:t>
            </w:r>
          </w:p>
          <w:p w14:paraId="076C32FA" w14:textId="0B0E34DA" w:rsidR="00615E2D" w:rsidRDefault="00615E2D">
            <w:pPr>
              <w:rPr>
                <w:rFonts w:eastAsia="Times New Roman"/>
                <w:noProof/>
                <w:sz w:val="18"/>
              </w:rPr>
            </w:pPr>
          </w:p>
        </w:tc>
        <w:tc>
          <w:tcPr>
            <w:tcW w:w="988" w:type="dxa"/>
            <w:shd w:val="clear" w:color="auto" w:fill="C6EFCE"/>
            <w:vAlign w:val="center"/>
          </w:tcPr>
          <w:p w14:paraId="5CEC4682" w14:textId="22C7DA07" w:rsidR="00615E2D" w:rsidRDefault="00C83E46">
            <w:pPr>
              <w:pStyle w:val="P68B1DB1-Normal11"/>
              <w:spacing w:before="0" w:after="0" w:line="240" w:lineRule="auto"/>
              <w:jc w:val="center"/>
              <w:rPr>
                <w:noProof/>
                <w:color w:val="004300"/>
              </w:rPr>
            </w:pPr>
            <w:r>
              <w:rPr>
                <w:noProof/>
              </w:rPr>
              <w:t xml:space="preserve"> </w:t>
            </w:r>
          </w:p>
        </w:tc>
        <w:tc>
          <w:tcPr>
            <w:tcW w:w="1077" w:type="dxa"/>
            <w:shd w:val="clear" w:color="auto" w:fill="C6EFCE"/>
            <w:vAlign w:val="center"/>
          </w:tcPr>
          <w:p w14:paraId="6F59D113" w14:textId="6803FBD5" w:rsidR="00615E2D" w:rsidRDefault="00C83E46">
            <w:pPr>
              <w:pStyle w:val="P68B1DB1-Normal11"/>
              <w:spacing w:before="0" w:after="0" w:line="240" w:lineRule="auto"/>
              <w:jc w:val="center"/>
              <w:rPr>
                <w:noProof/>
                <w:color w:val="004300"/>
              </w:rPr>
            </w:pPr>
            <w:r>
              <w:rPr>
                <w:noProof/>
              </w:rPr>
              <w:t>TROMJESEČJE</w:t>
            </w:r>
          </w:p>
        </w:tc>
        <w:tc>
          <w:tcPr>
            <w:tcW w:w="658" w:type="dxa"/>
            <w:shd w:val="clear" w:color="auto" w:fill="C6EFCE"/>
            <w:vAlign w:val="center"/>
          </w:tcPr>
          <w:p w14:paraId="63B6BCA9" w14:textId="7BE10A8B" w:rsidR="00615E2D" w:rsidRDefault="00C83E46">
            <w:pPr>
              <w:pStyle w:val="P68B1DB1-Normal11"/>
              <w:spacing w:before="0" w:after="0" w:line="240" w:lineRule="auto"/>
              <w:jc w:val="center"/>
              <w:rPr>
                <w:noProof/>
                <w:color w:val="004300"/>
              </w:rPr>
            </w:pPr>
            <w:r>
              <w:rPr>
                <w:noProof/>
              </w:rPr>
              <w:t>2024</w:t>
            </w:r>
          </w:p>
        </w:tc>
        <w:tc>
          <w:tcPr>
            <w:tcW w:w="4128" w:type="dxa"/>
            <w:shd w:val="clear" w:color="auto" w:fill="C6EFCE"/>
            <w:vAlign w:val="center"/>
          </w:tcPr>
          <w:p w14:paraId="74709BD9" w14:textId="1AFE203B" w:rsidR="00615E2D" w:rsidRDefault="00C83E46">
            <w:pPr>
              <w:pStyle w:val="P68B1DB1-Normal11"/>
              <w:spacing w:before="0" w:after="0" w:line="240" w:lineRule="auto"/>
              <w:rPr>
                <w:noProof/>
                <w:color w:val="004300"/>
              </w:rPr>
            </w:pPr>
            <w:r>
              <w:rPr>
                <w:noProof/>
              </w:rPr>
              <w:t>Centar za podatke o električnoj energiji započinje s radom funkcija povezanih s razmjenom energije (mjerenje i evaluacija podataka).</w:t>
            </w:r>
          </w:p>
        </w:tc>
      </w:tr>
      <w:tr w:rsidR="00615E2D" w14:paraId="1DFC404C" w14:textId="77777777">
        <w:trPr>
          <w:trHeight w:val="309"/>
          <w:jc w:val="center"/>
        </w:trPr>
        <w:tc>
          <w:tcPr>
            <w:tcW w:w="654" w:type="dxa"/>
            <w:shd w:val="clear" w:color="auto" w:fill="C6EFCE"/>
            <w:vAlign w:val="center"/>
          </w:tcPr>
          <w:p w14:paraId="0BF73179" w14:textId="1A09E6B3" w:rsidR="00615E2D" w:rsidRDefault="00C83E46">
            <w:pPr>
              <w:pStyle w:val="P68B1DB1-Normal15"/>
              <w:spacing w:before="0" w:after="0" w:line="240" w:lineRule="auto"/>
              <w:jc w:val="center"/>
              <w:rPr>
                <w:noProof/>
              </w:rPr>
            </w:pPr>
            <w:r>
              <w:rPr>
                <w:noProof/>
              </w:rPr>
              <w:t>311</w:t>
            </w:r>
          </w:p>
        </w:tc>
        <w:tc>
          <w:tcPr>
            <w:tcW w:w="1625" w:type="dxa"/>
            <w:shd w:val="clear" w:color="auto" w:fill="C6EFCE"/>
            <w:vAlign w:val="center"/>
          </w:tcPr>
          <w:p w14:paraId="713B6073" w14:textId="77777777" w:rsidR="00615E2D" w:rsidRDefault="00C83E46">
            <w:pPr>
              <w:pStyle w:val="P68B1DB1-Normal11"/>
              <w:spacing w:line="240" w:lineRule="auto"/>
              <w:rPr>
                <w:noProof/>
              </w:rPr>
            </w:pPr>
            <w:r>
              <w:rPr>
                <w:noProof/>
              </w:rPr>
              <w:t>Ulaganje 1:  Centar za podatke o električnoj energiji</w:t>
            </w:r>
          </w:p>
          <w:p w14:paraId="2531A73B" w14:textId="0DF00880" w:rsidR="00615E2D" w:rsidRDefault="00C83E46">
            <w:pPr>
              <w:pStyle w:val="P68B1DB1-Normal11"/>
              <w:spacing w:before="0" w:after="0" w:line="240" w:lineRule="auto"/>
              <w:rPr>
                <w:noProof/>
              </w:rPr>
            </w:pPr>
            <w:r>
              <w:rPr>
                <w:noProof/>
              </w:rPr>
              <w:t xml:space="preserve"> </w:t>
            </w:r>
          </w:p>
        </w:tc>
        <w:tc>
          <w:tcPr>
            <w:tcW w:w="1134" w:type="dxa"/>
            <w:shd w:val="clear" w:color="auto" w:fill="C6EFCE"/>
            <w:vAlign w:val="center"/>
          </w:tcPr>
          <w:p w14:paraId="7CE945B7" w14:textId="4C82DF8E" w:rsidR="00615E2D" w:rsidRDefault="00C83E46">
            <w:pPr>
              <w:pStyle w:val="P68B1DB1-Normal11"/>
              <w:spacing w:before="0" w:after="0" w:line="240" w:lineRule="auto"/>
              <w:rPr>
                <w:noProof/>
              </w:rPr>
            </w:pPr>
            <w:r>
              <w:rPr>
                <w:noProof/>
              </w:rPr>
              <w:t>Prekretnica</w:t>
            </w:r>
          </w:p>
        </w:tc>
        <w:tc>
          <w:tcPr>
            <w:tcW w:w="1546" w:type="dxa"/>
            <w:shd w:val="clear" w:color="auto" w:fill="C6EFCE"/>
            <w:vAlign w:val="center"/>
          </w:tcPr>
          <w:p w14:paraId="1C248208" w14:textId="53C7283F" w:rsidR="00615E2D" w:rsidRDefault="00C83E46">
            <w:pPr>
              <w:pStyle w:val="P68B1DB1-Normal11"/>
              <w:spacing w:before="0" w:after="0" w:line="240" w:lineRule="auto"/>
              <w:rPr>
                <w:noProof/>
              </w:rPr>
            </w:pPr>
            <w:r>
              <w:rPr>
                <w:noProof/>
              </w:rPr>
              <w:t>Početak rada Centra za podatke o energiji</w:t>
            </w:r>
          </w:p>
        </w:tc>
        <w:tc>
          <w:tcPr>
            <w:tcW w:w="1799" w:type="dxa"/>
            <w:shd w:val="clear" w:color="auto" w:fill="C6EFCE"/>
            <w:vAlign w:val="center"/>
          </w:tcPr>
          <w:p w14:paraId="3F9D2CD2" w14:textId="1A5FD4AD" w:rsidR="00615E2D" w:rsidRDefault="00C83E46">
            <w:pPr>
              <w:pStyle w:val="P68B1DB1-Normal11"/>
              <w:spacing w:before="0" w:after="0" w:line="240" w:lineRule="auto"/>
              <w:rPr>
                <w:noProof/>
              </w:rPr>
            </w:pPr>
            <w:r>
              <w:rPr>
                <w:noProof/>
              </w:rPr>
              <w:t>Sve su funkcije operativne</w:t>
            </w:r>
          </w:p>
        </w:tc>
        <w:tc>
          <w:tcPr>
            <w:tcW w:w="988" w:type="dxa"/>
            <w:shd w:val="clear" w:color="auto" w:fill="C6EFCE"/>
            <w:vAlign w:val="center"/>
          </w:tcPr>
          <w:p w14:paraId="0BCD4BCF" w14:textId="696EB7E1" w:rsidR="00615E2D" w:rsidRDefault="00C83E46">
            <w:pPr>
              <w:pStyle w:val="P68B1DB1-Normal11"/>
              <w:spacing w:before="0" w:after="0" w:line="240" w:lineRule="auto"/>
              <w:rPr>
                <w:noProof/>
              </w:rPr>
            </w:pPr>
            <w:r>
              <w:rPr>
                <w:noProof/>
              </w:rPr>
              <w:t xml:space="preserve"> </w:t>
            </w:r>
          </w:p>
        </w:tc>
        <w:tc>
          <w:tcPr>
            <w:tcW w:w="988" w:type="dxa"/>
            <w:shd w:val="clear" w:color="auto" w:fill="C6EFCE"/>
            <w:vAlign w:val="center"/>
          </w:tcPr>
          <w:p w14:paraId="5DE1FDAB" w14:textId="57911412" w:rsidR="00615E2D" w:rsidRDefault="00C83E46">
            <w:pPr>
              <w:pStyle w:val="P68B1DB1-Normal11"/>
              <w:spacing w:before="0" w:after="0" w:line="240" w:lineRule="auto"/>
              <w:jc w:val="center"/>
              <w:rPr>
                <w:noProof/>
              </w:rPr>
            </w:pPr>
            <w:r>
              <w:rPr>
                <w:noProof/>
              </w:rPr>
              <w:t xml:space="preserve"> </w:t>
            </w:r>
          </w:p>
        </w:tc>
        <w:tc>
          <w:tcPr>
            <w:tcW w:w="988" w:type="dxa"/>
            <w:shd w:val="clear" w:color="auto" w:fill="C6EFCE"/>
            <w:vAlign w:val="center"/>
          </w:tcPr>
          <w:p w14:paraId="41CD6F2C" w14:textId="73BBCE81" w:rsidR="00615E2D" w:rsidRDefault="00C83E46">
            <w:pPr>
              <w:pStyle w:val="P68B1DB1-Normal11"/>
              <w:spacing w:before="0" w:after="0" w:line="240" w:lineRule="auto"/>
              <w:jc w:val="center"/>
              <w:rPr>
                <w:noProof/>
              </w:rPr>
            </w:pPr>
            <w:r>
              <w:rPr>
                <w:noProof/>
              </w:rPr>
              <w:t xml:space="preserve"> </w:t>
            </w:r>
          </w:p>
        </w:tc>
        <w:tc>
          <w:tcPr>
            <w:tcW w:w="1077" w:type="dxa"/>
            <w:shd w:val="clear" w:color="auto" w:fill="C6EFCE"/>
            <w:vAlign w:val="center"/>
          </w:tcPr>
          <w:p w14:paraId="012ED3F7" w14:textId="06EE0E26" w:rsidR="00615E2D" w:rsidRDefault="00C83E46">
            <w:pPr>
              <w:pStyle w:val="P68B1DB1-Normal11"/>
              <w:spacing w:before="0" w:after="0" w:line="240" w:lineRule="auto"/>
              <w:jc w:val="center"/>
              <w:rPr>
                <w:noProof/>
              </w:rPr>
            </w:pPr>
            <w:r>
              <w:rPr>
                <w:noProof/>
              </w:rPr>
              <w:t>TROMJESEČJE</w:t>
            </w:r>
          </w:p>
        </w:tc>
        <w:tc>
          <w:tcPr>
            <w:tcW w:w="658" w:type="dxa"/>
            <w:shd w:val="clear" w:color="auto" w:fill="C6EFCE"/>
            <w:vAlign w:val="center"/>
          </w:tcPr>
          <w:p w14:paraId="7C864A32" w14:textId="75A16ED7" w:rsidR="00615E2D" w:rsidRDefault="00C83E46">
            <w:pPr>
              <w:pStyle w:val="P68B1DB1-Normal11"/>
              <w:spacing w:before="0" w:after="0" w:line="240" w:lineRule="auto"/>
              <w:jc w:val="center"/>
              <w:rPr>
                <w:noProof/>
              </w:rPr>
            </w:pPr>
            <w:r>
              <w:rPr>
                <w:noProof/>
              </w:rPr>
              <w:t>2026</w:t>
            </w:r>
          </w:p>
        </w:tc>
        <w:tc>
          <w:tcPr>
            <w:tcW w:w="4128" w:type="dxa"/>
            <w:shd w:val="clear" w:color="auto" w:fill="C6EFCE"/>
            <w:vAlign w:val="center"/>
          </w:tcPr>
          <w:p w14:paraId="4D26204C" w14:textId="222724EB" w:rsidR="00615E2D" w:rsidRDefault="00C83E46">
            <w:pPr>
              <w:pStyle w:val="P68B1DB1-Normal11"/>
              <w:spacing w:after="0" w:line="240" w:lineRule="auto"/>
              <w:rPr>
                <w:noProof/>
              </w:rPr>
            </w:pPr>
            <w:r>
              <w:rPr>
                <w:noProof/>
              </w:rPr>
              <w:t xml:space="preserve">Osim funkcija povezanih s dijeljenjem energije, podatkovni centar za električnu energiju pruža usluge u sljedećim područjima: </w:t>
            </w:r>
          </w:p>
          <w:p w14:paraId="4AB1D68E" w14:textId="52C008A9" w:rsidR="00615E2D" w:rsidRDefault="00C83E46">
            <w:pPr>
              <w:pStyle w:val="P68B1DB1-Normal11"/>
              <w:spacing w:after="0" w:line="240" w:lineRule="auto"/>
              <w:rPr>
                <w:noProof/>
              </w:rPr>
            </w:pPr>
            <w:r>
              <w:rPr>
                <w:noProof/>
              </w:rPr>
              <w:t>prikupljanje, pružanje i prijenos mjernih podataka</w:t>
            </w:r>
          </w:p>
          <w:p w14:paraId="2380E259" w14:textId="77777777" w:rsidR="00615E2D" w:rsidRDefault="00C83E46">
            <w:pPr>
              <w:pStyle w:val="P68B1DB1-Normal11"/>
              <w:spacing w:after="0" w:line="240" w:lineRule="auto"/>
              <w:rPr>
                <w:noProof/>
              </w:rPr>
            </w:pPr>
            <w:r>
              <w:rPr>
                <w:noProof/>
              </w:rPr>
              <w:t xml:space="preserve">—registracija i evaluacija podataka za potrebe skladištenja električne energije, dijeljenja električne energije, pružanja fleksibilnosti, </w:t>
            </w:r>
          </w:p>
          <w:p w14:paraId="2278453A" w14:textId="77777777" w:rsidR="00615E2D" w:rsidRDefault="00C83E46">
            <w:pPr>
              <w:pStyle w:val="P68B1DB1-Normal11"/>
              <w:spacing w:after="0" w:line="240" w:lineRule="auto"/>
              <w:rPr>
                <w:noProof/>
              </w:rPr>
            </w:pPr>
            <w:r>
              <w:rPr>
                <w:noProof/>
              </w:rPr>
              <w:t>prikupljanje i razmjena podataka za uravnoteženje i planiranje mreže</w:t>
            </w:r>
          </w:p>
          <w:p w14:paraId="7B049430" w14:textId="77777777" w:rsidR="00615E2D" w:rsidRDefault="00C83E46">
            <w:pPr>
              <w:pStyle w:val="P68B1DB1-Normal11"/>
              <w:spacing w:after="0" w:line="240" w:lineRule="auto"/>
              <w:rPr>
                <w:noProof/>
              </w:rPr>
            </w:pPr>
            <w:r>
              <w:rPr>
                <w:noProof/>
              </w:rPr>
              <w:t>registracija tržišnih i glavnih podataka</w:t>
            </w:r>
          </w:p>
          <w:p w14:paraId="79B5F8A2" w14:textId="77777777" w:rsidR="00615E2D" w:rsidRDefault="00C83E46">
            <w:pPr>
              <w:pStyle w:val="P68B1DB1-Normal11"/>
              <w:spacing w:after="0" w:line="240" w:lineRule="auto"/>
              <w:rPr>
                <w:noProof/>
              </w:rPr>
            </w:pPr>
            <w:r>
              <w:rPr>
                <w:noProof/>
              </w:rPr>
              <w:t xml:space="preserve">—objavljivati informacije o stanju mreže i mogućnostima za aktivaciju fleksibilnosti </w:t>
            </w:r>
          </w:p>
          <w:p w14:paraId="55106127" w14:textId="2C192B90" w:rsidR="00615E2D" w:rsidRDefault="00C83E46">
            <w:pPr>
              <w:pStyle w:val="P68B1DB1-Normal11"/>
              <w:spacing w:after="0" w:line="240" w:lineRule="auto"/>
              <w:rPr>
                <w:noProof/>
              </w:rPr>
            </w:pPr>
            <w:r>
              <w:rPr>
                <w:noProof/>
              </w:rPr>
              <w:t>— pružiti informacije o dostupnoj fleksibilnosti</w:t>
            </w:r>
          </w:p>
          <w:p w14:paraId="46D96B75" w14:textId="77777777" w:rsidR="00615E2D" w:rsidRDefault="00615E2D">
            <w:pPr>
              <w:spacing w:before="0" w:after="0" w:line="240" w:lineRule="auto"/>
              <w:rPr>
                <w:rFonts w:eastAsia="Times New Roman"/>
                <w:noProof/>
                <w:color w:val="006100"/>
                <w:sz w:val="18"/>
              </w:rPr>
            </w:pPr>
          </w:p>
        </w:tc>
      </w:tr>
      <w:tr w:rsidR="00615E2D" w14:paraId="35F10299" w14:textId="77777777">
        <w:trPr>
          <w:trHeight w:val="309"/>
          <w:jc w:val="center"/>
        </w:trPr>
        <w:tc>
          <w:tcPr>
            <w:tcW w:w="654" w:type="dxa"/>
            <w:shd w:val="clear" w:color="auto" w:fill="C6EFCE"/>
            <w:vAlign w:val="center"/>
          </w:tcPr>
          <w:p w14:paraId="26F58F16" w14:textId="49D2DE81" w:rsidR="00615E2D" w:rsidRDefault="00C83E46">
            <w:pPr>
              <w:pStyle w:val="P68B1DB1-Normal15"/>
              <w:spacing w:before="0" w:after="0" w:line="240" w:lineRule="auto"/>
              <w:jc w:val="center"/>
              <w:rPr>
                <w:noProof/>
              </w:rPr>
            </w:pPr>
            <w:r>
              <w:rPr>
                <w:noProof/>
              </w:rPr>
              <w:t xml:space="preserve"> 312</w:t>
            </w:r>
          </w:p>
        </w:tc>
        <w:tc>
          <w:tcPr>
            <w:tcW w:w="1625" w:type="dxa"/>
            <w:shd w:val="clear" w:color="auto" w:fill="C6EFCE"/>
            <w:vAlign w:val="center"/>
          </w:tcPr>
          <w:p w14:paraId="357EFE28" w14:textId="0D40FF13" w:rsidR="00615E2D" w:rsidRDefault="00C83E46">
            <w:pPr>
              <w:pStyle w:val="P68B1DB1-Normal11"/>
              <w:spacing w:line="240" w:lineRule="auto"/>
              <w:rPr>
                <w:noProof/>
              </w:rPr>
            </w:pPr>
            <w:r>
              <w:rPr>
                <w:noProof/>
              </w:rPr>
              <w:t>Reforma 1.: Energetske zajednice.</w:t>
            </w:r>
          </w:p>
        </w:tc>
        <w:tc>
          <w:tcPr>
            <w:tcW w:w="1134" w:type="dxa"/>
            <w:shd w:val="clear" w:color="auto" w:fill="C6EFCE"/>
            <w:vAlign w:val="center"/>
          </w:tcPr>
          <w:p w14:paraId="63E92317" w14:textId="11862DBC" w:rsidR="00615E2D" w:rsidRDefault="00C83E46">
            <w:pPr>
              <w:pStyle w:val="P68B1DB1-Normal11"/>
              <w:spacing w:before="0" w:after="0" w:line="240" w:lineRule="auto"/>
              <w:rPr>
                <w:noProof/>
              </w:rPr>
            </w:pPr>
            <w:r>
              <w:rPr>
                <w:noProof/>
              </w:rPr>
              <w:t>Prekretnica</w:t>
            </w:r>
          </w:p>
        </w:tc>
        <w:tc>
          <w:tcPr>
            <w:tcW w:w="1546" w:type="dxa"/>
            <w:shd w:val="clear" w:color="auto" w:fill="C6EFCE"/>
            <w:vAlign w:val="center"/>
          </w:tcPr>
          <w:p w14:paraId="639530C1" w14:textId="77777777" w:rsidR="00615E2D" w:rsidRDefault="00C83E46">
            <w:pPr>
              <w:pStyle w:val="P68B1DB1-Normal11"/>
              <w:spacing w:line="240" w:lineRule="auto"/>
              <w:jc w:val="center"/>
              <w:rPr>
                <w:noProof/>
              </w:rPr>
            </w:pPr>
            <w:r>
              <w:rPr>
                <w:noProof/>
              </w:rPr>
              <w:t>Stupanje na snagu izmijenjenog zakonodavstva o energetskim zajednicama</w:t>
            </w:r>
          </w:p>
          <w:p w14:paraId="01F40C0A" w14:textId="77777777" w:rsidR="00615E2D" w:rsidRDefault="00615E2D">
            <w:pPr>
              <w:spacing w:before="0" w:after="0" w:line="240" w:lineRule="auto"/>
              <w:rPr>
                <w:rFonts w:eastAsia="Times New Roman"/>
                <w:noProof/>
                <w:color w:val="006100"/>
                <w:sz w:val="18"/>
              </w:rPr>
            </w:pPr>
          </w:p>
        </w:tc>
        <w:tc>
          <w:tcPr>
            <w:tcW w:w="1799" w:type="dxa"/>
            <w:shd w:val="clear" w:color="auto" w:fill="C6EFCE"/>
            <w:vAlign w:val="center"/>
          </w:tcPr>
          <w:p w14:paraId="0A7E9794" w14:textId="6D7C4370" w:rsidR="00615E2D" w:rsidRDefault="00C83E46">
            <w:pPr>
              <w:pStyle w:val="P68B1DB1-Normal11"/>
              <w:spacing w:before="0" w:after="0" w:line="240" w:lineRule="auto"/>
              <w:rPr>
                <w:noProof/>
              </w:rPr>
            </w:pPr>
            <w:r>
              <w:rPr>
                <w:noProof/>
              </w:rPr>
              <w:t>Zakonska odredba o stupanju na snagu zakona</w:t>
            </w:r>
          </w:p>
        </w:tc>
        <w:tc>
          <w:tcPr>
            <w:tcW w:w="988" w:type="dxa"/>
            <w:shd w:val="clear" w:color="auto" w:fill="C6EFCE"/>
            <w:vAlign w:val="center"/>
          </w:tcPr>
          <w:p w14:paraId="3589C83C" w14:textId="53340C08" w:rsidR="00615E2D" w:rsidRDefault="00C83E46">
            <w:pPr>
              <w:pStyle w:val="P68B1DB1-Normal11"/>
              <w:spacing w:before="0" w:after="0" w:line="240" w:lineRule="auto"/>
              <w:rPr>
                <w:noProof/>
              </w:rPr>
            </w:pPr>
            <w:r>
              <w:rPr>
                <w:noProof/>
              </w:rPr>
              <w:t xml:space="preserve"> </w:t>
            </w:r>
          </w:p>
        </w:tc>
        <w:tc>
          <w:tcPr>
            <w:tcW w:w="988" w:type="dxa"/>
            <w:shd w:val="clear" w:color="auto" w:fill="C6EFCE"/>
            <w:vAlign w:val="center"/>
          </w:tcPr>
          <w:p w14:paraId="01D36A80" w14:textId="0EBE81ED" w:rsidR="00615E2D" w:rsidRDefault="00C83E46">
            <w:pPr>
              <w:pStyle w:val="P68B1DB1-Normal11"/>
              <w:spacing w:before="0" w:after="0" w:line="240" w:lineRule="auto"/>
              <w:jc w:val="center"/>
              <w:rPr>
                <w:noProof/>
              </w:rPr>
            </w:pPr>
            <w:r>
              <w:rPr>
                <w:noProof/>
              </w:rPr>
              <w:t xml:space="preserve"> </w:t>
            </w:r>
          </w:p>
        </w:tc>
        <w:tc>
          <w:tcPr>
            <w:tcW w:w="988" w:type="dxa"/>
            <w:shd w:val="clear" w:color="auto" w:fill="C6EFCE"/>
            <w:vAlign w:val="center"/>
          </w:tcPr>
          <w:p w14:paraId="26A96A59" w14:textId="3D8B0D9B" w:rsidR="00615E2D" w:rsidRDefault="00C83E46">
            <w:pPr>
              <w:pStyle w:val="P68B1DB1-Normal11"/>
              <w:spacing w:before="0" w:after="0" w:line="240" w:lineRule="auto"/>
              <w:jc w:val="center"/>
              <w:rPr>
                <w:noProof/>
              </w:rPr>
            </w:pPr>
            <w:r>
              <w:rPr>
                <w:noProof/>
              </w:rPr>
              <w:t xml:space="preserve"> </w:t>
            </w:r>
          </w:p>
        </w:tc>
        <w:tc>
          <w:tcPr>
            <w:tcW w:w="1077" w:type="dxa"/>
            <w:shd w:val="clear" w:color="auto" w:fill="C6EFCE"/>
            <w:vAlign w:val="center"/>
          </w:tcPr>
          <w:p w14:paraId="4C619480" w14:textId="1A95C91B" w:rsidR="00615E2D" w:rsidRDefault="00C83E46">
            <w:pPr>
              <w:pStyle w:val="P68B1DB1-Normal11"/>
              <w:spacing w:before="0" w:after="0" w:line="240" w:lineRule="auto"/>
              <w:jc w:val="center"/>
              <w:rPr>
                <w:noProof/>
              </w:rPr>
            </w:pPr>
            <w:r>
              <w:rPr>
                <w:noProof/>
              </w:rPr>
              <w:t>TROMJESEČJE</w:t>
            </w:r>
          </w:p>
        </w:tc>
        <w:tc>
          <w:tcPr>
            <w:tcW w:w="658" w:type="dxa"/>
            <w:shd w:val="clear" w:color="auto" w:fill="C6EFCE"/>
            <w:vAlign w:val="center"/>
          </w:tcPr>
          <w:p w14:paraId="568ADDDF" w14:textId="7F50C375" w:rsidR="00615E2D" w:rsidRDefault="00C83E46">
            <w:pPr>
              <w:pStyle w:val="P68B1DB1-Normal11"/>
              <w:spacing w:before="0" w:after="0" w:line="240" w:lineRule="auto"/>
              <w:jc w:val="center"/>
              <w:rPr>
                <w:noProof/>
              </w:rPr>
            </w:pPr>
            <w:r>
              <w:rPr>
                <w:noProof/>
              </w:rPr>
              <w:t>2024</w:t>
            </w:r>
          </w:p>
        </w:tc>
        <w:tc>
          <w:tcPr>
            <w:tcW w:w="4128" w:type="dxa"/>
            <w:shd w:val="clear" w:color="auto" w:fill="C6EFCE"/>
            <w:vAlign w:val="center"/>
          </w:tcPr>
          <w:p w14:paraId="5867579D" w14:textId="77777777" w:rsidR="00615E2D" w:rsidRDefault="00C83E46">
            <w:pPr>
              <w:pStyle w:val="P68B1DB1-Normal11"/>
              <w:spacing w:line="240" w:lineRule="auto"/>
              <w:jc w:val="both"/>
              <w:rPr>
                <w:noProof/>
              </w:rPr>
            </w:pPr>
            <w:r>
              <w:rPr>
                <w:noProof/>
              </w:rPr>
              <w:t xml:space="preserve">Stupanje na snagu zakonodavstva kojim se uspostavlja regulatorni okvir za građane i zajednice obnovljive energije. </w:t>
            </w:r>
          </w:p>
          <w:p w14:paraId="0F990279" w14:textId="77777777" w:rsidR="00615E2D" w:rsidRDefault="00C83E46">
            <w:pPr>
              <w:pStyle w:val="P68B1DB1-Normal11"/>
              <w:spacing w:line="240" w:lineRule="auto"/>
              <w:jc w:val="both"/>
              <w:rPr>
                <w:noProof/>
              </w:rPr>
            </w:pPr>
            <w:r>
              <w:rPr>
                <w:noProof/>
              </w:rPr>
              <w:t xml:space="preserve">Reformom se uvode poticaji za razvoj energetskih zajednica i potiče zajednička proizvodnja i potrošnja unutar okvira energetske zajednice. </w:t>
            </w:r>
          </w:p>
          <w:p w14:paraId="7C0086AA" w14:textId="77777777" w:rsidR="00615E2D" w:rsidRDefault="00C83E46">
            <w:pPr>
              <w:pStyle w:val="P68B1DB1-Normal11"/>
              <w:spacing w:line="240" w:lineRule="auto"/>
              <w:jc w:val="both"/>
              <w:rPr>
                <w:noProof/>
              </w:rPr>
            </w:pPr>
            <w:r>
              <w:rPr>
                <w:noProof/>
              </w:rPr>
              <w:t>Reformom se provodi načelo otvorenog sudjelovanja, ne smije se neopravdano ograničavati kolektivna vlastita potrošnja i proizvodnja ili uvoditi bilo kakva neopravdana ograničenja na temelju veličine ili zemljopisnog položaja. Zajednice obnovljive energije i energetske zajednice građana također mogu poslovati i u području grijanja iz obnovljivih izvora, ne samo na tržištu električne energije. Reformom se osigurava da svaki kupac koji sudjeluje u dijeljenju energije ima pravo na pametno brojilo.</w:t>
            </w:r>
          </w:p>
          <w:p w14:paraId="3B3B1621" w14:textId="77777777" w:rsidR="00615E2D" w:rsidRDefault="00C83E46">
            <w:pPr>
              <w:pStyle w:val="P68B1DB1-Normal11"/>
              <w:spacing w:line="240" w:lineRule="auto"/>
              <w:jc w:val="both"/>
              <w:rPr>
                <w:noProof/>
              </w:rPr>
            </w:pPr>
            <w:r>
              <w:rPr>
                <w:noProof/>
              </w:rPr>
              <w:t>Obnovljive i građanske energetske zajednice imaju pravo primati mjerne podatke o opskrbi električnom energijom, podatke o mjerenju uzimajući u obzir električnu energiju koja se dijeli unutar energetske zajednice i evaluirane podatke.</w:t>
            </w:r>
          </w:p>
          <w:p w14:paraId="286E9904" w14:textId="77777777" w:rsidR="00615E2D" w:rsidRDefault="00615E2D">
            <w:pPr>
              <w:spacing w:after="0" w:line="240" w:lineRule="auto"/>
              <w:rPr>
                <w:rFonts w:eastAsia="Times New Roman"/>
                <w:noProof/>
                <w:color w:val="006100"/>
                <w:sz w:val="18"/>
              </w:rPr>
            </w:pPr>
          </w:p>
        </w:tc>
      </w:tr>
      <w:tr w:rsidR="00615E2D" w14:paraId="20B08043" w14:textId="77777777">
        <w:trPr>
          <w:trHeight w:val="309"/>
          <w:jc w:val="center"/>
        </w:trPr>
        <w:tc>
          <w:tcPr>
            <w:tcW w:w="654" w:type="dxa"/>
            <w:shd w:val="clear" w:color="auto" w:fill="C6EFCE"/>
            <w:vAlign w:val="center"/>
          </w:tcPr>
          <w:p w14:paraId="37887B0D" w14:textId="650CF241" w:rsidR="00615E2D" w:rsidRDefault="00C83E46">
            <w:pPr>
              <w:pStyle w:val="P68B1DB1-Normal15"/>
              <w:spacing w:before="0" w:after="0" w:line="240" w:lineRule="auto"/>
              <w:jc w:val="center"/>
              <w:rPr>
                <w:noProof/>
              </w:rPr>
            </w:pPr>
            <w:r>
              <w:rPr>
                <w:noProof/>
              </w:rPr>
              <w:t>313</w:t>
            </w:r>
          </w:p>
        </w:tc>
        <w:tc>
          <w:tcPr>
            <w:tcW w:w="1625" w:type="dxa"/>
            <w:shd w:val="clear" w:color="auto" w:fill="C6EFCE"/>
            <w:vAlign w:val="center"/>
          </w:tcPr>
          <w:p w14:paraId="09E573C6" w14:textId="2E35562B" w:rsidR="00615E2D" w:rsidRDefault="00C83E46">
            <w:pPr>
              <w:pStyle w:val="P68B1DB1-Normal11"/>
              <w:spacing w:line="240" w:lineRule="auto"/>
              <w:rPr>
                <w:noProof/>
              </w:rPr>
            </w:pPr>
            <w:r>
              <w:rPr>
                <w:noProof/>
              </w:rPr>
              <w:t xml:space="preserve">Reforma 1.: Energetske zajednice. </w:t>
            </w:r>
          </w:p>
        </w:tc>
        <w:tc>
          <w:tcPr>
            <w:tcW w:w="1134" w:type="dxa"/>
            <w:shd w:val="clear" w:color="auto" w:fill="C6EFCE"/>
            <w:vAlign w:val="center"/>
          </w:tcPr>
          <w:p w14:paraId="4297226F" w14:textId="4F378291" w:rsidR="00615E2D" w:rsidRDefault="00C83E46">
            <w:pPr>
              <w:pStyle w:val="P68B1DB1-Normal11"/>
              <w:spacing w:before="0" w:after="0" w:line="240" w:lineRule="auto"/>
              <w:rPr>
                <w:noProof/>
              </w:rPr>
            </w:pPr>
            <w:r>
              <w:rPr>
                <w:noProof/>
              </w:rPr>
              <w:t>Prekretnica</w:t>
            </w:r>
          </w:p>
        </w:tc>
        <w:tc>
          <w:tcPr>
            <w:tcW w:w="1546" w:type="dxa"/>
            <w:shd w:val="clear" w:color="auto" w:fill="C6EFCE"/>
            <w:vAlign w:val="center"/>
          </w:tcPr>
          <w:p w14:paraId="3B10DC4F" w14:textId="1F98D170" w:rsidR="00615E2D" w:rsidRDefault="00C83E46">
            <w:pPr>
              <w:pStyle w:val="P68B1DB1-Normal11"/>
              <w:spacing w:line="240" w:lineRule="auto"/>
              <w:jc w:val="center"/>
              <w:rPr>
                <w:noProof/>
              </w:rPr>
            </w:pPr>
            <w:r>
              <w:rPr>
                <w:noProof/>
              </w:rPr>
              <w:t>Izvješće o napretku ulaganja u informatičku infrastrukturu</w:t>
            </w:r>
          </w:p>
        </w:tc>
        <w:tc>
          <w:tcPr>
            <w:tcW w:w="1799" w:type="dxa"/>
            <w:shd w:val="clear" w:color="auto" w:fill="C6EFCE"/>
            <w:vAlign w:val="center"/>
          </w:tcPr>
          <w:p w14:paraId="10E09054" w14:textId="44A78A95" w:rsidR="00615E2D" w:rsidRDefault="00C83E46">
            <w:pPr>
              <w:pStyle w:val="P68B1DB1-Normal11"/>
              <w:spacing w:before="0" w:after="0" w:line="240" w:lineRule="auto"/>
              <w:rPr>
                <w:noProof/>
              </w:rPr>
            </w:pPr>
            <w:r>
              <w:rPr>
                <w:noProof/>
              </w:rPr>
              <w:t>Objava izvješća</w:t>
            </w:r>
          </w:p>
        </w:tc>
        <w:tc>
          <w:tcPr>
            <w:tcW w:w="988" w:type="dxa"/>
            <w:shd w:val="clear" w:color="auto" w:fill="C6EFCE"/>
            <w:vAlign w:val="center"/>
          </w:tcPr>
          <w:p w14:paraId="120DA0E3"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2FE1EB0C" w14:textId="77777777"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09030940" w14:textId="77777777" w:rsidR="00615E2D" w:rsidRDefault="00615E2D">
            <w:pPr>
              <w:spacing w:before="0" w:after="0" w:line="240" w:lineRule="auto"/>
              <w:jc w:val="center"/>
              <w:rPr>
                <w:rFonts w:eastAsia="Times New Roman"/>
                <w:noProof/>
                <w:color w:val="006100"/>
                <w:sz w:val="18"/>
              </w:rPr>
            </w:pPr>
          </w:p>
        </w:tc>
        <w:tc>
          <w:tcPr>
            <w:tcW w:w="1077" w:type="dxa"/>
            <w:shd w:val="clear" w:color="auto" w:fill="C6EFCE"/>
            <w:vAlign w:val="center"/>
          </w:tcPr>
          <w:p w14:paraId="54868037" w14:textId="6A7C4840" w:rsidR="00615E2D" w:rsidRDefault="00C83E46">
            <w:pPr>
              <w:pStyle w:val="P68B1DB1-Normal11"/>
              <w:spacing w:before="0" w:after="0" w:line="240" w:lineRule="auto"/>
              <w:jc w:val="center"/>
              <w:rPr>
                <w:noProof/>
              </w:rPr>
            </w:pPr>
            <w:r>
              <w:rPr>
                <w:noProof/>
              </w:rPr>
              <w:t>TROMJESEČJE</w:t>
            </w:r>
          </w:p>
        </w:tc>
        <w:tc>
          <w:tcPr>
            <w:tcW w:w="658" w:type="dxa"/>
            <w:shd w:val="clear" w:color="auto" w:fill="C6EFCE"/>
            <w:vAlign w:val="center"/>
          </w:tcPr>
          <w:p w14:paraId="46F19F03" w14:textId="3CEC9C16" w:rsidR="00615E2D" w:rsidRDefault="00C83E46">
            <w:pPr>
              <w:pStyle w:val="P68B1DB1-Normal11"/>
              <w:spacing w:before="0" w:after="0" w:line="240" w:lineRule="auto"/>
              <w:jc w:val="center"/>
              <w:rPr>
                <w:noProof/>
              </w:rPr>
            </w:pPr>
            <w:r>
              <w:rPr>
                <w:noProof/>
              </w:rPr>
              <w:t>2025</w:t>
            </w:r>
          </w:p>
        </w:tc>
        <w:tc>
          <w:tcPr>
            <w:tcW w:w="4128" w:type="dxa"/>
            <w:shd w:val="clear" w:color="auto" w:fill="C6EFCE"/>
            <w:vAlign w:val="center"/>
          </w:tcPr>
          <w:p w14:paraId="5C2CD3DA" w14:textId="77777777" w:rsidR="00615E2D" w:rsidRDefault="00C83E46">
            <w:pPr>
              <w:pStyle w:val="P68B1DB1-Normal11"/>
              <w:spacing w:line="240" w:lineRule="auto"/>
              <w:jc w:val="both"/>
              <w:rPr>
                <w:noProof/>
              </w:rPr>
            </w:pPr>
            <w:r>
              <w:rPr>
                <w:noProof/>
              </w:rPr>
              <w:t>Izvješće o procjeni ulaganja koja su operatori distribucijskih sustava ostvarili u sustave mjerenja i obračuna, IT infrastrukturu te nedostatke i buduće potrebe za ulaganjima u cilju osiguravanja dijeljenja energije u cijeloj zoni trgovanja objavljuje neovisna treća strana.</w:t>
            </w:r>
          </w:p>
          <w:p w14:paraId="3E6E188C" w14:textId="77777777" w:rsidR="00615E2D" w:rsidRDefault="00615E2D">
            <w:pPr>
              <w:spacing w:line="240" w:lineRule="auto"/>
              <w:jc w:val="both"/>
              <w:rPr>
                <w:rFonts w:eastAsia="Times New Roman"/>
                <w:noProof/>
                <w:color w:val="006100"/>
                <w:sz w:val="18"/>
              </w:rPr>
            </w:pPr>
          </w:p>
        </w:tc>
      </w:tr>
      <w:tr w:rsidR="00615E2D" w14:paraId="3F82BA11" w14:textId="77777777">
        <w:trPr>
          <w:trHeight w:val="309"/>
          <w:jc w:val="center"/>
        </w:trPr>
        <w:tc>
          <w:tcPr>
            <w:tcW w:w="654" w:type="dxa"/>
            <w:shd w:val="clear" w:color="auto" w:fill="C6EFCE"/>
            <w:vAlign w:val="center"/>
          </w:tcPr>
          <w:p w14:paraId="307E1DA0" w14:textId="32C231EC" w:rsidR="00615E2D" w:rsidRDefault="00C83E46">
            <w:pPr>
              <w:pStyle w:val="P68B1DB1-Normal15"/>
              <w:spacing w:before="0" w:after="0" w:line="240" w:lineRule="auto"/>
              <w:jc w:val="center"/>
              <w:rPr>
                <w:noProof/>
              </w:rPr>
            </w:pPr>
            <w:r>
              <w:rPr>
                <w:noProof/>
              </w:rPr>
              <w:t>314</w:t>
            </w:r>
          </w:p>
        </w:tc>
        <w:tc>
          <w:tcPr>
            <w:tcW w:w="1625" w:type="dxa"/>
            <w:shd w:val="clear" w:color="auto" w:fill="C6EFCE"/>
            <w:vAlign w:val="center"/>
          </w:tcPr>
          <w:p w14:paraId="71434EE0" w14:textId="1528E3F0" w:rsidR="00615E2D" w:rsidRDefault="00C83E46">
            <w:pPr>
              <w:pStyle w:val="P68B1DB1-Normal11"/>
              <w:spacing w:line="240" w:lineRule="auto"/>
              <w:rPr>
                <w:noProof/>
              </w:rPr>
            </w:pPr>
            <w:r>
              <w:rPr>
                <w:noProof/>
              </w:rPr>
              <w:t>Reforma 1.: Energetske zajednice.</w:t>
            </w:r>
          </w:p>
        </w:tc>
        <w:tc>
          <w:tcPr>
            <w:tcW w:w="1134" w:type="dxa"/>
            <w:shd w:val="clear" w:color="auto" w:fill="C6EFCE"/>
            <w:vAlign w:val="center"/>
          </w:tcPr>
          <w:p w14:paraId="5CBD25C8" w14:textId="77777777" w:rsidR="00615E2D" w:rsidRDefault="00615E2D">
            <w:pPr>
              <w:spacing w:line="240" w:lineRule="auto"/>
              <w:rPr>
                <w:rFonts w:eastAsia="Times New Roman"/>
                <w:noProof/>
                <w:color w:val="006100"/>
                <w:sz w:val="18"/>
              </w:rPr>
            </w:pPr>
          </w:p>
          <w:p w14:paraId="3E35D9B7" w14:textId="5F5F6151" w:rsidR="00615E2D" w:rsidRDefault="00C83E46">
            <w:pPr>
              <w:pStyle w:val="P68B1DB1-Normal11"/>
              <w:spacing w:before="0" w:after="0" w:line="240" w:lineRule="auto"/>
              <w:rPr>
                <w:noProof/>
              </w:rPr>
            </w:pPr>
            <w:r>
              <w:rPr>
                <w:noProof/>
              </w:rPr>
              <w:t>Prekretnica</w:t>
            </w:r>
          </w:p>
        </w:tc>
        <w:tc>
          <w:tcPr>
            <w:tcW w:w="1546" w:type="dxa"/>
            <w:shd w:val="clear" w:color="auto" w:fill="C6EFCE"/>
            <w:vAlign w:val="center"/>
          </w:tcPr>
          <w:p w14:paraId="69253D56" w14:textId="77777777" w:rsidR="00615E2D" w:rsidRDefault="00615E2D">
            <w:pPr>
              <w:spacing w:line="240" w:lineRule="auto"/>
              <w:rPr>
                <w:rFonts w:eastAsia="Times New Roman"/>
                <w:noProof/>
                <w:color w:val="006100"/>
                <w:sz w:val="18"/>
              </w:rPr>
            </w:pPr>
          </w:p>
          <w:p w14:paraId="54AEEF12" w14:textId="77777777" w:rsidR="00615E2D" w:rsidRDefault="00C83E46">
            <w:pPr>
              <w:pStyle w:val="P68B1DB1-Normal11"/>
              <w:spacing w:line="240" w:lineRule="auto"/>
              <w:rPr>
                <w:noProof/>
              </w:rPr>
            </w:pPr>
            <w:r>
              <w:rPr>
                <w:noProof/>
              </w:rPr>
              <w:t>Smjernice o energetskim zajednicama</w:t>
            </w:r>
          </w:p>
          <w:p w14:paraId="561675C8" w14:textId="77777777" w:rsidR="00615E2D" w:rsidRDefault="00615E2D">
            <w:pPr>
              <w:spacing w:line="240" w:lineRule="auto"/>
              <w:rPr>
                <w:rFonts w:eastAsia="Times New Roman"/>
                <w:noProof/>
                <w:color w:val="006100"/>
                <w:sz w:val="18"/>
              </w:rPr>
            </w:pPr>
          </w:p>
          <w:p w14:paraId="32EE2284" w14:textId="77777777" w:rsidR="00615E2D" w:rsidRDefault="00615E2D">
            <w:pPr>
              <w:spacing w:line="240" w:lineRule="auto"/>
              <w:jc w:val="center"/>
              <w:rPr>
                <w:rFonts w:eastAsia="Times New Roman"/>
                <w:noProof/>
                <w:color w:val="006100"/>
                <w:sz w:val="18"/>
              </w:rPr>
            </w:pPr>
          </w:p>
        </w:tc>
        <w:tc>
          <w:tcPr>
            <w:tcW w:w="1799" w:type="dxa"/>
            <w:shd w:val="clear" w:color="auto" w:fill="C6EFCE"/>
            <w:vAlign w:val="center"/>
          </w:tcPr>
          <w:p w14:paraId="36B1573E" w14:textId="77777777" w:rsidR="00615E2D" w:rsidRDefault="00C83E46">
            <w:pPr>
              <w:pStyle w:val="P68B1DB1-Normal11"/>
              <w:spacing w:line="240" w:lineRule="auto"/>
              <w:rPr>
                <w:noProof/>
              </w:rPr>
            </w:pPr>
            <w:r>
              <w:rPr>
                <w:noProof/>
              </w:rPr>
              <w:t>Objava baze podataka predložaka pravnih dokumenata za osnivanje energetskih zajednica na internetskim stranicama Ministarstva okoliša i Ministarstva industrije</w:t>
            </w:r>
          </w:p>
          <w:p w14:paraId="74AEDE0B"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73893FC2"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735FE7BD" w14:textId="77777777"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414A3E03" w14:textId="77777777" w:rsidR="00615E2D" w:rsidRDefault="00615E2D">
            <w:pPr>
              <w:spacing w:before="0" w:after="0" w:line="240" w:lineRule="auto"/>
              <w:jc w:val="center"/>
              <w:rPr>
                <w:rFonts w:eastAsia="Times New Roman"/>
                <w:noProof/>
                <w:color w:val="006100"/>
                <w:sz w:val="18"/>
              </w:rPr>
            </w:pPr>
          </w:p>
        </w:tc>
        <w:tc>
          <w:tcPr>
            <w:tcW w:w="1077" w:type="dxa"/>
            <w:shd w:val="clear" w:color="auto" w:fill="C6EFCE"/>
            <w:vAlign w:val="center"/>
          </w:tcPr>
          <w:p w14:paraId="5839D8C6" w14:textId="4C6CBA58" w:rsidR="00615E2D" w:rsidRDefault="00C83E46">
            <w:pPr>
              <w:pStyle w:val="P68B1DB1-Normal11"/>
              <w:spacing w:before="0" w:after="0" w:line="240" w:lineRule="auto"/>
              <w:jc w:val="center"/>
              <w:rPr>
                <w:noProof/>
              </w:rPr>
            </w:pPr>
            <w:r>
              <w:rPr>
                <w:noProof/>
              </w:rPr>
              <w:t>TROMJESEČJE</w:t>
            </w:r>
          </w:p>
        </w:tc>
        <w:tc>
          <w:tcPr>
            <w:tcW w:w="658" w:type="dxa"/>
            <w:shd w:val="clear" w:color="auto" w:fill="C6EFCE"/>
            <w:vAlign w:val="center"/>
          </w:tcPr>
          <w:p w14:paraId="3E3DFC0C" w14:textId="02358D20" w:rsidR="00615E2D" w:rsidRDefault="00C83E46">
            <w:pPr>
              <w:pStyle w:val="P68B1DB1-Normal11"/>
              <w:spacing w:before="0" w:after="0" w:line="240" w:lineRule="auto"/>
              <w:jc w:val="center"/>
              <w:rPr>
                <w:noProof/>
              </w:rPr>
            </w:pPr>
            <w:r>
              <w:rPr>
                <w:noProof/>
              </w:rPr>
              <w:t>2026</w:t>
            </w:r>
          </w:p>
        </w:tc>
        <w:tc>
          <w:tcPr>
            <w:tcW w:w="4128" w:type="dxa"/>
            <w:shd w:val="clear" w:color="auto" w:fill="C6EFCE"/>
            <w:vAlign w:val="center"/>
          </w:tcPr>
          <w:p w14:paraId="5B73BF38" w14:textId="5CC01B11" w:rsidR="00615E2D" w:rsidRDefault="00C83E46">
            <w:pPr>
              <w:pStyle w:val="P68B1DB1-Normal11"/>
              <w:spacing w:line="240" w:lineRule="auto"/>
              <w:rPr>
                <w:noProof/>
              </w:rPr>
            </w:pPr>
            <w:r>
              <w:rPr>
                <w:noProof/>
              </w:rPr>
              <w:t xml:space="preserve">Smjernice i predlošci dokumenata za pravnu uspostavu energetskih zajednica (uključujući studije tehničke i ekonomske izvedivosti, ugovore i pravne dokumente koji se odnose na uspostavu energetskih zajednica, ugovorne odnose energetskih zajednica i njihovih članova objavljuju se kako bi se usmjerila javnost i olakšalo stvaranje energetskih zajednica. </w:t>
            </w:r>
          </w:p>
          <w:p w14:paraId="6AFB2336" w14:textId="77777777" w:rsidR="00615E2D" w:rsidRDefault="00615E2D">
            <w:pPr>
              <w:spacing w:line="240" w:lineRule="auto"/>
              <w:jc w:val="both"/>
              <w:rPr>
                <w:rFonts w:eastAsia="Times New Roman"/>
                <w:noProof/>
                <w:color w:val="006100"/>
                <w:sz w:val="18"/>
              </w:rPr>
            </w:pPr>
          </w:p>
        </w:tc>
      </w:tr>
      <w:tr w:rsidR="00615E2D" w14:paraId="04290724" w14:textId="77777777">
        <w:trPr>
          <w:trHeight w:val="309"/>
          <w:jc w:val="center"/>
        </w:trPr>
        <w:tc>
          <w:tcPr>
            <w:tcW w:w="654" w:type="dxa"/>
            <w:shd w:val="clear" w:color="auto" w:fill="C6EFCE"/>
            <w:vAlign w:val="center"/>
          </w:tcPr>
          <w:p w14:paraId="395C249E" w14:textId="0E2ADA31" w:rsidR="00615E2D" w:rsidRDefault="00C83E46">
            <w:pPr>
              <w:pStyle w:val="P68B1DB1-Normal15"/>
              <w:spacing w:before="0" w:after="0" w:line="240" w:lineRule="auto"/>
              <w:jc w:val="center"/>
              <w:rPr>
                <w:noProof/>
              </w:rPr>
            </w:pPr>
            <w:r>
              <w:rPr>
                <w:noProof/>
              </w:rPr>
              <w:t>315</w:t>
            </w:r>
          </w:p>
        </w:tc>
        <w:tc>
          <w:tcPr>
            <w:tcW w:w="1625" w:type="dxa"/>
            <w:shd w:val="clear" w:color="auto" w:fill="C6EFCE"/>
            <w:vAlign w:val="center"/>
          </w:tcPr>
          <w:p w14:paraId="700CDB16" w14:textId="77777777" w:rsidR="00615E2D" w:rsidRDefault="00C83E46">
            <w:pPr>
              <w:pStyle w:val="P68B1DB1-Normal11"/>
              <w:spacing w:line="240" w:lineRule="auto"/>
              <w:rPr>
                <w:noProof/>
              </w:rPr>
            </w:pPr>
            <w:r>
              <w:rPr>
                <w:noProof/>
              </w:rPr>
              <w:t xml:space="preserve">Reforma br. 2: </w:t>
            </w:r>
          </w:p>
          <w:p w14:paraId="383DD13B" w14:textId="77777777" w:rsidR="00615E2D" w:rsidRDefault="00C83E46">
            <w:pPr>
              <w:pStyle w:val="P68B1DB1-Normal11"/>
              <w:spacing w:line="240" w:lineRule="auto"/>
              <w:rPr>
                <w:noProof/>
              </w:rPr>
            </w:pPr>
            <w:r>
              <w:rPr>
                <w:noProof/>
              </w:rPr>
              <w:t>Okvir za skladištenje energije i nefosilnu fleksibilnost</w:t>
            </w:r>
          </w:p>
          <w:p w14:paraId="1EF59000" w14:textId="36909030" w:rsidR="00615E2D" w:rsidRDefault="00C83E46">
            <w:pPr>
              <w:pStyle w:val="P68B1DB1-Normal11"/>
              <w:spacing w:line="240" w:lineRule="auto"/>
              <w:rPr>
                <w:noProof/>
              </w:rPr>
            </w:pPr>
            <w:r>
              <w:rPr>
                <w:noProof/>
              </w:rPr>
              <w:t xml:space="preserve"> </w:t>
            </w:r>
          </w:p>
        </w:tc>
        <w:tc>
          <w:tcPr>
            <w:tcW w:w="1134" w:type="dxa"/>
            <w:shd w:val="clear" w:color="auto" w:fill="C6EFCE"/>
            <w:vAlign w:val="center"/>
          </w:tcPr>
          <w:p w14:paraId="4DA2183B" w14:textId="62F84D6A" w:rsidR="00615E2D" w:rsidRDefault="00C83E46">
            <w:pPr>
              <w:pStyle w:val="P68B1DB1-Normal11"/>
              <w:spacing w:line="240" w:lineRule="auto"/>
              <w:rPr>
                <w:noProof/>
              </w:rPr>
            </w:pPr>
            <w:r>
              <w:rPr>
                <w:noProof/>
              </w:rPr>
              <w:t>Prekretnica</w:t>
            </w:r>
          </w:p>
        </w:tc>
        <w:tc>
          <w:tcPr>
            <w:tcW w:w="1546" w:type="dxa"/>
            <w:shd w:val="clear" w:color="auto" w:fill="C6EFCE"/>
            <w:vAlign w:val="center"/>
          </w:tcPr>
          <w:p w14:paraId="5E886D2B" w14:textId="6ABEBC63" w:rsidR="00615E2D" w:rsidRDefault="00C83E46">
            <w:pPr>
              <w:pStyle w:val="P68B1DB1-Normal11"/>
              <w:spacing w:line="240" w:lineRule="auto"/>
              <w:rPr>
                <w:noProof/>
              </w:rPr>
            </w:pPr>
            <w:r>
              <w:rPr>
                <w:noProof/>
              </w:rPr>
              <w:t>Izvješće o potrebi za nefosilnom fleksibilnošću</w:t>
            </w:r>
          </w:p>
        </w:tc>
        <w:tc>
          <w:tcPr>
            <w:tcW w:w="1799" w:type="dxa"/>
            <w:shd w:val="clear" w:color="auto" w:fill="C6EFCE"/>
            <w:vAlign w:val="center"/>
          </w:tcPr>
          <w:p w14:paraId="32D0ED61" w14:textId="324E1CD9" w:rsidR="00615E2D" w:rsidRDefault="00C83E46">
            <w:pPr>
              <w:pStyle w:val="P68B1DB1-Normal11"/>
              <w:spacing w:line="240" w:lineRule="auto"/>
              <w:rPr>
                <w:noProof/>
              </w:rPr>
            </w:pPr>
            <w:r>
              <w:rPr>
                <w:noProof/>
              </w:rPr>
              <w:t>Objava izvješća na internetskim stranicama Ministarstva industrije</w:t>
            </w:r>
          </w:p>
        </w:tc>
        <w:tc>
          <w:tcPr>
            <w:tcW w:w="988" w:type="dxa"/>
            <w:shd w:val="clear" w:color="auto" w:fill="C6EFCE"/>
            <w:vAlign w:val="center"/>
          </w:tcPr>
          <w:p w14:paraId="142F6527"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79484482" w14:textId="77777777"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64792A08" w14:textId="77777777" w:rsidR="00615E2D" w:rsidRDefault="00615E2D">
            <w:pPr>
              <w:spacing w:before="0" w:after="0" w:line="240" w:lineRule="auto"/>
              <w:jc w:val="center"/>
              <w:rPr>
                <w:rFonts w:eastAsia="Times New Roman"/>
                <w:noProof/>
                <w:color w:val="006100"/>
                <w:sz w:val="18"/>
              </w:rPr>
            </w:pPr>
          </w:p>
        </w:tc>
        <w:tc>
          <w:tcPr>
            <w:tcW w:w="1077" w:type="dxa"/>
            <w:shd w:val="clear" w:color="auto" w:fill="C6EFCE"/>
            <w:vAlign w:val="center"/>
          </w:tcPr>
          <w:p w14:paraId="174E6A06" w14:textId="79B58679" w:rsidR="00615E2D" w:rsidRDefault="00C83E46">
            <w:pPr>
              <w:pStyle w:val="P68B1DB1-Normal11"/>
              <w:spacing w:line="240" w:lineRule="auto"/>
              <w:rPr>
                <w:noProof/>
              </w:rPr>
            </w:pPr>
            <w:r>
              <w:rPr>
                <w:noProof/>
              </w:rPr>
              <w:t>TROMJESEČJE</w:t>
            </w:r>
          </w:p>
        </w:tc>
        <w:tc>
          <w:tcPr>
            <w:tcW w:w="658" w:type="dxa"/>
            <w:shd w:val="clear" w:color="auto" w:fill="C6EFCE"/>
            <w:vAlign w:val="center"/>
          </w:tcPr>
          <w:p w14:paraId="364617FC" w14:textId="43F4C166" w:rsidR="00615E2D" w:rsidRDefault="00C83E46">
            <w:pPr>
              <w:pStyle w:val="P68B1DB1-Normal11"/>
              <w:spacing w:line="240" w:lineRule="auto"/>
              <w:rPr>
                <w:noProof/>
              </w:rPr>
            </w:pPr>
            <w:r>
              <w:rPr>
                <w:noProof/>
              </w:rPr>
              <w:t>2024</w:t>
            </w:r>
          </w:p>
        </w:tc>
        <w:tc>
          <w:tcPr>
            <w:tcW w:w="4128" w:type="dxa"/>
            <w:shd w:val="clear" w:color="auto" w:fill="C6EFCE"/>
            <w:vAlign w:val="center"/>
          </w:tcPr>
          <w:p w14:paraId="1FAC4032" w14:textId="79DD6900" w:rsidR="00615E2D" w:rsidRDefault="00C83E46">
            <w:pPr>
              <w:pStyle w:val="P68B1DB1-Normal11"/>
              <w:spacing w:line="240" w:lineRule="auto"/>
              <w:rPr>
                <w:noProof/>
              </w:rPr>
            </w:pPr>
            <w:r>
              <w:rPr>
                <w:noProof/>
              </w:rPr>
              <w:t>Objavljivanje izvješća usmjerenog na budućnost o procjeni potrebe za fleksibilnošću sustava i njegovu potencijalu, koje obuhvaća petogodišnje razdoblje. U izvješću se ocjenjuju i utvrđuju prepreke za nefosilnu fleksibilnost na tržištu i predlažu relevantne mjere ublažavanja. U izvješću se utvrđuju i relevantni financijski instrumenti i izvori za potporu prihvaćanju nefosilne fleksibilnosti iz javnih ili privatnih izvora.</w:t>
            </w:r>
          </w:p>
          <w:p w14:paraId="3A12F40A" w14:textId="2E278559" w:rsidR="00615E2D" w:rsidRDefault="00C83E46">
            <w:pPr>
              <w:pStyle w:val="P68B1DB1-Normal11"/>
              <w:spacing w:line="240" w:lineRule="auto"/>
              <w:rPr>
                <w:noProof/>
              </w:rPr>
            </w:pPr>
            <w:r>
              <w:rPr>
                <w:noProof/>
              </w:rPr>
              <w:t>Izvješće sastavlja neovisna treća strana.</w:t>
            </w:r>
          </w:p>
        </w:tc>
      </w:tr>
      <w:tr w:rsidR="00615E2D" w14:paraId="769110CB" w14:textId="77777777">
        <w:trPr>
          <w:trHeight w:val="309"/>
          <w:jc w:val="center"/>
        </w:trPr>
        <w:tc>
          <w:tcPr>
            <w:tcW w:w="654" w:type="dxa"/>
            <w:shd w:val="clear" w:color="auto" w:fill="C6EFCE"/>
            <w:vAlign w:val="center"/>
          </w:tcPr>
          <w:p w14:paraId="4FF639C2" w14:textId="16AD0926" w:rsidR="00615E2D" w:rsidRDefault="00C83E46">
            <w:pPr>
              <w:pStyle w:val="P68B1DB1-Normal15"/>
              <w:spacing w:before="0" w:after="0" w:line="240" w:lineRule="auto"/>
              <w:jc w:val="center"/>
              <w:rPr>
                <w:noProof/>
              </w:rPr>
            </w:pPr>
            <w:r>
              <w:rPr>
                <w:noProof/>
              </w:rPr>
              <w:t>316</w:t>
            </w:r>
          </w:p>
        </w:tc>
        <w:tc>
          <w:tcPr>
            <w:tcW w:w="1625" w:type="dxa"/>
            <w:shd w:val="clear" w:color="auto" w:fill="C6EFCE"/>
            <w:vAlign w:val="center"/>
          </w:tcPr>
          <w:p w14:paraId="363E3535" w14:textId="77777777" w:rsidR="00615E2D" w:rsidRDefault="00C83E46">
            <w:pPr>
              <w:pStyle w:val="P68B1DB1-Normal11"/>
              <w:spacing w:line="240" w:lineRule="auto"/>
              <w:rPr>
                <w:noProof/>
              </w:rPr>
            </w:pPr>
            <w:r>
              <w:rPr>
                <w:noProof/>
              </w:rPr>
              <w:t xml:space="preserve">Reforma br. 2: </w:t>
            </w:r>
          </w:p>
          <w:p w14:paraId="0B8BF6AB" w14:textId="77777777" w:rsidR="00615E2D" w:rsidRDefault="00C83E46">
            <w:pPr>
              <w:pStyle w:val="P68B1DB1-Normal11"/>
              <w:spacing w:line="240" w:lineRule="auto"/>
              <w:rPr>
                <w:noProof/>
              </w:rPr>
            </w:pPr>
            <w:r>
              <w:rPr>
                <w:noProof/>
              </w:rPr>
              <w:t>Okvir za skladištenje energije i nefosilnu fleksibilnost</w:t>
            </w:r>
          </w:p>
          <w:p w14:paraId="3412AA4F" w14:textId="1382AB61" w:rsidR="00615E2D" w:rsidRDefault="00C83E46">
            <w:pPr>
              <w:pStyle w:val="P68B1DB1-Normal11"/>
              <w:spacing w:line="240" w:lineRule="auto"/>
              <w:rPr>
                <w:noProof/>
              </w:rPr>
            </w:pPr>
            <w:r>
              <w:rPr>
                <w:noProof/>
              </w:rPr>
              <w:t xml:space="preserve"> </w:t>
            </w:r>
          </w:p>
        </w:tc>
        <w:tc>
          <w:tcPr>
            <w:tcW w:w="1134" w:type="dxa"/>
            <w:shd w:val="clear" w:color="auto" w:fill="C6EFCE"/>
            <w:vAlign w:val="center"/>
          </w:tcPr>
          <w:p w14:paraId="4B1C6294" w14:textId="16F576FE" w:rsidR="00615E2D" w:rsidRDefault="00C83E46">
            <w:pPr>
              <w:pStyle w:val="P68B1DB1-Normal11"/>
              <w:spacing w:line="240" w:lineRule="auto"/>
              <w:rPr>
                <w:noProof/>
              </w:rPr>
            </w:pPr>
            <w:r>
              <w:rPr>
                <w:noProof/>
              </w:rPr>
              <w:t>Prekretnica</w:t>
            </w:r>
          </w:p>
        </w:tc>
        <w:tc>
          <w:tcPr>
            <w:tcW w:w="1546" w:type="dxa"/>
            <w:shd w:val="clear" w:color="auto" w:fill="C6EFCE"/>
            <w:vAlign w:val="center"/>
          </w:tcPr>
          <w:p w14:paraId="1AFEA55B" w14:textId="61E29E13" w:rsidR="00615E2D" w:rsidRDefault="00C83E46">
            <w:pPr>
              <w:pStyle w:val="P68B1DB1-Normal11"/>
              <w:spacing w:line="240" w:lineRule="auto"/>
              <w:rPr>
                <w:noProof/>
              </w:rPr>
            </w:pPr>
            <w:r>
              <w:rPr>
                <w:noProof/>
              </w:rPr>
              <w:t>Stupanje na snagu zakonodavnih izmjena</w:t>
            </w:r>
          </w:p>
        </w:tc>
        <w:tc>
          <w:tcPr>
            <w:tcW w:w="1799" w:type="dxa"/>
            <w:shd w:val="clear" w:color="auto" w:fill="C6EFCE"/>
            <w:vAlign w:val="center"/>
          </w:tcPr>
          <w:p w14:paraId="361A4284" w14:textId="4DD73AC2" w:rsidR="00615E2D" w:rsidRDefault="00C83E46">
            <w:pPr>
              <w:pStyle w:val="P68B1DB1-Normal11"/>
              <w:spacing w:line="240" w:lineRule="auto"/>
              <w:rPr>
                <w:noProof/>
              </w:rPr>
            </w:pPr>
            <w:r>
              <w:rPr>
                <w:noProof/>
              </w:rPr>
              <w:t xml:space="preserve">Zakonska odredba o stupanju na snagu </w:t>
            </w:r>
          </w:p>
        </w:tc>
        <w:tc>
          <w:tcPr>
            <w:tcW w:w="988" w:type="dxa"/>
            <w:shd w:val="clear" w:color="auto" w:fill="C6EFCE"/>
            <w:vAlign w:val="center"/>
          </w:tcPr>
          <w:p w14:paraId="28768D1C" w14:textId="54F607FB" w:rsidR="00615E2D" w:rsidRDefault="00C83E46">
            <w:pPr>
              <w:pStyle w:val="P68B1DB1-Normal11"/>
              <w:spacing w:before="0" w:after="0" w:line="240" w:lineRule="auto"/>
              <w:rPr>
                <w:noProof/>
              </w:rPr>
            </w:pPr>
            <w:r>
              <w:rPr>
                <w:noProof/>
              </w:rPr>
              <w:t xml:space="preserve"> </w:t>
            </w:r>
          </w:p>
        </w:tc>
        <w:tc>
          <w:tcPr>
            <w:tcW w:w="988" w:type="dxa"/>
            <w:shd w:val="clear" w:color="auto" w:fill="C6EFCE"/>
            <w:vAlign w:val="center"/>
          </w:tcPr>
          <w:p w14:paraId="671025C4" w14:textId="7D9D0A69" w:rsidR="00615E2D" w:rsidRDefault="00C83E46">
            <w:pPr>
              <w:pStyle w:val="P68B1DB1-Normal11"/>
              <w:spacing w:before="0" w:after="0" w:line="240" w:lineRule="auto"/>
              <w:jc w:val="center"/>
              <w:rPr>
                <w:noProof/>
              </w:rPr>
            </w:pPr>
            <w:r>
              <w:rPr>
                <w:noProof/>
              </w:rPr>
              <w:t xml:space="preserve"> </w:t>
            </w:r>
          </w:p>
        </w:tc>
        <w:tc>
          <w:tcPr>
            <w:tcW w:w="988" w:type="dxa"/>
            <w:shd w:val="clear" w:color="auto" w:fill="C6EFCE"/>
            <w:vAlign w:val="center"/>
          </w:tcPr>
          <w:p w14:paraId="7185ABB0" w14:textId="0CA5635F" w:rsidR="00615E2D" w:rsidRDefault="00C83E46">
            <w:pPr>
              <w:pStyle w:val="P68B1DB1-Normal11"/>
              <w:spacing w:before="0" w:after="0" w:line="240" w:lineRule="auto"/>
              <w:jc w:val="center"/>
              <w:rPr>
                <w:noProof/>
              </w:rPr>
            </w:pPr>
            <w:r>
              <w:rPr>
                <w:noProof/>
              </w:rPr>
              <w:t xml:space="preserve"> </w:t>
            </w:r>
          </w:p>
        </w:tc>
        <w:tc>
          <w:tcPr>
            <w:tcW w:w="1077" w:type="dxa"/>
            <w:shd w:val="clear" w:color="auto" w:fill="C6EFCE"/>
            <w:vAlign w:val="center"/>
          </w:tcPr>
          <w:p w14:paraId="301876D3" w14:textId="6D0C59F4" w:rsidR="00615E2D" w:rsidRDefault="00C83E46">
            <w:pPr>
              <w:pStyle w:val="P68B1DB1-Normal11"/>
              <w:spacing w:line="240" w:lineRule="auto"/>
              <w:rPr>
                <w:noProof/>
              </w:rPr>
            </w:pPr>
            <w:r>
              <w:rPr>
                <w:noProof/>
              </w:rPr>
              <w:t xml:space="preserve"> ČETVRTO TROMJESEČJE</w:t>
            </w:r>
          </w:p>
        </w:tc>
        <w:tc>
          <w:tcPr>
            <w:tcW w:w="658" w:type="dxa"/>
            <w:shd w:val="clear" w:color="auto" w:fill="C6EFCE"/>
            <w:vAlign w:val="center"/>
          </w:tcPr>
          <w:p w14:paraId="3593481B" w14:textId="0DE3D0DE" w:rsidR="00615E2D" w:rsidRDefault="00C83E46">
            <w:pPr>
              <w:pStyle w:val="P68B1DB1-Normal11"/>
              <w:spacing w:line="240" w:lineRule="auto"/>
              <w:rPr>
                <w:noProof/>
              </w:rPr>
            </w:pPr>
            <w:r>
              <w:rPr>
                <w:noProof/>
              </w:rPr>
              <w:t xml:space="preserve"> 2024</w:t>
            </w:r>
          </w:p>
        </w:tc>
        <w:tc>
          <w:tcPr>
            <w:tcW w:w="4128" w:type="dxa"/>
            <w:shd w:val="clear" w:color="auto" w:fill="C6EFCE"/>
            <w:vAlign w:val="center"/>
          </w:tcPr>
          <w:p w14:paraId="3D40DADF" w14:textId="77777777" w:rsidR="00615E2D" w:rsidRDefault="00C83E46">
            <w:pPr>
              <w:pStyle w:val="P68B1DB1-Normal11"/>
              <w:spacing w:line="240" w:lineRule="auto"/>
              <w:rPr>
                <w:noProof/>
              </w:rPr>
            </w:pPr>
            <w:r>
              <w:rPr>
                <w:noProof/>
              </w:rPr>
              <w:t>Stupanje na snagu zakonodavstva kojim se uspostavlja regulatorni okvir za skladištenje energije, agregiranje, aktivne kupce, sudjelovanje sudionika u upravljanju industrijskom potrošnjom na energetskom tržištu.</w:t>
            </w:r>
          </w:p>
          <w:p w14:paraId="7C195F18" w14:textId="77777777" w:rsidR="00615E2D" w:rsidRDefault="00C83E46">
            <w:pPr>
              <w:pStyle w:val="P68B1DB1-Normal11"/>
              <w:spacing w:line="240" w:lineRule="auto"/>
              <w:rPr>
                <w:noProof/>
              </w:rPr>
            </w:pPr>
            <w:r>
              <w:rPr>
                <w:noProof/>
              </w:rPr>
              <w:t>Izmijenjeno zakonodavstvo uključuje:</w:t>
            </w:r>
          </w:p>
          <w:p w14:paraId="746223DC" w14:textId="59078F30" w:rsidR="00615E2D" w:rsidRDefault="00C83E46">
            <w:pPr>
              <w:pStyle w:val="P68B1DB1-ListParagraph31"/>
              <w:numPr>
                <w:ilvl w:val="0"/>
                <w:numId w:val="349"/>
              </w:numPr>
              <w:spacing w:line="240" w:lineRule="auto"/>
              <w:rPr>
                <w:noProof/>
              </w:rPr>
            </w:pPr>
            <w:r>
              <w:rPr>
                <w:noProof/>
              </w:rPr>
              <w:t>Definicije usluga fleksibilnosti kao što su skladištenje, agregiranje potražnje, upravljanje potrošnjom;</w:t>
            </w:r>
          </w:p>
          <w:p w14:paraId="7406B0C5" w14:textId="120D0FE3" w:rsidR="00615E2D" w:rsidRDefault="00C83E46">
            <w:pPr>
              <w:pStyle w:val="P68B1DB1-ListParagraph31"/>
              <w:numPr>
                <w:ilvl w:val="0"/>
                <w:numId w:val="349"/>
              </w:numPr>
              <w:spacing w:line="240" w:lineRule="auto"/>
              <w:rPr>
                <w:noProof/>
              </w:rPr>
            </w:pPr>
            <w:r>
              <w:rPr>
                <w:noProof/>
              </w:rPr>
              <w:t>Nova dozvola za upravljanje sredstvima za skladištenje energije i pružanje usluga agregiranja na tržištu;</w:t>
            </w:r>
          </w:p>
          <w:p w14:paraId="3FB86D87" w14:textId="1A273D13" w:rsidR="00615E2D" w:rsidRDefault="00C83E46">
            <w:pPr>
              <w:pStyle w:val="P68B1DB1-ListParagraph31"/>
              <w:numPr>
                <w:ilvl w:val="0"/>
                <w:numId w:val="349"/>
              </w:numPr>
              <w:spacing w:line="240" w:lineRule="auto"/>
              <w:rPr>
                <w:noProof/>
              </w:rPr>
            </w:pPr>
            <w:r>
              <w:rPr>
                <w:noProof/>
              </w:rPr>
              <w:t>Definiranje prava i obveza operatora sredstava za skladištenje energije i agregatora potražnje u odnosu na druge sudionike na tržištu (pravo na priključivanje skladištenja energije na mrežu, pravo na prodaju mreži i kupnju električne energije iz mreže, pravo na pružanje usluga uravnoteženja;</w:t>
            </w:r>
          </w:p>
          <w:p w14:paraId="2E2DA82B" w14:textId="77777777" w:rsidR="00615E2D" w:rsidRDefault="00C83E46">
            <w:pPr>
              <w:pStyle w:val="P68B1DB1-ListParagraph31"/>
              <w:numPr>
                <w:ilvl w:val="0"/>
                <w:numId w:val="349"/>
              </w:numPr>
              <w:spacing w:line="240" w:lineRule="auto"/>
              <w:rPr>
                <w:noProof/>
              </w:rPr>
            </w:pPr>
            <w:r>
              <w:rPr>
                <w:noProof/>
              </w:rPr>
              <w:t>Pravo i pravila aktivnog potrošača da upravlja skladišnom imovinom;</w:t>
            </w:r>
          </w:p>
          <w:p w14:paraId="1A608980" w14:textId="34409F57" w:rsidR="00615E2D" w:rsidRDefault="00C83E46">
            <w:pPr>
              <w:pStyle w:val="P68B1DB1-ListParagraph31"/>
              <w:numPr>
                <w:ilvl w:val="0"/>
                <w:numId w:val="349"/>
              </w:numPr>
              <w:spacing w:line="240" w:lineRule="auto"/>
              <w:rPr>
                <w:noProof/>
              </w:rPr>
            </w:pPr>
            <w:r>
              <w:rPr>
                <w:noProof/>
              </w:rPr>
              <w:t>Odredbe ugovora o agregiranju i upravljanju sredstvima za skladištenje energije;</w:t>
            </w:r>
          </w:p>
          <w:p w14:paraId="166541AE" w14:textId="77777777" w:rsidR="00615E2D" w:rsidRDefault="00C83E46">
            <w:pPr>
              <w:pStyle w:val="P68B1DB1-ListParagraph31"/>
              <w:numPr>
                <w:ilvl w:val="0"/>
                <w:numId w:val="349"/>
              </w:numPr>
              <w:spacing w:line="240" w:lineRule="auto"/>
              <w:rPr>
                <w:noProof/>
              </w:rPr>
            </w:pPr>
            <w:r>
              <w:rPr>
                <w:noProof/>
              </w:rPr>
              <w:t>Isključenje dvostrukog punjenja (u pogledu električne energije iz mreže, zatim isporučene u mrežu i potrošnje od strane krajnjeg kupca). Uvjeti za sudjelovanje energetskih zajednica i kolektivnih potrošača vlastite energije u agregiranju, skladištenju, distribuciji električne energije i aktivnostima proizvodnje električne energije.</w:t>
            </w:r>
          </w:p>
          <w:p w14:paraId="6E420A46" w14:textId="6FE3EF6E" w:rsidR="00615E2D" w:rsidRDefault="00C83E46">
            <w:pPr>
              <w:pStyle w:val="P68B1DB1-ListParagraph49"/>
              <w:numPr>
                <w:ilvl w:val="0"/>
                <w:numId w:val="349"/>
              </w:numPr>
              <w:spacing w:line="240" w:lineRule="auto"/>
              <w:rPr>
                <w:noProof/>
              </w:rPr>
            </w:pPr>
            <w:r>
              <w:rPr>
                <w:rFonts w:ascii="Times New Roman" w:eastAsia="Times New Roman" w:hAnsi="Times New Roman"/>
                <w:noProof/>
                <w:color w:val="006100"/>
              </w:rPr>
              <w:t>Zahtjev da ODS-ovi u svoje planove razvoja mreže uključe informacije o uslugama fleksibilnosti, potencijalnom upravljanju potrošnjom, energetskoj učinkovitosti, resursima postrojenja za skladištenje energije koje operator distribucijskog sustava namjerava upotrijebiti ili u koji ulaže kao alternativu proširenju sustava.</w:t>
            </w:r>
            <w:r>
              <w:rPr>
                <w:rFonts w:ascii="Times New Roman" w:hAnsi="Times New Roman"/>
                <w:noProof/>
              </w:rPr>
              <w:t xml:space="preserve"> </w:t>
            </w:r>
          </w:p>
        </w:tc>
      </w:tr>
      <w:tr w:rsidR="00615E2D" w14:paraId="1D553A28" w14:textId="77777777">
        <w:trPr>
          <w:trHeight w:val="309"/>
          <w:jc w:val="center"/>
        </w:trPr>
        <w:tc>
          <w:tcPr>
            <w:tcW w:w="654" w:type="dxa"/>
            <w:shd w:val="clear" w:color="auto" w:fill="C6EFCE"/>
            <w:vAlign w:val="center"/>
          </w:tcPr>
          <w:p w14:paraId="6896ACEA" w14:textId="10BEEEDB" w:rsidR="00615E2D" w:rsidRDefault="00C83E46">
            <w:pPr>
              <w:pStyle w:val="P68B1DB1-Normal15"/>
              <w:spacing w:before="0" w:after="0" w:line="240" w:lineRule="auto"/>
              <w:jc w:val="center"/>
              <w:rPr>
                <w:noProof/>
              </w:rPr>
            </w:pPr>
            <w:r>
              <w:rPr>
                <w:noProof/>
              </w:rPr>
              <w:t>317</w:t>
            </w:r>
          </w:p>
        </w:tc>
        <w:tc>
          <w:tcPr>
            <w:tcW w:w="1625" w:type="dxa"/>
            <w:shd w:val="clear" w:color="auto" w:fill="C6EFCE"/>
            <w:vAlign w:val="center"/>
          </w:tcPr>
          <w:p w14:paraId="69A4E2CD" w14:textId="77777777" w:rsidR="00615E2D" w:rsidRDefault="00C83E46">
            <w:pPr>
              <w:pStyle w:val="P68B1DB1-Normal11"/>
              <w:spacing w:line="240" w:lineRule="auto"/>
              <w:rPr>
                <w:noProof/>
              </w:rPr>
            </w:pPr>
            <w:r>
              <w:rPr>
                <w:noProof/>
              </w:rPr>
              <w:t xml:space="preserve">Reforma br. 2: </w:t>
            </w:r>
          </w:p>
          <w:p w14:paraId="759DBD3E" w14:textId="77777777" w:rsidR="00615E2D" w:rsidRDefault="00C83E46">
            <w:pPr>
              <w:pStyle w:val="P68B1DB1-Normal11"/>
              <w:spacing w:line="240" w:lineRule="auto"/>
              <w:rPr>
                <w:noProof/>
              </w:rPr>
            </w:pPr>
            <w:r>
              <w:rPr>
                <w:noProof/>
              </w:rPr>
              <w:t>Okvir za skladištenje energije i nefosilnu fleksibilnost</w:t>
            </w:r>
          </w:p>
          <w:p w14:paraId="777469C4" w14:textId="3F71ED82" w:rsidR="00615E2D" w:rsidRDefault="00C83E46">
            <w:pPr>
              <w:pStyle w:val="P68B1DB1-Normal11"/>
              <w:spacing w:line="240" w:lineRule="auto"/>
              <w:rPr>
                <w:noProof/>
              </w:rPr>
            </w:pPr>
            <w:r>
              <w:rPr>
                <w:noProof/>
              </w:rPr>
              <w:t xml:space="preserve"> </w:t>
            </w:r>
          </w:p>
        </w:tc>
        <w:tc>
          <w:tcPr>
            <w:tcW w:w="1134" w:type="dxa"/>
            <w:shd w:val="clear" w:color="auto" w:fill="C6EFCE"/>
            <w:vAlign w:val="center"/>
          </w:tcPr>
          <w:p w14:paraId="480A7F76" w14:textId="10B162FB" w:rsidR="00615E2D" w:rsidRDefault="00C83E46">
            <w:pPr>
              <w:pStyle w:val="P68B1DB1-Normal11"/>
              <w:spacing w:line="240" w:lineRule="auto"/>
              <w:rPr>
                <w:noProof/>
              </w:rPr>
            </w:pPr>
            <w:r>
              <w:rPr>
                <w:noProof/>
              </w:rPr>
              <w:t>Prekretnica</w:t>
            </w:r>
          </w:p>
        </w:tc>
        <w:tc>
          <w:tcPr>
            <w:tcW w:w="1546" w:type="dxa"/>
            <w:shd w:val="clear" w:color="auto" w:fill="C6EFCE"/>
            <w:vAlign w:val="center"/>
          </w:tcPr>
          <w:p w14:paraId="55C8A410" w14:textId="002EE6FE" w:rsidR="00615E2D" w:rsidRDefault="00C83E46">
            <w:pPr>
              <w:pStyle w:val="P68B1DB1-Normal11"/>
              <w:spacing w:line="240" w:lineRule="auto"/>
              <w:rPr>
                <w:noProof/>
              </w:rPr>
            </w:pPr>
            <w:r>
              <w:rPr>
                <w:noProof/>
              </w:rPr>
              <w:t xml:space="preserve">Objava akcijskog plana fleksibilnosti </w:t>
            </w:r>
          </w:p>
        </w:tc>
        <w:tc>
          <w:tcPr>
            <w:tcW w:w="1799" w:type="dxa"/>
            <w:shd w:val="clear" w:color="auto" w:fill="C6EFCE"/>
            <w:vAlign w:val="center"/>
          </w:tcPr>
          <w:p w14:paraId="22604D68" w14:textId="77777777" w:rsidR="00615E2D" w:rsidRDefault="00C83E46">
            <w:pPr>
              <w:pStyle w:val="P68B1DB1-Normal11"/>
              <w:spacing w:line="240" w:lineRule="auto"/>
              <w:rPr>
                <w:noProof/>
              </w:rPr>
            </w:pPr>
            <w:r>
              <w:rPr>
                <w:noProof/>
              </w:rPr>
              <w:t>Vlada donosi akcijski plan</w:t>
            </w:r>
          </w:p>
          <w:p w14:paraId="0D4ADD9F" w14:textId="77777777" w:rsidR="00615E2D" w:rsidRDefault="00615E2D">
            <w:pPr>
              <w:spacing w:line="240" w:lineRule="auto"/>
              <w:rPr>
                <w:rFonts w:eastAsia="Times New Roman"/>
                <w:noProof/>
                <w:color w:val="006100"/>
                <w:sz w:val="18"/>
              </w:rPr>
            </w:pPr>
          </w:p>
        </w:tc>
        <w:tc>
          <w:tcPr>
            <w:tcW w:w="988" w:type="dxa"/>
            <w:shd w:val="clear" w:color="auto" w:fill="C6EFCE"/>
            <w:vAlign w:val="center"/>
          </w:tcPr>
          <w:p w14:paraId="0C24CE25"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7B050973" w14:textId="77777777"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0B4880D5" w14:textId="77777777" w:rsidR="00615E2D" w:rsidRDefault="00615E2D">
            <w:pPr>
              <w:spacing w:before="0" w:after="0" w:line="240" w:lineRule="auto"/>
              <w:jc w:val="center"/>
              <w:rPr>
                <w:rFonts w:eastAsia="Times New Roman"/>
                <w:noProof/>
                <w:color w:val="006100"/>
                <w:sz w:val="18"/>
              </w:rPr>
            </w:pPr>
          </w:p>
        </w:tc>
        <w:tc>
          <w:tcPr>
            <w:tcW w:w="1077" w:type="dxa"/>
            <w:shd w:val="clear" w:color="auto" w:fill="C6EFCE"/>
            <w:vAlign w:val="center"/>
          </w:tcPr>
          <w:p w14:paraId="77832F30" w14:textId="63864BEC" w:rsidR="00615E2D" w:rsidRDefault="00C83E46">
            <w:pPr>
              <w:pStyle w:val="P68B1DB1-Normal11"/>
              <w:spacing w:line="240" w:lineRule="auto"/>
              <w:rPr>
                <w:noProof/>
              </w:rPr>
            </w:pPr>
            <w:r>
              <w:rPr>
                <w:noProof/>
              </w:rPr>
              <w:t>TROMJESEČJE</w:t>
            </w:r>
          </w:p>
        </w:tc>
        <w:tc>
          <w:tcPr>
            <w:tcW w:w="658" w:type="dxa"/>
            <w:shd w:val="clear" w:color="auto" w:fill="C6EFCE"/>
            <w:vAlign w:val="center"/>
          </w:tcPr>
          <w:p w14:paraId="7EB62D09" w14:textId="321B8D5A" w:rsidR="00615E2D" w:rsidRDefault="00C83E46">
            <w:pPr>
              <w:pStyle w:val="P68B1DB1-Normal11"/>
              <w:spacing w:line="240" w:lineRule="auto"/>
              <w:rPr>
                <w:noProof/>
              </w:rPr>
            </w:pPr>
            <w:r>
              <w:rPr>
                <w:noProof/>
              </w:rPr>
              <w:t>2025</w:t>
            </w:r>
          </w:p>
        </w:tc>
        <w:tc>
          <w:tcPr>
            <w:tcW w:w="4128" w:type="dxa"/>
            <w:shd w:val="clear" w:color="auto" w:fill="C6EFCE"/>
            <w:vAlign w:val="center"/>
          </w:tcPr>
          <w:p w14:paraId="660A8FC2" w14:textId="0E9AFC54" w:rsidR="00615E2D" w:rsidRDefault="00C83E46">
            <w:pPr>
              <w:pStyle w:val="P68B1DB1-Normal11"/>
              <w:spacing w:line="240" w:lineRule="auto"/>
              <w:rPr>
                <w:noProof/>
              </w:rPr>
            </w:pPr>
            <w:r>
              <w:rPr>
                <w:noProof/>
              </w:rPr>
              <w:t>Akcijskim planom utvrđuju se prioriteti razvoja nefosilne fleksibilnosti i utvrđuje cilj za nefosilnu fleksibilnost, uključujući upravljanje potrošnjom i skladištenje energije za sljedećih deset godina.</w:t>
            </w:r>
          </w:p>
          <w:p w14:paraId="2DEAA1FD" w14:textId="6ACED910" w:rsidR="00615E2D" w:rsidRDefault="00C83E46">
            <w:pPr>
              <w:pStyle w:val="P68B1DB1-Normal11"/>
              <w:spacing w:line="240" w:lineRule="auto"/>
              <w:rPr>
                <w:noProof/>
              </w:rPr>
            </w:pPr>
            <w:r>
              <w:rPr>
                <w:noProof/>
              </w:rPr>
              <w:t>Akcijskim planom osigurava se putanja ulaganja kako bi se ostvario utvrđeni potencijal te se utvrđuje javno financiranje i utvrđuju odgovarajući privatni izvori financiranja za potporu tehnologijama fleksibilnosti i skladištenja, uključujući rokove.</w:t>
            </w:r>
          </w:p>
        </w:tc>
      </w:tr>
    </w:tbl>
    <w:p w14:paraId="6F0BE4DF" w14:textId="77777777" w:rsidR="00615E2D" w:rsidRDefault="00615E2D">
      <w:pPr>
        <w:spacing w:after="0" w:line="259" w:lineRule="auto"/>
        <w:jc w:val="both"/>
        <w:rPr>
          <w:rFonts w:eastAsia="Times New Roman"/>
          <w:b/>
          <w:noProof/>
          <w:color w:val="000000" w:themeColor="text1"/>
          <w:u w:val="single"/>
        </w:rPr>
      </w:pPr>
    </w:p>
    <w:p w14:paraId="3AAABC60" w14:textId="77777777" w:rsidR="00615E2D" w:rsidRDefault="00615E2D">
      <w:pPr>
        <w:spacing w:after="0" w:line="259" w:lineRule="auto"/>
        <w:jc w:val="both"/>
        <w:rPr>
          <w:rFonts w:eastAsia="Times New Roman"/>
          <w:b/>
          <w:noProof/>
          <w:color w:val="000000" w:themeColor="text1"/>
          <w:u w:val="single"/>
        </w:rPr>
      </w:pPr>
    </w:p>
    <w:p w14:paraId="4430BE09" w14:textId="77777777" w:rsidR="00615E2D" w:rsidRDefault="00615E2D">
      <w:pPr>
        <w:spacing w:after="0" w:line="259" w:lineRule="auto"/>
        <w:jc w:val="both"/>
        <w:rPr>
          <w:rFonts w:eastAsia="Times New Roman"/>
          <w:b/>
          <w:noProof/>
          <w:color w:val="000000" w:themeColor="text1"/>
          <w:u w:val="single"/>
        </w:rPr>
        <w:sectPr w:rsidR="00615E2D" w:rsidSect="003F264F">
          <w:headerReference w:type="even" r:id="rId456"/>
          <w:headerReference w:type="default" r:id="rId457"/>
          <w:footerReference w:type="even" r:id="rId458"/>
          <w:footerReference w:type="default" r:id="rId459"/>
          <w:headerReference w:type="first" r:id="rId460"/>
          <w:footerReference w:type="first" r:id="rId461"/>
          <w:pgSz w:w="16839" w:h="11907" w:orient="landscape"/>
          <w:pgMar w:top="1134" w:right="1134" w:bottom="1134" w:left="1134" w:header="567" w:footer="567" w:gutter="0"/>
          <w:cols w:space="720"/>
          <w:docGrid w:linePitch="360"/>
        </w:sectPr>
      </w:pPr>
    </w:p>
    <w:p w14:paraId="6B24C79F" w14:textId="731FB206" w:rsidR="00615E2D" w:rsidRDefault="00C83E46">
      <w:pPr>
        <w:pStyle w:val="P68B1DB1-Normal2"/>
        <w:keepNext/>
        <w:tabs>
          <w:tab w:val="left" w:pos="850"/>
        </w:tabs>
        <w:spacing w:line="240" w:lineRule="auto"/>
        <w:jc w:val="both"/>
        <w:outlineLvl w:val="0"/>
        <w:rPr>
          <w:noProof/>
        </w:rPr>
      </w:pPr>
      <w:r>
        <w:rPr>
          <w:noProof/>
        </w:rPr>
        <w:t>G. SASTAVNI DIO 7.3.: Sveobuhvatna reforma savjeta vala obnove u Češkoj (REPOWER EU)</w:t>
      </w:r>
    </w:p>
    <w:p w14:paraId="7384995D" w14:textId="77777777" w:rsidR="00615E2D" w:rsidRDefault="00C83E46">
      <w:pPr>
        <w:spacing w:line="240" w:lineRule="auto"/>
        <w:jc w:val="both"/>
        <w:rPr>
          <w:noProof/>
        </w:rPr>
      </w:pPr>
      <w:r>
        <w:rPr>
          <w:noProof/>
        </w:rPr>
        <w:t xml:space="preserve">Ovom komponentom češkog plana nastoji se </w:t>
      </w:r>
      <w:r>
        <w:rPr>
          <w:rFonts w:eastAsia="Times New Roman"/>
          <w:noProof/>
        </w:rPr>
        <w:t>pojednostavniti postupak pripreme projekata obnove, povećati stručno znanje i kapacitet u području energetski učinkovitih obnova, podići svijest o energetskom siromaštvu i dostupnim rješenjima te povećati broj i kvaliteta projekata obnove stambenih objekata.</w:t>
      </w:r>
    </w:p>
    <w:p w14:paraId="40FC8510" w14:textId="2E000CE6" w:rsidR="00615E2D" w:rsidRDefault="00C83E46">
      <w:pPr>
        <w:tabs>
          <w:tab w:val="left" w:pos="993"/>
        </w:tabs>
        <w:spacing w:line="240" w:lineRule="auto"/>
        <w:jc w:val="both"/>
        <w:rPr>
          <w:noProof/>
        </w:rPr>
      </w:pPr>
      <w:r>
        <w:rPr>
          <w:rFonts w:eastAsia="Times New Roman"/>
          <w:noProof/>
        </w:rPr>
        <w:t>Komponentom se podupire odgovor na preporuku za pojedinu zemlju da poveća energetsku učinkovitost sustava centraliziranog grijanja i fonda zgrada poticanjem temeljite obnove i obnovljivih izvora topline</w:t>
      </w:r>
      <w:r>
        <w:rPr>
          <w:noProof/>
        </w:rPr>
        <w:t xml:space="preserve"> (4. preporuka za pojedinu zemlju iz 2022.).</w:t>
      </w:r>
    </w:p>
    <w:p w14:paraId="28AB9C40" w14:textId="5D8D3CA9" w:rsidR="00615E2D" w:rsidRDefault="00615E2D">
      <w:pPr>
        <w:spacing w:before="0" w:after="160" w:line="259" w:lineRule="auto"/>
        <w:rPr>
          <w:noProof/>
        </w:rPr>
      </w:pPr>
    </w:p>
    <w:p w14:paraId="47941ED1" w14:textId="1D77471C" w:rsidR="00615E2D" w:rsidRDefault="00C83E46">
      <w:pPr>
        <w:pStyle w:val="P68B1DB1-Normal32"/>
        <w:spacing w:line="240" w:lineRule="auto"/>
        <w:jc w:val="both"/>
        <w:rPr>
          <w:noProof/>
        </w:rPr>
      </w:pPr>
      <w:r>
        <w:rPr>
          <w:noProof/>
        </w:rPr>
        <w:t>GG.1. Opis reformi i ulaganja za programe bespovratne financijske potpore</w:t>
      </w:r>
    </w:p>
    <w:p w14:paraId="5ED4CCBE" w14:textId="207234B5" w:rsidR="00615E2D" w:rsidRDefault="00C83E46">
      <w:pPr>
        <w:pStyle w:val="P68B1DB1-Normal7"/>
        <w:spacing w:line="240" w:lineRule="auto"/>
        <w:jc w:val="both"/>
        <w:rPr>
          <w:noProof/>
        </w:rPr>
      </w:pPr>
      <w:r>
        <w:rPr>
          <w:noProof/>
        </w:rPr>
        <w:t>Reforma 1.: Jedinstvene kontaktne točke za energetske zajednice i obnovu radi energetske učinkovitosti</w:t>
      </w:r>
    </w:p>
    <w:p w14:paraId="07934C3D" w14:textId="2BF6B77A" w:rsidR="00615E2D" w:rsidRDefault="00C83E46">
      <w:pPr>
        <w:spacing w:line="240" w:lineRule="auto"/>
        <w:jc w:val="both"/>
        <w:rPr>
          <w:noProof/>
        </w:rPr>
      </w:pPr>
      <w:r>
        <w:rPr>
          <w:noProof/>
        </w:rPr>
        <w:t>Reforma se provodi provedbom evaluacije pilot-operacije triju regionalnih jedinstvenih kontaktnih točaka koje kućanstvima, poduzećima i javnom sektoru pružaju savjete o energetski učinkovitim obnovama. Evaluacija se formalizira u studiji u kojoj se izvode stečena iskustva i preporučuju mjere za poboljšanje rada regionalnih jedinstvenih kontaktnih točaka.</w:t>
      </w:r>
    </w:p>
    <w:p w14:paraId="19142CBC" w14:textId="7778056D" w:rsidR="00615E2D" w:rsidRDefault="00C83E46">
      <w:pPr>
        <w:pStyle w:val="P68B1DB1-Normal3"/>
        <w:spacing w:after="160" w:line="257" w:lineRule="auto"/>
        <w:jc w:val="both"/>
        <w:rPr>
          <w:noProof/>
        </w:rPr>
      </w:pPr>
      <w:r>
        <w:rPr>
          <w:noProof/>
        </w:rPr>
        <w:t>Reforma uključuje i mjere potpore za obrazovanje i informiranje općina i građana o konceptu i prednostima energetskih zajednica, uključujući uspostavu jedinstvene kontaktne točke za pružanje tehničke potpore u regulatornim, tehničkim, financijskim i organizacijskim aspektima.</w:t>
      </w:r>
    </w:p>
    <w:p w14:paraId="14ECEEE7" w14:textId="52FB91BF" w:rsidR="00615E2D" w:rsidRDefault="00C83E46">
      <w:pPr>
        <w:pBdr>
          <w:top w:val="nil"/>
          <w:left w:val="nil"/>
          <w:bottom w:val="nil"/>
          <w:right w:val="nil"/>
          <w:between w:val="nil"/>
        </w:pBdr>
        <w:tabs>
          <w:tab w:val="left" w:pos="993"/>
        </w:tabs>
        <w:spacing w:line="240" w:lineRule="auto"/>
        <w:jc w:val="both"/>
        <w:rPr>
          <w:b/>
          <w:noProof/>
          <w:u w:val="single"/>
        </w:rPr>
      </w:pPr>
      <w:r>
        <w:rPr>
          <w:noProof/>
        </w:rPr>
        <w:t>Reforma se provodi do 31. prosinca 2025.</w:t>
      </w:r>
    </w:p>
    <w:p w14:paraId="395BA5CB" w14:textId="2B32C4F9" w:rsidR="00615E2D" w:rsidRDefault="00C83E46">
      <w:pPr>
        <w:pStyle w:val="P68B1DB1-Normal7"/>
        <w:spacing w:line="240" w:lineRule="auto"/>
        <w:jc w:val="both"/>
        <w:rPr>
          <w:noProof/>
        </w:rPr>
      </w:pPr>
      <w:r>
        <w:rPr>
          <w:noProof/>
        </w:rPr>
        <w:t>Reforma br. 2: Podaci i metodološke smjernice za savjetodavni sustav</w:t>
      </w:r>
    </w:p>
    <w:p w14:paraId="1731E736" w14:textId="2A9B3249" w:rsidR="00615E2D" w:rsidRDefault="00C83E46">
      <w:pPr>
        <w:spacing w:line="240" w:lineRule="auto"/>
        <w:jc w:val="both"/>
        <w:rPr>
          <w:noProof/>
        </w:rPr>
      </w:pPr>
      <w:r>
        <w:rPr>
          <w:noProof/>
        </w:rPr>
        <w:t>Reforma se provodi pripremom podataka i metodoloških smjernica koje će se koristiti u pružanju savjetodavnih usluga te provođenjem osposobljavanja za stručnjake za val obnove. Metodološke smjernice uključuju modul o energetskom siromaštvu i načinu savjetovanja ranjivih kućanstava. Cilj je reforme izgraditi kapacitete u području energetske obnove koji se mogu iskoristiti za poboljšanje kvalitete projekata obnove koje provode češka kućanstva.</w:t>
      </w:r>
    </w:p>
    <w:p w14:paraId="03932209" w14:textId="61939EE1" w:rsidR="00615E2D" w:rsidRDefault="00C83E46">
      <w:pPr>
        <w:jc w:val="both"/>
        <w:rPr>
          <w:b/>
          <w:noProof/>
          <w:u w:val="single"/>
        </w:rPr>
      </w:pPr>
      <w:r>
        <w:rPr>
          <w:noProof/>
        </w:rPr>
        <w:t>Reforma se provodi do 30. lipnja 2025.</w:t>
      </w:r>
    </w:p>
    <w:p w14:paraId="251CDF7C" w14:textId="2B32C4F9" w:rsidR="00615E2D" w:rsidRDefault="00C83E46">
      <w:pPr>
        <w:pStyle w:val="P68B1DB1-Normal7"/>
        <w:spacing w:line="240" w:lineRule="auto"/>
        <w:jc w:val="both"/>
        <w:rPr>
          <w:noProof/>
        </w:rPr>
      </w:pPr>
      <w:r>
        <w:rPr>
          <w:noProof/>
        </w:rPr>
        <w:t>Ulaganje 1: Pružanje savjetodavnih usluga kućanstvima</w:t>
      </w:r>
    </w:p>
    <w:p w14:paraId="1E3A782B" w14:textId="6BDA11FE" w:rsidR="00615E2D" w:rsidRDefault="00C83E46">
      <w:pPr>
        <w:spacing w:line="240" w:lineRule="auto"/>
        <w:jc w:val="both"/>
        <w:rPr>
          <w:noProof/>
        </w:rPr>
      </w:pPr>
      <w:r>
        <w:rPr>
          <w:noProof/>
        </w:rPr>
        <w:t>Ulaganje se provodi pružanjem savjetodavnih usluga za najmanje 120,000 kućanstava, poduzeća i javnih projekata obnove energetske učinkovitosti putem nove savjetodavne strukture i usluga u području energetike. Cilj je ulaganja povećati broj i kvalitetu projekata energetski učinkovite obnove koje provode kućanstva.</w:t>
      </w:r>
    </w:p>
    <w:p w14:paraId="20355146" w14:textId="1EE4E36D" w:rsidR="00615E2D" w:rsidRDefault="00C83E46">
      <w:pPr>
        <w:pBdr>
          <w:top w:val="nil"/>
          <w:left w:val="nil"/>
          <w:bottom w:val="nil"/>
          <w:right w:val="nil"/>
          <w:between w:val="nil"/>
        </w:pBdr>
        <w:tabs>
          <w:tab w:val="left" w:pos="993"/>
        </w:tabs>
        <w:spacing w:line="240" w:lineRule="auto"/>
        <w:jc w:val="both"/>
        <w:rPr>
          <w:b/>
          <w:noProof/>
          <w:u w:val="single"/>
        </w:rPr>
      </w:pPr>
      <w:r>
        <w:rPr>
          <w:noProof/>
        </w:rPr>
        <w:t>Reforma se provodi do 30. lipnja 2026.</w:t>
      </w:r>
    </w:p>
    <w:p w14:paraId="0CBE4D4A" w14:textId="08E2DC62" w:rsidR="00615E2D" w:rsidRDefault="00C83E46">
      <w:pPr>
        <w:pStyle w:val="P68B1DB1-Normal7"/>
        <w:pageBreakBefore/>
        <w:spacing w:line="240" w:lineRule="auto"/>
        <w:jc w:val="both"/>
        <w:rPr>
          <w:i/>
          <w:noProof/>
          <w:color w:val="4F81BD"/>
        </w:rPr>
      </w:pPr>
      <w:r>
        <w:rPr>
          <w:noProof/>
        </w:rPr>
        <w:t>Ulaganje 2: Podizanje svijesti</w:t>
      </w:r>
    </w:p>
    <w:p w14:paraId="45DC48B0" w14:textId="6F27533E" w:rsidR="00615E2D" w:rsidRDefault="00C83E46">
      <w:pPr>
        <w:tabs>
          <w:tab w:val="left" w:pos="993"/>
        </w:tabs>
        <w:spacing w:line="240" w:lineRule="auto"/>
        <w:jc w:val="both"/>
        <w:rPr>
          <w:noProof/>
        </w:rPr>
      </w:pPr>
      <w:r>
        <w:rPr>
          <w:rFonts w:eastAsia="Times New Roman"/>
          <w:noProof/>
          <w:color w:val="000000" w:themeColor="text1"/>
        </w:rPr>
        <w:t xml:space="preserve">Ulaganje se provodi provođenjem </w:t>
      </w:r>
      <w:r>
        <w:rPr>
          <w:noProof/>
        </w:rPr>
        <w:t>kampanje za podizanje svijesti javnosti o energetskoj učinkovitosti koja, prema potrebi, uključuje naglasak na smanjenje potrošnje energije, obnovu zgrada i energetsko siromaštvo. Cilj je kampanje informirati širu javnost o promjenama u ponašanju koje mogu smanjiti potrošnju energije i pomoći ublažiti energetsko siromaštvo.</w:t>
      </w:r>
    </w:p>
    <w:p w14:paraId="5DE88C05" w14:textId="4DF59C52" w:rsidR="00615E2D" w:rsidRDefault="00C83E46">
      <w:pPr>
        <w:pBdr>
          <w:top w:val="nil"/>
          <w:left w:val="nil"/>
          <w:bottom w:val="nil"/>
          <w:right w:val="nil"/>
          <w:between w:val="nil"/>
        </w:pBdr>
        <w:tabs>
          <w:tab w:val="left" w:pos="993"/>
        </w:tabs>
        <w:spacing w:line="240" w:lineRule="auto"/>
        <w:jc w:val="both"/>
        <w:rPr>
          <w:noProof/>
        </w:rPr>
      </w:pPr>
      <w:r>
        <w:rPr>
          <w:noProof/>
        </w:rPr>
        <w:t>Reforma se provodi do 30. ožujka 2025.</w:t>
      </w:r>
    </w:p>
    <w:p w14:paraId="65C8D4C3" w14:textId="77777777" w:rsidR="00615E2D" w:rsidRDefault="00615E2D">
      <w:pPr>
        <w:pBdr>
          <w:top w:val="nil"/>
          <w:left w:val="nil"/>
          <w:bottom w:val="nil"/>
          <w:right w:val="nil"/>
          <w:between w:val="nil"/>
        </w:pBdr>
        <w:tabs>
          <w:tab w:val="left" w:pos="993"/>
        </w:tabs>
        <w:spacing w:line="240" w:lineRule="auto"/>
        <w:jc w:val="both"/>
        <w:rPr>
          <w:b/>
          <w:noProof/>
        </w:rPr>
        <w:sectPr w:rsidR="00615E2D" w:rsidSect="003F264F">
          <w:headerReference w:type="even" r:id="rId462"/>
          <w:headerReference w:type="default" r:id="rId463"/>
          <w:footerReference w:type="even" r:id="rId464"/>
          <w:footerReference w:type="default" r:id="rId465"/>
          <w:headerReference w:type="first" r:id="rId466"/>
          <w:footerReference w:type="first" r:id="rId467"/>
          <w:pgSz w:w="11907" w:h="16839"/>
          <w:pgMar w:top="1134" w:right="1134" w:bottom="1134" w:left="1134" w:header="567" w:footer="567" w:gutter="0"/>
          <w:cols w:space="720"/>
          <w:docGrid w:linePitch="360"/>
        </w:sectPr>
      </w:pPr>
    </w:p>
    <w:p w14:paraId="2F0E9248" w14:textId="1592C02C" w:rsidR="00615E2D" w:rsidRDefault="00C83E46">
      <w:pPr>
        <w:pStyle w:val="P68B1DB1-Normal8"/>
        <w:pBdr>
          <w:top w:val="nil"/>
          <w:left w:val="nil"/>
          <w:bottom w:val="nil"/>
          <w:right w:val="nil"/>
          <w:between w:val="nil"/>
        </w:pBdr>
        <w:tabs>
          <w:tab w:val="left" w:pos="993"/>
        </w:tabs>
        <w:spacing w:line="240" w:lineRule="auto"/>
        <w:jc w:val="both"/>
        <w:rPr>
          <w:noProof/>
        </w:rPr>
      </w:pPr>
      <w:r>
        <w:rPr>
          <w:noProof/>
        </w:rPr>
        <w:t>GG.2. Ključne etape, ciljne vrijednosti i vremenski raspored za praćenje i provedbu programa bespovratne financijske potpore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9"/>
        <w:gridCol w:w="1570"/>
        <w:gridCol w:w="1099"/>
        <w:gridCol w:w="1495"/>
        <w:gridCol w:w="1738"/>
        <w:gridCol w:w="958"/>
        <w:gridCol w:w="958"/>
        <w:gridCol w:w="958"/>
        <w:gridCol w:w="990"/>
        <w:gridCol w:w="641"/>
        <w:gridCol w:w="3975"/>
      </w:tblGrid>
      <w:tr w:rsidR="00615E2D" w14:paraId="0D9B1BA4" w14:textId="77777777">
        <w:trPr>
          <w:trHeight w:val="672"/>
          <w:tblHeader/>
          <w:jc w:val="center"/>
        </w:trPr>
        <w:tc>
          <w:tcPr>
            <w:tcW w:w="654" w:type="dxa"/>
            <w:vMerge w:val="restart"/>
            <w:shd w:val="clear" w:color="auto" w:fill="BDD7EE"/>
            <w:vAlign w:val="center"/>
            <w:hideMark/>
          </w:tcPr>
          <w:p w14:paraId="561EC96B" w14:textId="77777777" w:rsidR="00615E2D" w:rsidRDefault="00C83E46">
            <w:pPr>
              <w:pStyle w:val="P68B1DB1-Normal9"/>
              <w:spacing w:before="0" w:after="0" w:line="240" w:lineRule="auto"/>
              <w:jc w:val="center"/>
              <w:rPr>
                <w:noProof/>
              </w:rPr>
            </w:pPr>
            <w:r>
              <w:rPr>
                <w:noProof/>
              </w:rPr>
              <w:t>Sljedeće NUM.</w:t>
            </w:r>
          </w:p>
        </w:tc>
        <w:tc>
          <w:tcPr>
            <w:tcW w:w="1625" w:type="dxa"/>
            <w:vMerge w:val="restart"/>
            <w:shd w:val="clear" w:color="auto" w:fill="BDD7EE"/>
            <w:vAlign w:val="center"/>
            <w:hideMark/>
          </w:tcPr>
          <w:p w14:paraId="7622029B"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11CAF45D" w14:textId="77777777" w:rsidR="00615E2D" w:rsidRDefault="00C83E46">
            <w:pPr>
              <w:pStyle w:val="P68B1DB1-Normal9"/>
              <w:spacing w:before="0" w:after="0" w:line="240" w:lineRule="auto"/>
              <w:jc w:val="center"/>
              <w:rPr>
                <w:noProof/>
              </w:rPr>
            </w:pPr>
            <w:r>
              <w:rPr>
                <w:noProof/>
              </w:rPr>
              <w:t>Ključna etapa/ciljna vrijednost</w:t>
            </w:r>
          </w:p>
        </w:tc>
        <w:tc>
          <w:tcPr>
            <w:tcW w:w="1546" w:type="dxa"/>
            <w:vMerge w:val="restart"/>
            <w:shd w:val="clear" w:color="auto" w:fill="BDD7EE"/>
            <w:vAlign w:val="center"/>
            <w:hideMark/>
          </w:tcPr>
          <w:p w14:paraId="320D5799" w14:textId="77777777" w:rsidR="00615E2D" w:rsidRDefault="00C83E46">
            <w:pPr>
              <w:pStyle w:val="P68B1DB1-Normal9"/>
              <w:spacing w:before="0" w:after="0" w:line="240" w:lineRule="auto"/>
              <w:jc w:val="center"/>
              <w:rPr>
                <w:noProof/>
              </w:rPr>
            </w:pPr>
            <w:r>
              <w:rPr>
                <w:noProof/>
              </w:rPr>
              <w:t>Ime</w:t>
            </w:r>
          </w:p>
        </w:tc>
        <w:tc>
          <w:tcPr>
            <w:tcW w:w="1799" w:type="dxa"/>
            <w:vMerge w:val="restart"/>
            <w:shd w:val="clear" w:color="auto" w:fill="BDD7EE"/>
            <w:vAlign w:val="center"/>
            <w:hideMark/>
          </w:tcPr>
          <w:p w14:paraId="44E64AD2"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2964" w:type="dxa"/>
            <w:gridSpan w:val="3"/>
            <w:shd w:val="clear" w:color="auto" w:fill="BDD7EE"/>
            <w:vAlign w:val="center"/>
            <w:hideMark/>
          </w:tcPr>
          <w:p w14:paraId="51D123A5"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317" w:type="dxa"/>
            <w:gridSpan w:val="2"/>
            <w:shd w:val="clear" w:color="auto" w:fill="BDD7EE"/>
            <w:vAlign w:val="center"/>
            <w:hideMark/>
          </w:tcPr>
          <w:p w14:paraId="5F51441C"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128" w:type="dxa"/>
            <w:vMerge w:val="restart"/>
            <w:shd w:val="clear" w:color="auto" w:fill="BDD7EE"/>
            <w:vAlign w:val="center"/>
            <w:hideMark/>
          </w:tcPr>
          <w:p w14:paraId="4BAED7D6"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24E6F99C" w14:textId="77777777">
        <w:trPr>
          <w:trHeight w:val="458"/>
          <w:tblHeader/>
          <w:jc w:val="center"/>
        </w:trPr>
        <w:tc>
          <w:tcPr>
            <w:tcW w:w="654" w:type="dxa"/>
            <w:vMerge/>
            <w:vAlign w:val="center"/>
            <w:hideMark/>
          </w:tcPr>
          <w:p w14:paraId="12800F77" w14:textId="77777777" w:rsidR="00615E2D" w:rsidRDefault="00615E2D">
            <w:pPr>
              <w:spacing w:before="0" w:after="0" w:line="240" w:lineRule="auto"/>
              <w:rPr>
                <w:rFonts w:eastAsia="Times New Roman"/>
                <w:b/>
                <w:noProof/>
                <w:sz w:val="18"/>
              </w:rPr>
            </w:pPr>
          </w:p>
        </w:tc>
        <w:tc>
          <w:tcPr>
            <w:tcW w:w="1625" w:type="dxa"/>
            <w:vMerge/>
            <w:vAlign w:val="center"/>
            <w:hideMark/>
          </w:tcPr>
          <w:p w14:paraId="55DDF423" w14:textId="77777777" w:rsidR="00615E2D" w:rsidRDefault="00615E2D">
            <w:pPr>
              <w:spacing w:before="0" w:after="0" w:line="240" w:lineRule="auto"/>
              <w:rPr>
                <w:rFonts w:eastAsia="Times New Roman"/>
                <w:b/>
                <w:noProof/>
                <w:sz w:val="18"/>
              </w:rPr>
            </w:pPr>
          </w:p>
        </w:tc>
        <w:tc>
          <w:tcPr>
            <w:tcW w:w="1134" w:type="dxa"/>
            <w:vMerge/>
            <w:vAlign w:val="center"/>
            <w:hideMark/>
          </w:tcPr>
          <w:p w14:paraId="3EEBCD7D" w14:textId="77777777" w:rsidR="00615E2D" w:rsidRDefault="00615E2D">
            <w:pPr>
              <w:spacing w:before="0" w:after="0" w:line="240" w:lineRule="auto"/>
              <w:rPr>
                <w:rFonts w:eastAsia="Times New Roman"/>
                <w:b/>
                <w:noProof/>
                <w:sz w:val="18"/>
              </w:rPr>
            </w:pPr>
          </w:p>
        </w:tc>
        <w:tc>
          <w:tcPr>
            <w:tcW w:w="1546" w:type="dxa"/>
            <w:vMerge/>
            <w:vAlign w:val="center"/>
            <w:hideMark/>
          </w:tcPr>
          <w:p w14:paraId="77370807" w14:textId="77777777" w:rsidR="00615E2D" w:rsidRDefault="00615E2D">
            <w:pPr>
              <w:spacing w:before="0" w:after="0" w:line="240" w:lineRule="auto"/>
              <w:rPr>
                <w:rFonts w:eastAsia="Times New Roman"/>
                <w:b/>
                <w:noProof/>
                <w:sz w:val="18"/>
              </w:rPr>
            </w:pPr>
          </w:p>
        </w:tc>
        <w:tc>
          <w:tcPr>
            <w:tcW w:w="1799" w:type="dxa"/>
            <w:vMerge/>
            <w:vAlign w:val="center"/>
            <w:hideMark/>
          </w:tcPr>
          <w:p w14:paraId="153BE9A9" w14:textId="77777777" w:rsidR="00615E2D" w:rsidRDefault="00615E2D">
            <w:pPr>
              <w:spacing w:before="0" w:after="0" w:line="240" w:lineRule="auto"/>
              <w:rPr>
                <w:rFonts w:eastAsia="Times New Roman"/>
                <w:b/>
                <w:noProof/>
                <w:sz w:val="18"/>
              </w:rPr>
            </w:pPr>
          </w:p>
        </w:tc>
        <w:tc>
          <w:tcPr>
            <w:tcW w:w="988" w:type="dxa"/>
            <w:shd w:val="clear" w:color="auto" w:fill="BDD7EE"/>
            <w:vAlign w:val="center"/>
            <w:hideMark/>
          </w:tcPr>
          <w:p w14:paraId="367FA846" w14:textId="77777777" w:rsidR="00615E2D" w:rsidRDefault="00C83E46">
            <w:pPr>
              <w:pStyle w:val="P68B1DB1-Normal9"/>
              <w:spacing w:before="0" w:after="0" w:line="240" w:lineRule="auto"/>
              <w:jc w:val="center"/>
              <w:rPr>
                <w:noProof/>
              </w:rPr>
            </w:pPr>
            <w:r>
              <w:rPr>
                <w:noProof/>
              </w:rPr>
              <w:t>Jedinica mjere</w:t>
            </w:r>
          </w:p>
        </w:tc>
        <w:tc>
          <w:tcPr>
            <w:tcW w:w="988" w:type="dxa"/>
            <w:shd w:val="clear" w:color="auto" w:fill="BDD7EE"/>
            <w:vAlign w:val="center"/>
            <w:hideMark/>
          </w:tcPr>
          <w:p w14:paraId="5A6761E4" w14:textId="77777777" w:rsidR="00615E2D" w:rsidRDefault="00C83E46">
            <w:pPr>
              <w:pStyle w:val="P68B1DB1-Normal9"/>
              <w:spacing w:before="0" w:after="0" w:line="240" w:lineRule="auto"/>
              <w:jc w:val="center"/>
              <w:rPr>
                <w:noProof/>
              </w:rPr>
            </w:pPr>
            <w:r>
              <w:rPr>
                <w:noProof/>
              </w:rPr>
              <w:t xml:space="preserve">Osnovna vrijednost </w:t>
            </w:r>
          </w:p>
        </w:tc>
        <w:tc>
          <w:tcPr>
            <w:tcW w:w="988" w:type="dxa"/>
            <w:shd w:val="clear" w:color="auto" w:fill="BDD7EE"/>
            <w:vAlign w:val="center"/>
            <w:hideMark/>
          </w:tcPr>
          <w:p w14:paraId="4B234736" w14:textId="77777777" w:rsidR="00615E2D" w:rsidRDefault="00C83E46">
            <w:pPr>
              <w:pStyle w:val="P68B1DB1-Normal9"/>
              <w:spacing w:before="0" w:after="0" w:line="240" w:lineRule="auto"/>
              <w:jc w:val="center"/>
              <w:rPr>
                <w:noProof/>
              </w:rPr>
            </w:pPr>
            <w:r>
              <w:rPr>
                <w:noProof/>
              </w:rPr>
              <w:t xml:space="preserve">Cilj </w:t>
            </w:r>
          </w:p>
        </w:tc>
        <w:tc>
          <w:tcPr>
            <w:tcW w:w="1021" w:type="dxa"/>
            <w:shd w:val="clear" w:color="auto" w:fill="BDD7EE"/>
            <w:vAlign w:val="center"/>
            <w:hideMark/>
          </w:tcPr>
          <w:p w14:paraId="236FC53A" w14:textId="77777777" w:rsidR="00615E2D" w:rsidRDefault="00C83E46">
            <w:pPr>
              <w:pStyle w:val="P68B1DB1-Normal9"/>
              <w:spacing w:before="0" w:after="0" w:line="240" w:lineRule="auto"/>
              <w:jc w:val="center"/>
              <w:rPr>
                <w:noProof/>
              </w:rPr>
            </w:pPr>
            <w:r>
              <w:rPr>
                <w:noProof/>
              </w:rPr>
              <w:t>Tromjesečje</w:t>
            </w:r>
          </w:p>
        </w:tc>
        <w:tc>
          <w:tcPr>
            <w:tcW w:w="658" w:type="dxa"/>
            <w:shd w:val="clear" w:color="auto" w:fill="BDD7EE"/>
            <w:vAlign w:val="center"/>
            <w:hideMark/>
          </w:tcPr>
          <w:p w14:paraId="11EDF70C" w14:textId="77777777" w:rsidR="00615E2D" w:rsidRDefault="00C83E46">
            <w:pPr>
              <w:pStyle w:val="P68B1DB1-Normal9"/>
              <w:spacing w:before="0" w:after="0" w:line="240" w:lineRule="auto"/>
              <w:jc w:val="center"/>
              <w:rPr>
                <w:noProof/>
              </w:rPr>
            </w:pPr>
            <w:r>
              <w:rPr>
                <w:noProof/>
              </w:rPr>
              <w:t>Godina</w:t>
            </w:r>
          </w:p>
        </w:tc>
        <w:tc>
          <w:tcPr>
            <w:tcW w:w="4128" w:type="dxa"/>
            <w:vMerge/>
            <w:vAlign w:val="center"/>
            <w:hideMark/>
          </w:tcPr>
          <w:p w14:paraId="712B4AF1" w14:textId="77777777" w:rsidR="00615E2D" w:rsidRDefault="00615E2D">
            <w:pPr>
              <w:spacing w:before="0" w:after="0" w:line="240" w:lineRule="auto"/>
              <w:rPr>
                <w:rFonts w:eastAsia="Times New Roman"/>
                <w:b/>
                <w:noProof/>
                <w:sz w:val="18"/>
              </w:rPr>
            </w:pPr>
          </w:p>
        </w:tc>
      </w:tr>
      <w:tr w:rsidR="00615E2D" w14:paraId="2EE6EA86" w14:textId="3A1080AD">
        <w:trPr>
          <w:trHeight w:val="309"/>
          <w:jc w:val="center"/>
        </w:trPr>
        <w:tc>
          <w:tcPr>
            <w:tcW w:w="654" w:type="dxa"/>
            <w:shd w:val="clear" w:color="auto" w:fill="C6EFCE"/>
            <w:vAlign w:val="center"/>
            <w:hideMark/>
          </w:tcPr>
          <w:p w14:paraId="4C02AB77" w14:textId="5B430931" w:rsidR="00615E2D" w:rsidRDefault="00C83E46">
            <w:pPr>
              <w:pStyle w:val="P68B1DB1-Normal11"/>
              <w:spacing w:before="0" w:after="0" w:line="240" w:lineRule="auto"/>
              <w:jc w:val="center"/>
              <w:rPr>
                <w:noProof/>
              </w:rPr>
            </w:pPr>
            <w:r>
              <w:rPr>
                <w:noProof/>
              </w:rPr>
              <w:t>318</w:t>
            </w:r>
          </w:p>
        </w:tc>
        <w:tc>
          <w:tcPr>
            <w:tcW w:w="1625" w:type="dxa"/>
            <w:shd w:val="clear" w:color="auto" w:fill="C6EFCE"/>
            <w:vAlign w:val="center"/>
            <w:hideMark/>
          </w:tcPr>
          <w:p w14:paraId="143B6A1D" w14:textId="7ECEFA3F" w:rsidR="00615E2D" w:rsidRDefault="00C83E46">
            <w:pPr>
              <w:pStyle w:val="P68B1DB1-Normal11"/>
              <w:spacing w:after="0" w:line="240" w:lineRule="auto"/>
              <w:rPr>
                <w:noProof/>
              </w:rPr>
            </w:pPr>
            <w:r>
              <w:rPr>
                <w:noProof/>
              </w:rPr>
              <w:t>Reforma 1.: Jedinstvene kontaktne točke za energetske zajednice i obnovu radi energetske učinkovitosti</w:t>
            </w:r>
          </w:p>
          <w:p w14:paraId="1D78CD3F" w14:textId="006DED76" w:rsidR="00615E2D" w:rsidRDefault="00615E2D">
            <w:pPr>
              <w:spacing w:before="0" w:after="0" w:line="240" w:lineRule="auto"/>
              <w:rPr>
                <w:rFonts w:eastAsia="Times New Roman"/>
                <w:noProof/>
                <w:color w:val="006100"/>
                <w:sz w:val="18"/>
              </w:rPr>
            </w:pPr>
          </w:p>
        </w:tc>
        <w:tc>
          <w:tcPr>
            <w:tcW w:w="1134" w:type="dxa"/>
            <w:shd w:val="clear" w:color="auto" w:fill="C6EFCE"/>
            <w:vAlign w:val="center"/>
            <w:hideMark/>
          </w:tcPr>
          <w:p w14:paraId="3E66BBA2" w14:textId="4DFD459E" w:rsidR="00615E2D" w:rsidRDefault="00C83E46">
            <w:pPr>
              <w:pStyle w:val="P68B1DB1-Normal11"/>
              <w:spacing w:before="0" w:after="0" w:line="240" w:lineRule="auto"/>
              <w:rPr>
                <w:noProof/>
              </w:rPr>
            </w:pPr>
            <w:r>
              <w:rPr>
                <w:noProof/>
              </w:rPr>
              <w:t>Prekretnica</w:t>
            </w:r>
          </w:p>
        </w:tc>
        <w:tc>
          <w:tcPr>
            <w:tcW w:w="1546" w:type="dxa"/>
            <w:shd w:val="clear" w:color="auto" w:fill="C6EFCE"/>
            <w:vAlign w:val="center"/>
            <w:hideMark/>
          </w:tcPr>
          <w:p w14:paraId="06391637" w14:textId="65632DF5" w:rsidR="00615E2D" w:rsidRDefault="00C83E46">
            <w:pPr>
              <w:pStyle w:val="P68B1DB1-Normal11"/>
              <w:spacing w:before="0" w:after="0" w:line="240" w:lineRule="auto"/>
              <w:rPr>
                <w:noProof/>
              </w:rPr>
            </w:pPr>
            <w:r>
              <w:rPr>
                <w:noProof/>
              </w:rPr>
              <w:t>Jedinstvena kontaktna točka za energiju</w:t>
            </w:r>
          </w:p>
        </w:tc>
        <w:tc>
          <w:tcPr>
            <w:tcW w:w="1799" w:type="dxa"/>
            <w:shd w:val="clear" w:color="auto" w:fill="C6EFCE"/>
            <w:vAlign w:val="center"/>
            <w:hideMark/>
          </w:tcPr>
          <w:p w14:paraId="5715DFB8" w14:textId="5A56F510" w:rsidR="00615E2D" w:rsidRDefault="00C83E46">
            <w:pPr>
              <w:pStyle w:val="P68B1DB1-Normal11"/>
              <w:spacing w:before="0" w:after="0" w:line="240" w:lineRule="auto"/>
              <w:rPr>
                <w:noProof/>
              </w:rPr>
            </w:pPr>
            <w:r>
              <w:rPr>
                <w:noProof/>
              </w:rPr>
              <w:t>Početak rada tijela „sve na jednom mjestu”</w:t>
            </w:r>
          </w:p>
        </w:tc>
        <w:tc>
          <w:tcPr>
            <w:tcW w:w="988" w:type="dxa"/>
            <w:shd w:val="clear" w:color="auto" w:fill="C6EFCE"/>
            <w:vAlign w:val="center"/>
          </w:tcPr>
          <w:p w14:paraId="7D348855" w14:textId="55043B8E"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635F13B2" w14:textId="1E6DA123"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51838661" w14:textId="6ECB7A6D" w:rsidR="00615E2D" w:rsidRDefault="00615E2D">
            <w:pPr>
              <w:spacing w:before="0" w:after="0" w:line="240" w:lineRule="auto"/>
              <w:jc w:val="center"/>
              <w:rPr>
                <w:rFonts w:eastAsia="Times New Roman"/>
                <w:noProof/>
                <w:color w:val="006100"/>
                <w:sz w:val="18"/>
              </w:rPr>
            </w:pPr>
          </w:p>
        </w:tc>
        <w:tc>
          <w:tcPr>
            <w:tcW w:w="1021" w:type="dxa"/>
            <w:shd w:val="clear" w:color="auto" w:fill="C6EFCE"/>
            <w:vAlign w:val="center"/>
            <w:hideMark/>
          </w:tcPr>
          <w:p w14:paraId="3DC71499" w14:textId="0C7712F3" w:rsidR="00615E2D" w:rsidRDefault="00C83E46">
            <w:pPr>
              <w:pStyle w:val="P68B1DB1-Normal11"/>
              <w:spacing w:before="0" w:after="0" w:line="240" w:lineRule="auto"/>
              <w:jc w:val="center"/>
              <w:rPr>
                <w:noProof/>
              </w:rPr>
            </w:pPr>
            <w:r>
              <w:rPr>
                <w:noProof/>
              </w:rPr>
              <w:t xml:space="preserve">ČETVRTO TROMJESEČJE </w:t>
            </w:r>
          </w:p>
        </w:tc>
        <w:tc>
          <w:tcPr>
            <w:tcW w:w="658" w:type="dxa"/>
            <w:shd w:val="clear" w:color="auto" w:fill="C6EFCE"/>
            <w:vAlign w:val="center"/>
            <w:hideMark/>
          </w:tcPr>
          <w:p w14:paraId="196E17DD" w14:textId="6704FE0D" w:rsidR="00615E2D" w:rsidRDefault="00C83E46">
            <w:pPr>
              <w:pStyle w:val="P68B1DB1-Normal11"/>
              <w:spacing w:before="0" w:after="0" w:line="240" w:lineRule="auto"/>
              <w:jc w:val="center"/>
              <w:rPr>
                <w:noProof/>
              </w:rPr>
            </w:pPr>
            <w:r>
              <w:rPr>
                <w:noProof/>
              </w:rPr>
              <w:t>2024</w:t>
            </w:r>
          </w:p>
        </w:tc>
        <w:tc>
          <w:tcPr>
            <w:tcW w:w="4128" w:type="dxa"/>
            <w:shd w:val="clear" w:color="auto" w:fill="C6EFCE"/>
            <w:vAlign w:val="bottom"/>
            <w:hideMark/>
          </w:tcPr>
          <w:p w14:paraId="1D74B77F" w14:textId="23184990" w:rsidR="00615E2D" w:rsidRDefault="00C83E46">
            <w:pPr>
              <w:pStyle w:val="P68B1DB1-Normal11"/>
              <w:spacing w:line="240" w:lineRule="auto"/>
              <w:jc w:val="both"/>
              <w:rPr>
                <w:noProof/>
              </w:rPr>
            </w:pPr>
            <w:r>
              <w:rPr>
                <w:noProof/>
              </w:rPr>
              <w:t xml:space="preserve">Uspostava i početak rada jedinstvene kontaktne točke (OSS) koja pruža tehničku potporu, olakšava rani pristup financiranju (za ugovaranje usluga ili ulaganje u opremu) i informacije za osnivanje energetske zajednice. </w:t>
            </w:r>
          </w:p>
          <w:p w14:paraId="36A64B33" w14:textId="5CE61977" w:rsidR="00615E2D" w:rsidRDefault="00C83E46">
            <w:pPr>
              <w:pStyle w:val="P68B1DB1-Normal11"/>
              <w:spacing w:line="240" w:lineRule="auto"/>
              <w:jc w:val="both"/>
              <w:rPr>
                <w:noProof/>
              </w:rPr>
            </w:pPr>
            <w:r>
              <w:rPr>
                <w:noProof/>
              </w:rPr>
              <w:t>Jedinstvena kontaktna točka pruža smjernice o zakonodavnim zahtjevima i predlošcima dokumenata kako bi pomogla u postupcima izdavanja dozvola i izdavanja dozvola.</w:t>
            </w:r>
          </w:p>
          <w:p w14:paraId="4D20CA86" w14:textId="5C751BD0" w:rsidR="00615E2D" w:rsidRDefault="00C83E46">
            <w:pPr>
              <w:pStyle w:val="P68B1DB1-Normal11"/>
              <w:spacing w:line="240" w:lineRule="auto"/>
              <w:jc w:val="both"/>
              <w:rPr>
                <w:noProof/>
              </w:rPr>
            </w:pPr>
            <w:r>
              <w:rPr>
                <w:noProof/>
              </w:rPr>
              <w:t>Jedinstvena kontaktna točka pruža potporu i savjete o energetski učinkovitim obnovama kućanstvima, poduzećima i javnom sektoru.</w:t>
            </w:r>
          </w:p>
          <w:p w14:paraId="2F962A70" w14:textId="45931556" w:rsidR="00615E2D" w:rsidRDefault="00615E2D">
            <w:pPr>
              <w:spacing w:before="0" w:after="0" w:line="240" w:lineRule="auto"/>
              <w:rPr>
                <w:rFonts w:eastAsia="Times New Roman"/>
                <w:noProof/>
                <w:color w:val="006100"/>
                <w:sz w:val="18"/>
              </w:rPr>
            </w:pPr>
          </w:p>
        </w:tc>
      </w:tr>
      <w:tr w:rsidR="00615E2D" w14:paraId="4F9CE002" w14:textId="77777777">
        <w:trPr>
          <w:trHeight w:val="309"/>
          <w:jc w:val="center"/>
        </w:trPr>
        <w:tc>
          <w:tcPr>
            <w:tcW w:w="654" w:type="dxa"/>
            <w:shd w:val="clear" w:color="auto" w:fill="C6EFCE"/>
            <w:vAlign w:val="center"/>
          </w:tcPr>
          <w:p w14:paraId="65BFF062" w14:textId="7284DDE9" w:rsidR="00615E2D" w:rsidRDefault="00C83E46">
            <w:pPr>
              <w:pStyle w:val="P68B1DB1-Normal11"/>
              <w:spacing w:before="0" w:after="0" w:line="240" w:lineRule="auto"/>
              <w:jc w:val="center"/>
              <w:rPr>
                <w:noProof/>
              </w:rPr>
            </w:pPr>
            <w:r>
              <w:rPr>
                <w:noProof/>
              </w:rPr>
              <w:t>319</w:t>
            </w:r>
          </w:p>
        </w:tc>
        <w:tc>
          <w:tcPr>
            <w:tcW w:w="1625" w:type="dxa"/>
            <w:shd w:val="clear" w:color="auto" w:fill="C6EFCE"/>
            <w:vAlign w:val="center"/>
          </w:tcPr>
          <w:p w14:paraId="0F75CFB3" w14:textId="22DB67A0" w:rsidR="00615E2D" w:rsidRDefault="00C83E46">
            <w:pPr>
              <w:pStyle w:val="P68B1DB1-Normal11"/>
              <w:spacing w:before="0" w:after="0" w:line="240" w:lineRule="auto"/>
              <w:rPr>
                <w:noProof/>
              </w:rPr>
            </w:pPr>
            <w:r>
              <w:rPr>
                <w:noProof/>
              </w:rPr>
              <w:t>Reforma 1.: Jedinstvene kontaktne točke za energetske zajednice i obnovu radi energetske učinkovitosti</w:t>
            </w:r>
          </w:p>
        </w:tc>
        <w:tc>
          <w:tcPr>
            <w:tcW w:w="1134" w:type="dxa"/>
            <w:shd w:val="clear" w:color="auto" w:fill="C6EFCE"/>
            <w:vAlign w:val="center"/>
          </w:tcPr>
          <w:p w14:paraId="35ADAF50" w14:textId="291D86EA" w:rsidR="00615E2D" w:rsidRDefault="00C83E46">
            <w:pPr>
              <w:pStyle w:val="P68B1DB1-Normal11"/>
              <w:spacing w:before="0" w:after="0" w:line="240" w:lineRule="auto"/>
              <w:rPr>
                <w:noProof/>
              </w:rPr>
            </w:pPr>
            <w:r>
              <w:rPr>
                <w:noProof/>
              </w:rPr>
              <w:t>Prekretnica</w:t>
            </w:r>
          </w:p>
        </w:tc>
        <w:tc>
          <w:tcPr>
            <w:tcW w:w="1546" w:type="dxa"/>
            <w:shd w:val="clear" w:color="auto" w:fill="C6EFCE"/>
            <w:vAlign w:val="center"/>
          </w:tcPr>
          <w:p w14:paraId="632B6D1F" w14:textId="53190B22" w:rsidR="00615E2D" w:rsidRDefault="00C83E46">
            <w:pPr>
              <w:pStyle w:val="P68B1DB1-Normal11"/>
              <w:spacing w:before="0" w:after="0" w:line="240" w:lineRule="auto"/>
              <w:rPr>
                <w:noProof/>
              </w:rPr>
            </w:pPr>
            <w:r>
              <w:rPr>
                <w:noProof/>
              </w:rPr>
              <w:t>Evaluacija pilot-operacija triju jedinstvenih kontaktnih točaka za energiju</w:t>
            </w:r>
          </w:p>
        </w:tc>
        <w:tc>
          <w:tcPr>
            <w:tcW w:w="1799" w:type="dxa"/>
            <w:shd w:val="clear" w:color="auto" w:fill="C6EFCE"/>
            <w:vAlign w:val="center"/>
          </w:tcPr>
          <w:p w14:paraId="14062F08" w14:textId="17E89AB2" w:rsidR="00615E2D" w:rsidRDefault="00C83E46">
            <w:pPr>
              <w:pStyle w:val="P68B1DB1-Normal11"/>
              <w:spacing w:before="0" w:after="0" w:line="240" w:lineRule="auto"/>
              <w:rPr>
                <w:noProof/>
              </w:rPr>
            </w:pPr>
            <w:r>
              <w:rPr>
                <w:noProof/>
              </w:rPr>
              <w:t>Evaluacijska studija rada triju regionalnih jedinstvenih kontaktnih točaka</w:t>
            </w:r>
          </w:p>
        </w:tc>
        <w:tc>
          <w:tcPr>
            <w:tcW w:w="988" w:type="dxa"/>
            <w:shd w:val="clear" w:color="auto" w:fill="C6EFCE"/>
            <w:vAlign w:val="center"/>
          </w:tcPr>
          <w:p w14:paraId="4C47078B"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5BF93DD4" w14:textId="77777777"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03C5E229" w14:textId="77777777" w:rsidR="00615E2D" w:rsidRDefault="00615E2D">
            <w:pPr>
              <w:spacing w:before="0" w:after="0" w:line="240" w:lineRule="auto"/>
              <w:jc w:val="center"/>
              <w:rPr>
                <w:rFonts w:eastAsia="Times New Roman"/>
                <w:noProof/>
                <w:color w:val="006100"/>
                <w:sz w:val="18"/>
              </w:rPr>
            </w:pPr>
          </w:p>
        </w:tc>
        <w:tc>
          <w:tcPr>
            <w:tcW w:w="1021" w:type="dxa"/>
            <w:shd w:val="clear" w:color="auto" w:fill="C6EFCE"/>
            <w:vAlign w:val="center"/>
          </w:tcPr>
          <w:p w14:paraId="5981E0D6" w14:textId="7995B5FA" w:rsidR="00615E2D" w:rsidRDefault="00C83E46">
            <w:pPr>
              <w:pStyle w:val="P68B1DB1-Normal11"/>
              <w:spacing w:before="0" w:after="0" w:line="240" w:lineRule="auto"/>
              <w:jc w:val="center"/>
              <w:rPr>
                <w:noProof/>
              </w:rPr>
            </w:pPr>
            <w:r>
              <w:rPr>
                <w:noProof/>
              </w:rPr>
              <w:t>ČETVRTO TROMJESEČJE</w:t>
            </w:r>
          </w:p>
        </w:tc>
        <w:tc>
          <w:tcPr>
            <w:tcW w:w="658" w:type="dxa"/>
            <w:shd w:val="clear" w:color="auto" w:fill="C6EFCE"/>
            <w:vAlign w:val="center"/>
          </w:tcPr>
          <w:p w14:paraId="669B5672" w14:textId="7F73395E" w:rsidR="00615E2D" w:rsidRDefault="00C83E46">
            <w:pPr>
              <w:pStyle w:val="P68B1DB1-Normal11"/>
              <w:spacing w:before="0" w:after="0" w:line="240" w:lineRule="auto"/>
              <w:jc w:val="center"/>
              <w:rPr>
                <w:noProof/>
              </w:rPr>
            </w:pPr>
            <w:r>
              <w:rPr>
                <w:noProof/>
              </w:rPr>
              <w:t>2025</w:t>
            </w:r>
          </w:p>
        </w:tc>
        <w:tc>
          <w:tcPr>
            <w:tcW w:w="4128" w:type="dxa"/>
            <w:shd w:val="clear" w:color="auto" w:fill="C6EFCE"/>
            <w:vAlign w:val="bottom"/>
          </w:tcPr>
          <w:p w14:paraId="7050320C" w14:textId="3A091FE3" w:rsidR="00615E2D" w:rsidRDefault="00C83E46">
            <w:pPr>
              <w:pStyle w:val="P68B1DB1-Normal11"/>
              <w:spacing w:before="0" w:after="0" w:line="240" w:lineRule="auto"/>
              <w:rPr>
                <w:noProof/>
              </w:rPr>
            </w:pPr>
            <w:r>
              <w:rPr>
                <w:noProof/>
              </w:rPr>
              <w:t>Provedba evaluacije pilot-operacija triju regionalnih jedinstvenih kontaktnih točaka koje kućanstvima, poduzećima i javnom sektoru pružaju savjete o energetskim zajednicama i energetskoj obnovi</w:t>
            </w:r>
          </w:p>
        </w:tc>
      </w:tr>
      <w:tr w:rsidR="00615E2D" w14:paraId="17F38092" w14:textId="77777777">
        <w:trPr>
          <w:trHeight w:val="309"/>
          <w:jc w:val="center"/>
        </w:trPr>
        <w:tc>
          <w:tcPr>
            <w:tcW w:w="654" w:type="dxa"/>
            <w:shd w:val="clear" w:color="auto" w:fill="C6EFCE"/>
            <w:vAlign w:val="center"/>
          </w:tcPr>
          <w:p w14:paraId="5139761E" w14:textId="00289340" w:rsidR="00615E2D" w:rsidRDefault="00C83E46">
            <w:pPr>
              <w:pStyle w:val="P68B1DB1-Normal11"/>
              <w:spacing w:before="0" w:after="0" w:line="240" w:lineRule="auto"/>
              <w:jc w:val="center"/>
              <w:rPr>
                <w:noProof/>
              </w:rPr>
            </w:pPr>
            <w:r>
              <w:rPr>
                <w:noProof/>
              </w:rPr>
              <w:t>320</w:t>
            </w:r>
          </w:p>
        </w:tc>
        <w:tc>
          <w:tcPr>
            <w:tcW w:w="1625" w:type="dxa"/>
            <w:shd w:val="clear" w:color="auto" w:fill="C6EFCE"/>
            <w:vAlign w:val="center"/>
          </w:tcPr>
          <w:p w14:paraId="2475444D" w14:textId="7122C41D" w:rsidR="00615E2D" w:rsidRDefault="00C83E46">
            <w:pPr>
              <w:pStyle w:val="P68B1DB1-Normal11"/>
              <w:spacing w:before="0" w:after="0" w:line="240" w:lineRule="auto"/>
              <w:rPr>
                <w:noProof/>
              </w:rPr>
            </w:pPr>
            <w:r>
              <w:rPr>
                <w:noProof/>
              </w:rPr>
              <w:t>Reforma br. 2: Podaci, metodološke smjernice i osposobljavanja za savjetodavni sustav</w:t>
            </w:r>
          </w:p>
        </w:tc>
        <w:tc>
          <w:tcPr>
            <w:tcW w:w="1134" w:type="dxa"/>
            <w:shd w:val="clear" w:color="auto" w:fill="C6EFCE"/>
            <w:vAlign w:val="center"/>
          </w:tcPr>
          <w:p w14:paraId="41CA0AED" w14:textId="2D82F3C7" w:rsidR="00615E2D" w:rsidRDefault="00C83E46">
            <w:pPr>
              <w:pStyle w:val="P68B1DB1-Normal11"/>
              <w:spacing w:before="0" w:after="0" w:line="240" w:lineRule="auto"/>
              <w:rPr>
                <w:noProof/>
              </w:rPr>
            </w:pPr>
            <w:r>
              <w:rPr>
                <w:noProof/>
              </w:rPr>
              <w:t>Prekretnica</w:t>
            </w:r>
          </w:p>
        </w:tc>
        <w:tc>
          <w:tcPr>
            <w:tcW w:w="1546" w:type="dxa"/>
            <w:shd w:val="clear" w:color="auto" w:fill="C6EFCE"/>
            <w:vAlign w:val="center"/>
          </w:tcPr>
          <w:p w14:paraId="7F11EE7A" w14:textId="03B63A88" w:rsidR="00615E2D" w:rsidRDefault="00C83E46">
            <w:pPr>
              <w:pStyle w:val="P68B1DB1-Normal11"/>
              <w:spacing w:before="0" w:after="0" w:line="240" w:lineRule="auto"/>
              <w:rPr>
                <w:noProof/>
              </w:rPr>
            </w:pPr>
            <w:r>
              <w:rPr>
                <w:noProof/>
              </w:rPr>
              <w:t xml:space="preserve">Podaci, metodološke smjernice </w:t>
            </w:r>
          </w:p>
        </w:tc>
        <w:tc>
          <w:tcPr>
            <w:tcW w:w="1799" w:type="dxa"/>
            <w:shd w:val="clear" w:color="auto" w:fill="C6EFCE"/>
            <w:vAlign w:val="center"/>
          </w:tcPr>
          <w:p w14:paraId="6DF6A9FD" w14:textId="2D4812F6" w:rsidR="00615E2D" w:rsidRDefault="00C83E46">
            <w:pPr>
              <w:pStyle w:val="P68B1DB1-Normal11"/>
              <w:spacing w:before="0" w:after="0" w:line="240" w:lineRule="auto"/>
              <w:rPr>
                <w:noProof/>
              </w:rPr>
            </w:pPr>
            <w:r>
              <w:rPr>
                <w:noProof/>
              </w:rPr>
              <w:t xml:space="preserve">Podaci, metodološke smjernice </w:t>
            </w:r>
          </w:p>
        </w:tc>
        <w:tc>
          <w:tcPr>
            <w:tcW w:w="988" w:type="dxa"/>
            <w:shd w:val="clear" w:color="auto" w:fill="C6EFCE"/>
            <w:vAlign w:val="center"/>
          </w:tcPr>
          <w:p w14:paraId="2AE44FDD"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13D89BFE" w14:textId="77777777" w:rsidR="00615E2D" w:rsidRDefault="00615E2D">
            <w:pPr>
              <w:spacing w:before="0" w:after="0" w:line="240" w:lineRule="auto"/>
              <w:jc w:val="center"/>
              <w:rPr>
                <w:rFonts w:eastAsia="Times New Roman"/>
                <w:noProof/>
                <w:color w:val="006100"/>
                <w:sz w:val="18"/>
              </w:rPr>
            </w:pPr>
          </w:p>
        </w:tc>
        <w:tc>
          <w:tcPr>
            <w:tcW w:w="988" w:type="dxa"/>
            <w:shd w:val="clear" w:color="auto" w:fill="C6EFCE"/>
            <w:vAlign w:val="center"/>
          </w:tcPr>
          <w:p w14:paraId="77E5166B" w14:textId="77777777" w:rsidR="00615E2D" w:rsidRDefault="00615E2D">
            <w:pPr>
              <w:spacing w:before="0" w:after="0" w:line="240" w:lineRule="auto"/>
              <w:jc w:val="center"/>
              <w:rPr>
                <w:rFonts w:eastAsia="Times New Roman"/>
                <w:noProof/>
                <w:color w:val="006100"/>
                <w:sz w:val="18"/>
              </w:rPr>
            </w:pPr>
          </w:p>
        </w:tc>
        <w:tc>
          <w:tcPr>
            <w:tcW w:w="1021" w:type="dxa"/>
            <w:shd w:val="clear" w:color="auto" w:fill="C6EFCE"/>
            <w:vAlign w:val="center"/>
          </w:tcPr>
          <w:p w14:paraId="2A99FB16" w14:textId="71864238" w:rsidR="00615E2D" w:rsidRDefault="00C83E46">
            <w:pPr>
              <w:pStyle w:val="P68B1DB1-Normal11"/>
              <w:jc w:val="center"/>
              <w:rPr>
                <w:noProof/>
              </w:rPr>
            </w:pPr>
            <w:r>
              <w:rPr>
                <w:noProof/>
              </w:rPr>
              <w:t>TROMJESEČJE</w:t>
            </w:r>
          </w:p>
        </w:tc>
        <w:tc>
          <w:tcPr>
            <w:tcW w:w="658" w:type="dxa"/>
            <w:shd w:val="clear" w:color="auto" w:fill="C6EFCE"/>
            <w:vAlign w:val="center"/>
          </w:tcPr>
          <w:p w14:paraId="70424A57" w14:textId="13539757" w:rsidR="00615E2D" w:rsidRDefault="00C83E46">
            <w:pPr>
              <w:pStyle w:val="P68B1DB1-Normal11"/>
              <w:spacing w:before="0" w:after="0" w:line="240" w:lineRule="auto"/>
              <w:jc w:val="center"/>
              <w:rPr>
                <w:noProof/>
              </w:rPr>
            </w:pPr>
            <w:r>
              <w:rPr>
                <w:noProof/>
              </w:rPr>
              <w:t>2025</w:t>
            </w:r>
          </w:p>
        </w:tc>
        <w:tc>
          <w:tcPr>
            <w:tcW w:w="4128" w:type="dxa"/>
            <w:shd w:val="clear" w:color="auto" w:fill="C6EFCE"/>
            <w:vAlign w:val="bottom"/>
          </w:tcPr>
          <w:p w14:paraId="08E1B276" w14:textId="1E031393" w:rsidR="00615E2D" w:rsidRDefault="00C83E46">
            <w:pPr>
              <w:pStyle w:val="P68B1DB1-Normal11"/>
              <w:spacing w:after="0" w:line="240" w:lineRule="auto"/>
              <w:rPr>
                <w:noProof/>
              </w:rPr>
            </w:pPr>
            <w:r>
              <w:rPr>
                <w:noProof/>
              </w:rPr>
              <w:t>Priprema podataka i metodoloških smjernica koje će se koristiti u pružanju savjetodavnih usluga kućanstvima, poduzećima i javnom sektoru. Metodološke smjernice uključuju modul o energetskom siromaštvu i načinu savjetovanja ranjivih kućanstava.</w:t>
            </w:r>
          </w:p>
          <w:p w14:paraId="3A2AD328" w14:textId="04FC101E" w:rsidR="00615E2D" w:rsidRDefault="00615E2D">
            <w:pPr>
              <w:spacing w:before="0" w:after="0" w:line="240" w:lineRule="auto"/>
              <w:rPr>
                <w:rFonts w:eastAsia="Times New Roman"/>
                <w:noProof/>
                <w:color w:val="006100"/>
                <w:sz w:val="18"/>
              </w:rPr>
            </w:pPr>
          </w:p>
        </w:tc>
      </w:tr>
      <w:tr w:rsidR="00615E2D" w14:paraId="061F3843" w14:textId="77777777">
        <w:trPr>
          <w:trHeight w:val="309"/>
          <w:jc w:val="center"/>
        </w:trPr>
        <w:tc>
          <w:tcPr>
            <w:tcW w:w="654" w:type="dxa"/>
            <w:shd w:val="clear" w:color="auto" w:fill="C6EFCE"/>
            <w:vAlign w:val="center"/>
          </w:tcPr>
          <w:p w14:paraId="51905E37" w14:textId="54EC9036" w:rsidR="00615E2D" w:rsidRDefault="00C83E46">
            <w:pPr>
              <w:pStyle w:val="P68B1DB1-Normal11"/>
              <w:spacing w:before="0" w:after="0" w:line="240" w:lineRule="auto"/>
              <w:jc w:val="center"/>
              <w:rPr>
                <w:noProof/>
              </w:rPr>
            </w:pPr>
            <w:r>
              <w:rPr>
                <w:noProof/>
              </w:rPr>
              <w:t>321</w:t>
            </w:r>
          </w:p>
        </w:tc>
        <w:tc>
          <w:tcPr>
            <w:tcW w:w="1625" w:type="dxa"/>
            <w:shd w:val="clear" w:color="auto" w:fill="C6EFCE"/>
            <w:vAlign w:val="center"/>
          </w:tcPr>
          <w:p w14:paraId="2A7B525A" w14:textId="675E6EAD" w:rsidR="00615E2D" w:rsidRDefault="00C83E46">
            <w:pPr>
              <w:pStyle w:val="P68B1DB1-Normal11"/>
              <w:spacing w:before="0" w:after="0" w:line="240" w:lineRule="auto"/>
              <w:rPr>
                <w:noProof/>
              </w:rPr>
            </w:pPr>
            <w:r>
              <w:rPr>
                <w:noProof/>
              </w:rPr>
              <w:t>Reforma br. 2: Podaci, metodološke smjernice i osposobljavanja za savjetodavni sustav</w:t>
            </w:r>
          </w:p>
        </w:tc>
        <w:tc>
          <w:tcPr>
            <w:tcW w:w="1134" w:type="dxa"/>
            <w:shd w:val="clear" w:color="auto" w:fill="C6EFCE"/>
            <w:vAlign w:val="center"/>
          </w:tcPr>
          <w:p w14:paraId="58130F86" w14:textId="699179F9" w:rsidR="00615E2D" w:rsidRDefault="00C83E46">
            <w:pPr>
              <w:pStyle w:val="P68B1DB1-Normal11"/>
              <w:spacing w:before="0" w:after="0" w:line="240" w:lineRule="auto"/>
              <w:rPr>
                <w:noProof/>
              </w:rPr>
            </w:pPr>
            <w:r>
              <w:rPr>
                <w:noProof/>
              </w:rPr>
              <w:t>Ciljna</w:t>
            </w:r>
          </w:p>
        </w:tc>
        <w:tc>
          <w:tcPr>
            <w:tcW w:w="1546" w:type="dxa"/>
            <w:shd w:val="clear" w:color="auto" w:fill="C6EFCE"/>
            <w:vAlign w:val="center"/>
          </w:tcPr>
          <w:p w14:paraId="6E4776CC" w14:textId="5544D26D" w:rsidR="00615E2D" w:rsidRDefault="00C83E46">
            <w:pPr>
              <w:pStyle w:val="P68B1DB1-Normal11"/>
              <w:spacing w:before="0" w:after="0" w:line="240" w:lineRule="auto"/>
              <w:rPr>
                <w:noProof/>
              </w:rPr>
            </w:pPr>
            <w:r>
              <w:rPr>
                <w:noProof/>
              </w:rPr>
              <w:t>Broj pruženih osposobljavanja</w:t>
            </w:r>
          </w:p>
        </w:tc>
        <w:tc>
          <w:tcPr>
            <w:tcW w:w="1799" w:type="dxa"/>
            <w:shd w:val="clear" w:color="auto" w:fill="C6EFCE"/>
            <w:vAlign w:val="center"/>
          </w:tcPr>
          <w:p w14:paraId="46A55842"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5037C866" w14:textId="4F597A02" w:rsidR="00615E2D" w:rsidRDefault="00C83E46">
            <w:pPr>
              <w:pStyle w:val="P68B1DB1-Normal11"/>
              <w:spacing w:before="0" w:after="0" w:line="240" w:lineRule="auto"/>
              <w:rPr>
                <w:noProof/>
              </w:rPr>
            </w:pPr>
            <w:r>
              <w:rPr>
                <w:noProof/>
              </w:rPr>
              <w:t>Broj osposobljenih stručnjaka</w:t>
            </w:r>
          </w:p>
        </w:tc>
        <w:tc>
          <w:tcPr>
            <w:tcW w:w="988" w:type="dxa"/>
            <w:shd w:val="clear" w:color="auto" w:fill="C6EFCE"/>
            <w:vAlign w:val="center"/>
          </w:tcPr>
          <w:p w14:paraId="070FC487" w14:textId="667F85C8" w:rsidR="00615E2D" w:rsidRDefault="00C83E46">
            <w:pPr>
              <w:pStyle w:val="P68B1DB1-Normal11"/>
              <w:spacing w:before="0" w:after="0" w:line="240" w:lineRule="auto"/>
              <w:jc w:val="center"/>
              <w:rPr>
                <w:noProof/>
              </w:rPr>
            </w:pPr>
            <w:r>
              <w:rPr>
                <w:noProof/>
              </w:rPr>
              <w:t>0</w:t>
            </w:r>
          </w:p>
        </w:tc>
        <w:tc>
          <w:tcPr>
            <w:tcW w:w="988" w:type="dxa"/>
            <w:shd w:val="clear" w:color="auto" w:fill="C6EFCE"/>
            <w:vAlign w:val="center"/>
          </w:tcPr>
          <w:p w14:paraId="02F32FDC" w14:textId="111D0BC2" w:rsidR="00615E2D" w:rsidRDefault="00C83E46">
            <w:pPr>
              <w:pStyle w:val="P68B1DB1-Normal11"/>
              <w:spacing w:before="0" w:after="0" w:line="240" w:lineRule="auto"/>
              <w:jc w:val="center"/>
              <w:rPr>
                <w:noProof/>
              </w:rPr>
            </w:pPr>
            <w:r>
              <w:rPr>
                <w:noProof/>
              </w:rPr>
              <w:t>100</w:t>
            </w:r>
          </w:p>
        </w:tc>
        <w:tc>
          <w:tcPr>
            <w:tcW w:w="1021" w:type="dxa"/>
            <w:shd w:val="clear" w:color="auto" w:fill="C6EFCE"/>
            <w:vAlign w:val="center"/>
          </w:tcPr>
          <w:p w14:paraId="467FC2F8" w14:textId="2831CDBD" w:rsidR="00615E2D" w:rsidRDefault="00C83E46">
            <w:pPr>
              <w:pStyle w:val="P68B1DB1-Normal11"/>
              <w:jc w:val="center"/>
              <w:rPr>
                <w:noProof/>
              </w:rPr>
            </w:pPr>
            <w:r>
              <w:rPr>
                <w:noProof/>
              </w:rPr>
              <w:t>TROMJESEČJE</w:t>
            </w:r>
          </w:p>
        </w:tc>
        <w:tc>
          <w:tcPr>
            <w:tcW w:w="658" w:type="dxa"/>
            <w:shd w:val="clear" w:color="auto" w:fill="C6EFCE"/>
            <w:vAlign w:val="center"/>
          </w:tcPr>
          <w:p w14:paraId="2E6778D7" w14:textId="54B37F10" w:rsidR="00615E2D" w:rsidRDefault="00C83E46">
            <w:pPr>
              <w:pStyle w:val="P68B1DB1-Normal11"/>
              <w:spacing w:before="0" w:after="0" w:line="240" w:lineRule="auto"/>
              <w:jc w:val="center"/>
              <w:rPr>
                <w:noProof/>
              </w:rPr>
            </w:pPr>
            <w:r>
              <w:rPr>
                <w:noProof/>
              </w:rPr>
              <w:t>2025</w:t>
            </w:r>
          </w:p>
        </w:tc>
        <w:tc>
          <w:tcPr>
            <w:tcW w:w="4128" w:type="dxa"/>
            <w:shd w:val="clear" w:color="auto" w:fill="C6EFCE"/>
            <w:vAlign w:val="bottom"/>
          </w:tcPr>
          <w:p w14:paraId="5293AB4B" w14:textId="6BCE2176" w:rsidR="00615E2D" w:rsidRDefault="00C83E46">
            <w:pPr>
              <w:pStyle w:val="P68B1DB1-Normal11"/>
              <w:spacing w:after="0" w:line="240" w:lineRule="auto"/>
              <w:rPr>
                <w:noProof/>
              </w:rPr>
            </w:pPr>
            <w:r>
              <w:rPr>
                <w:noProof/>
              </w:rPr>
              <w:t>Završeno je osposobljavanje za najmanje 100 stručnjaka za val obnove</w:t>
            </w:r>
          </w:p>
        </w:tc>
      </w:tr>
      <w:tr w:rsidR="00615E2D" w14:paraId="51208CD4" w14:textId="77777777">
        <w:trPr>
          <w:trHeight w:val="309"/>
          <w:jc w:val="center"/>
        </w:trPr>
        <w:tc>
          <w:tcPr>
            <w:tcW w:w="654" w:type="dxa"/>
            <w:shd w:val="clear" w:color="auto" w:fill="C6EFCE"/>
            <w:vAlign w:val="center"/>
          </w:tcPr>
          <w:p w14:paraId="147FDE19" w14:textId="0BFF0B3A" w:rsidR="00615E2D" w:rsidRDefault="00C83E46">
            <w:pPr>
              <w:pStyle w:val="P68B1DB1-Normal11"/>
              <w:spacing w:before="0" w:after="0" w:line="240" w:lineRule="auto"/>
              <w:jc w:val="center"/>
              <w:rPr>
                <w:noProof/>
              </w:rPr>
            </w:pPr>
            <w:r>
              <w:rPr>
                <w:noProof/>
              </w:rPr>
              <w:t>322</w:t>
            </w:r>
          </w:p>
        </w:tc>
        <w:tc>
          <w:tcPr>
            <w:tcW w:w="1625" w:type="dxa"/>
            <w:shd w:val="clear" w:color="auto" w:fill="C6EFCE"/>
            <w:vAlign w:val="center"/>
          </w:tcPr>
          <w:p w14:paraId="0878309D" w14:textId="52B16C2E" w:rsidR="00615E2D" w:rsidRDefault="00C83E46">
            <w:pPr>
              <w:pStyle w:val="P68B1DB1-Normal11"/>
              <w:spacing w:before="0" w:after="0" w:line="240" w:lineRule="auto"/>
              <w:rPr>
                <w:noProof/>
              </w:rPr>
            </w:pPr>
            <w:r>
              <w:rPr>
                <w:noProof/>
              </w:rPr>
              <w:t>Ulaganje 1: Pružanje savjetodavnih usluga kućanstvima, poduzećima i javnom sektoru</w:t>
            </w:r>
          </w:p>
        </w:tc>
        <w:tc>
          <w:tcPr>
            <w:tcW w:w="1134" w:type="dxa"/>
            <w:shd w:val="clear" w:color="auto" w:fill="C6EFCE"/>
            <w:vAlign w:val="center"/>
          </w:tcPr>
          <w:p w14:paraId="05EDAE1C" w14:textId="4E487670" w:rsidR="00615E2D" w:rsidRDefault="00C83E46">
            <w:pPr>
              <w:pStyle w:val="P68B1DB1-Normal11"/>
              <w:spacing w:before="0" w:after="0" w:line="240" w:lineRule="auto"/>
              <w:rPr>
                <w:noProof/>
              </w:rPr>
            </w:pPr>
            <w:r>
              <w:rPr>
                <w:noProof/>
              </w:rPr>
              <w:t>Ciljna</w:t>
            </w:r>
          </w:p>
        </w:tc>
        <w:tc>
          <w:tcPr>
            <w:tcW w:w="1546" w:type="dxa"/>
            <w:shd w:val="clear" w:color="auto" w:fill="C6EFCE"/>
            <w:vAlign w:val="center"/>
          </w:tcPr>
          <w:p w14:paraId="0A3D2F0F" w14:textId="5F8B6DDF" w:rsidR="00615E2D" w:rsidRDefault="00C83E46">
            <w:pPr>
              <w:pStyle w:val="P68B1DB1-Normal11"/>
              <w:spacing w:before="0" w:after="0" w:line="240" w:lineRule="auto"/>
              <w:rPr>
                <w:noProof/>
              </w:rPr>
            </w:pPr>
            <w:r>
              <w:rPr>
                <w:noProof/>
              </w:rPr>
              <w:t>Pružanje savjetodavnih usluga kućanstvima, poduzećima i javnom sektoru</w:t>
            </w:r>
          </w:p>
        </w:tc>
        <w:tc>
          <w:tcPr>
            <w:tcW w:w="1799" w:type="dxa"/>
            <w:shd w:val="clear" w:color="auto" w:fill="C6EFCE"/>
            <w:vAlign w:val="bottom"/>
          </w:tcPr>
          <w:p w14:paraId="6842FF7B"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6D4FF1E4" w14:textId="7811CB59" w:rsidR="00615E2D" w:rsidRDefault="00C83E46">
            <w:pPr>
              <w:pStyle w:val="P68B1DB1-Normal11"/>
              <w:spacing w:before="0" w:after="0" w:line="240" w:lineRule="auto"/>
              <w:rPr>
                <w:noProof/>
              </w:rPr>
            </w:pPr>
            <w:r>
              <w:rPr>
                <w:noProof/>
              </w:rPr>
              <w:t>Broj</w:t>
            </w:r>
          </w:p>
        </w:tc>
        <w:tc>
          <w:tcPr>
            <w:tcW w:w="988" w:type="dxa"/>
            <w:shd w:val="clear" w:color="auto" w:fill="C6EFCE"/>
            <w:vAlign w:val="center"/>
          </w:tcPr>
          <w:p w14:paraId="2EFF9A5C" w14:textId="6F9F13DF" w:rsidR="00615E2D" w:rsidRDefault="00C83E46">
            <w:pPr>
              <w:pStyle w:val="P68B1DB1-Normal11"/>
              <w:spacing w:before="0" w:after="0" w:line="240" w:lineRule="auto"/>
              <w:jc w:val="center"/>
              <w:rPr>
                <w:noProof/>
              </w:rPr>
            </w:pPr>
            <w:r>
              <w:rPr>
                <w:noProof/>
              </w:rPr>
              <w:t>0</w:t>
            </w:r>
          </w:p>
        </w:tc>
        <w:tc>
          <w:tcPr>
            <w:tcW w:w="988" w:type="dxa"/>
            <w:shd w:val="clear" w:color="auto" w:fill="C6EFCE"/>
            <w:vAlign w:val="center"/>
          </w:tcPr>
          <w:p w14:paraId="1ED18FDE" w14:textId="44CA5031" w:rsidR="00615E2D" w:rsidRDefault="00C83E46">
            <w:pPr>
              <w:pStyle w:val="P68B1DB1-Normal11"/>
              <w:spacing w:before="0" w:after="0" w:line="240" w:lineRule="auto"/>
              <w:jc w:val="center"/>
              <w:rPr>
                <w:noProof/>
              </w:rPr>
            </w:pPr>
            <w:r>
              <w:rPr>
                <w:noProof/>
              </w:rPr>
              <w:t>60,000</w:t>
            </w:r>
          </w:p>
        </w:tc>
        <w:tc>
          <w:tcPr>
            <w:tcW w:w="1021" w:type="dxa"/>
            <w:shd w:val="clear" w:color="auto" w:fill="C6EFCE"/>
            <w:vAlign w:val="center"/>
          </w:tcPr>
          <w:p w14:paraId="68890652" w14:textId="55548DAD" w:rsidR="00615E2D" w:rsidRDefault="00C83E46">
            <w:pPr>
              <w:pStyle w:val="P68B1DB1-Normal11"/>
              <w:spacing w:before="0" w:after="0" w:line="240" w:lineRule="auto"/>
              <w:jc w:val="center"/>
              <w:rPr>
                <w:noProof/>
              </w:rPr>
            </w:pPr>
            <w:r>
              <w:rPr>
                <w:noProof/>
              </w:rPr>
              <w:t>TROMJESEČJE</w:t>
            </w:r>
          </w:p>
        </w:tc>
        <w:tc>
          <w:tcPr>
            <w:tcW w:w="658" w:type="dxa"/>
            <w:shd w:val="clear" w:color="auto" w:fill="C6EFCE"/>
            <w:vAlign w:val="center"/>
          </w:tcPr>
          <w:p w14:paraId="6BC46D59" w14:textId="7FFD8A02" w:rsidR="00615E2D" w:rsidRDefault="00C83E46">
            <w:pPr>
              <w:pStyle w:val="P68B1DB1-Normal11"/>
              <w:spacing w:before="0" w:after="0" w:line="240" w:lineRule="auto"/>
              <w:jc w:val="center"/>
              <w:rPr>
                <w:noProof/>
              </w:rPr>
            </w:pPr>
            <w:r>
              <w:rPr>
                <w:noProof/>
              </w:rPr>
              <w:t>2025</w:t>
            </w:r>
          </w:p>
        </w:tc>
        <w:tc>
          <w:tcPr>
            <w:tcW w:w="4128" w:type="dxa"/>
            <w:shd w:val="clear" w:color="auto" w:fill="C6EFCE"/>
            <w:vAlign w:val="center"/>
          </w:tcPr>
          <w:p w14:paraId="69A3EF4F" w14:textId="3CD4A903" w:rsidR="00615E2D" w:rsidRDefault="00C83E46">
            <w:pPr>
              <w:pStyle w:val="P68B1DB1-Normal11"/>
              <w:spacing w:after="0" w:line="240" w:lineRule="auto"/>
              <w:rPr>
                <w:noProof/>
              </w:rPr>
            </w:pPr>
            <w:r>
              <w:rPr>
                <w:noProof/>
              </w:rPr>
              <w:t>Novoosnovani savjetodavni sustav pruža savjetodavne usluge za najmanje 60,000 projekata kućanstava, poduzeća ili javnog sektora do drugog tromjesečja 2025.</w:t>
            </w:r>
          </w:p>
        </w:tc>
      </w:tr>
      <w:tr w:rsidR="00615E2D" w14:paraId="1B3256CE" w14:textId="77777777">
        <w:trPr>
          <w:trHeight w:val="309"/>
          <w:jc w:val="center"/>
        </w:trPr>
        <w:tc>
          <w:tcPr>
            <w:tcW w:w="654" w:type="dxa"/>
            <w:shd w:val="clear" w:color="auto" w:fill="C6EFCE"/>
            <w:vAlign w:val="center"/>
          </w:tcPr>
          <w:p w14:paraId="146D267F" w14:textId="123073A8" w:rsidR="00615E2D" w:rsidRDefault="00C83E46">
            <w:pPr>
              <w:pStyle w:val="P68B1DB1-Normal11"/>
              <w:spacing w:before="0" w:after="0" w:line="240" w:lineRule="auto"/>
              <w:jc w:val="center"/>
              <w:rPr>
                <w:noProof/>
              </w:rPr>
            </w:pPr>
            <w:r>
              <w:rPr>
                <w:noProof/>
              </w:rPr>
              <w:t>323</w:t>
            </w:r>
          </w:p>
        </w:tc>
        <w:tc>
          <w:tcPr>
            <w:tcW w:w="1625" w:type="dxa"/>
            <w:shd w:val="clear" w:color="auto" w:fill="C6EFCE"/>
            <w:vAlign w:val="center"/>
          </w:tcPr>
          <w:p w14:paraId="3A6A8E09" w14:textId="7B9007E2" w:rsidR="00615E2D" w:rsidRDefault="00C83E46">
            <w:pPr>
              <w:pStyle w:val="P68B1DB1-Normal11"/>
              <w:spacing w:before="0" w:after="0" w:line="240" w:lineRule="auto"/>
              <w:rPr>
                <w:noProof/>
              </w:rPr>
            </w:pPr>
            <w:r>
              <w:rPr>
                <w:noProof/>
              </w:rPr>
              <w:t>Ulaganje 1: Pružanje savjetodavnih usluga kućanstvima, poduzećima i javnom sektoru</w:t>
            </w:r>
          </w:p>
        </w:tc>
        <w:tc>
          <w:tcPr>
            <w:tcW w:w="1134" w:type="dxa"/>
            <w:shd w:val="clear" w:color="auto" w:fill="C6EFCE"/>
            <w:vAlign w:val="center"/>
          </w:tcPr>
          <w:p w14:paraId="24D7B614" w14:textId="1F59F9B1" w:rsidR="00615E2D" w:rsidRDefault="00C83E46">
            <w:pPr>
              <w:pStyle w:val="P68B1DB1-Normal11"/>
              <w:spacing w:before="0" w:after="0" w:line="240" w:lineRule="auto"/>
              <w:rPr>
                <w:noProof/>
              </w:rPr>
            </w:pPr>
            <w:r>
              <w:rPr>
                <w:noProof/>
              </w:rPr>
              <w:t>Ciljna</w:t>
            </w:r>
          </w:p>
        </w:tc>
        <w:tc>
          <w:tcPr>
            <w:tcW w:w="1546" w:type="dxa"/>
            <w:shd w:val="clear" w:color="auto" w:fill="C6EFCE"/>
            <w:vAlign w:val="center"/>
          </w:tcPr>
          <w:p w14:paraId="0270E9B2" w14:textId="0302FF1F" w:rsidR="00615E2D" w:rsidRDefault="00C83E46">
            <w:pPr>
              <w:pStyle w:val="P68B1DB1-Normal11"/>
              <w:spacing w:before="0" w:after="0" w:line="240" w:lineRule="auto"/>
              <w:rPr>
                <w:noProof/>
              </w:rPr>
            </w:pPr>
            <w:r>
              <w:rPr>
                <w:noProof/>
              </w:rPr>
              <w:t>Pružanje savjetodavnih usluga kućanstvima, poduzećima i javnom sektoru</w:t>
            </w:r>
          </w:p>
        </w:tc>
        <w:tc>
          <w:tcPr>
            <w:tcW w:w="1799" w:type="dxa"/>
            <w:shd w:val="clear" w:color="auto" w:fill="C6EFCE"/>
            <w:vAlign w:val="bottom"/>
          </w:tcPr>
          <w:p w14:paraId="40C20FA1"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6FDE75A5" w14:textId="1E28A525" w:rsidR="00615E2D" w:rsidRDefault="00C83E46">
            <w:pPr>
              <w:pStyle w:val="P68B1DB1-Normal11"/>
              <w:spacing w:before="0" w:after="0" w:line="240" w:lineRule="auto"/>
              <w:rPr>
                <w:noProof/>
              </w:rPr>
            </w:pPr>
            <w:r>
              <w:rPr>
                <w:noProof/>
              </w:rPr>
              <w:t>Broj</w:t>
            </w:r>
          </w:p>
        </w:tc>
        <w:tc>
          <w:tcPr>
            <w:tcW w:w="988" w:type="dxa"/>
            <w:shd w:val="clear" w:color="auto" w:fill="C6EFCE"/>
            <w:vAlign w:val="center"/>
          </w:tcPr>
          <w:p w14:paraId="445429D6" w14:textId="18544A85" w:rsidR="00615E2D" w:rsidRDefault="00C83E46">
            <w:pPr>
              <w:pStyle w:val="P68B1DB1-Normal11"/>
              <w:spacing w:before="0" w:after="0" w:line="240" w:lineRule="auto"/>
              <w:jc w:val="center"/>
              <w:rPr>
                <w:noProof/>
              </w:rPr>
            </w:pPr>
            <w:r>
              <w:rPr>
                <w:noProof/>
              </w:rPr>
              <w:t>60,000</w:t>
            </w:r>
          </w:p>
        </w:tc>
        <w:tc>
          <w:tcPr>
            <w:tcW w:w="988" w:type="dxa"/>
            <w:shd w:val="clear" w:color="auto" w:fill="C6EFCE"/>
            <w:vAlign w:val="center"/>
          </w:tcPr>
          <w:p w14:paraId="6BD5C9FC" w14:textId="74BB8E21" w:rsidR="00615E2D" w:rsidRDefault="00C83E46">
            <w:pPr>
              <w:pStyle w:val="P68B1DB1-Normal11"/>
              <w:spacing w:before="0" w:after="0" w:line="240" w:lineRule="auto"/>
              <w:jc w:val="center"/>
              <w:rPr>
                <w:noProof/>
              </w:rPr>
            </w:pPr>
            <w:r>
              <w:rPr>
                <w:noProof/>
              </w:rPr>
              <w:t>120,000</w:t>
            </w:r>
          </w:p>
        </w:tc>
        <w:tc>
          <w:tcPr>
            <w:tcW w:w="1021" w:type="dxa"/>
            <w:shd w:val="clear" w:color="auto" w:fill="C6EFCE"/>
            <w:vAlign w:val="center"/>
          </w:tcPr>
          <w:p w14:paraId="03B2C12F" w14:textId="5A488292" w:rsidR="00615E2D" w:rsidRDefault="00C83E46">
            <w:pPr>
              <w:pStyle w:val="P68B1DB1-Normal11"/>
              <w:spacing w:before="0" w:after="0" w:line="240" w:lineRule="auto"/>
              <w:jc w:val="center"/>
              <w:rPr>
                <w:noProof/>
              </w:rPr>
            </w:pPr>
            <w:r>
              <w:rPr>
                <w:noProof/>
              </w:rPr>
              <w:t>TROMJESEČJE</w:t>
            </w:r>
          </w:p>
        </w:tc>
        <w:tc>
          <w:tcPr>
            <w:tcW w:w="658" w:type="dxa"/>
            <w:shd w:val="clear" w:color="auto" w:fill="C6EFCE"/>
            <w:vAlign w:val="center"/>
          </w:tcPr>
          <w:p w14:paraId="7BA9ECA1" w14:textId="2AC5FB2C" w:rsidR="00615E2D" w:rsidRDefault="00C83E46">
            <w:pPr>
              <w:pStyle w:val="P68B1DB1-Normal11"/>
              <w:spacing w:before="0" w:after="0" w:line="240" w:lineRule="auto"/>
              <w:jc w:val="center"/>
              <w:rPr>
                <w:noProof/>
              </w:rPr>
            </w:pPr>
            <w:r>
              <w:rPr>
                <w:noProof/>
              </w:rPr>
              <w:t>2026</w:t>
            </w:r>
          </w:p>
        </w:tc>
        <w:tc>
          <w:tcPr>
            <w:tcW w:w="4128" w:type="dxa"/>
            <w:shd w:val="clear" w:color="auto" w:fill="C6EFCE"/>
            <w:vAlign w:val="center"/>
          </w:tcPr>
          <w:p w14:paraId="40E7E469" w14:textId="0DE8F391" w:rsidR="00615E2D" w:rsidRDefault="00C83E46">
            <w:pPr>
              <w:pStyle w:val="P68B1DB1-Normal11"/>
              <w:spacing w:after="0" w:line="240" w:lineRule="auto"/>
              <w:rPr>
                <w:noProof/>
              </w:rPr>
            </w:pPr>
            <w:r>
              <w:rPr>
                <w:noProof/>
              </w:rPr>
              <w:t>Novoosnovani savjetodavni sustav pruža savjetodavne usluge za najmanje 120,000 projekata kućanstava, poduzeća ili javnog sektora do drugog tromjesečja 2026.</w:t>
            </w:r>
          </w:p>
        </w:tc>
      </w:tr>
      <w:tr w:rsidR="00615E2D" w14:paraId="4736D515" w14:textId="77777777">
        <w:trPr>
          <w:trHeight w:val="309"/>
          <w:jc w:val="center"/>
        </w:trPr>
        <w:tc>
          <w:tcPr>
            <w:tcW w:w="654" w:type="dxa"/>
            <w:shd w:val="clear" w:color="auto" w:fill="C6EFCE"/>
            <w:vAlign w:val="center"/>
          </w:tcPr>
          <w:p w14:paraId="4B1D63EE" w14:textId="429420A5" w:rsidR="00615E2D" w:rsidRDefault="00C83E46">
            <w:pPr>
              <w:pStyle w:val="P68B1DB1-Normal11"/>
              <w:spacing w:before="0" w:after="0" w:line="240" w:lineRule="auto"/>
              <w:jc w:val="center"/>
              <w:rPr>
                <w:noProof/>
              </w:rPr>
            </w:pPr>
            <w:r>
              <w:rPr>
                <w:noProof/>
              </w:rPr>
              <w:t>324</w:t>
            </w:r>
          </w:p>
        </w:tc>
        <w:tc>
          <w:tcPr>
            <w:tcW w:w="1625" w:type="dxa"/>
            <w:shd w:val="clear" w:color="auto" w:fill="C6EFCE"/>
            <w:vAlign w:val="center"/>
          </w:tcPr>
          <w:p w14:paraId="418F772E" w14:textId="1E3982BC" w:rsidR="00615E2D" w:rsidRDefault="00C83E46">
            <w:pPr>
              <w:pStyle w:val="P68B1DB1-Normal11"/>
              <w:spacing w:before="0" w:after="0" w:line="240" w:lineRule="auto"/>
              <w:rPr>
                <w:noProof/>
              </w:rPr>
            </w:pPr>
            <w:r>
              <w:rPr>
                <w:noProof/>
              </w:rPr>
              <w:t>Ulaganje 2: Podizanje svijesti</w:t>
            </w:r>
          </w:p>
        </w:tc>
        <w:tc>
          <w:tcPr>
            <w:tcW w:w="1134" w:type="dxa"/>
            <w:shd w:val="clear" w:color="auto" w:fill="C6EFCE"/>
            <w:vAlign w:val="center"/>
          </w:tcPr>
          <w:p w14:paraId="37DBF1C2" w14:textId="1F59393F" w:rsidR="00615E2D" w:rsidRDefault="00C83E46">
            <w:pPr>
              <w:pStyle w:val="P68B1DB1-Normal11"/>
              <w:spacing w:before="0" w:after="0" w:line="240" w:lineRule="auto"/>
              <w:rPr>
                <w:noProof/>
              </w:rPr>
            </w:pPr>
            <w:r>
              <w:rPr>
                <w:noProof/>
              </w:rPr>
              <w:t>Ciljna</w:t>
            </w:r>
          </w:p>
        </w:tc>
        <w:tc>
          <w:tcPr>
            <w:tcW w:w="1546" w:type="dxa"/>
            <w:shd w:val="clear" w:color="auto" w:fill="C6EFCE"/>
            <w:vAlign w:val="center"/>
          </w:tcPr>
          <w:p w14:paraId="0BD67559" w14:textId="0F8FBBA6" w:rsidR="00615E2D" w:rsidRDefault="00C83E46">
            <w:pPr>
              <w:pStyle w:val="P68B1DB1-Normal11"/>
              <w:spacing w:before="0" w:after="0" w:line="240" w:lineRule="auto"/>
              <w:rPr>
                <w:noProof/>
              </w:rPr>
            </w:pPr>
            <w:r>
              <w:rPr>
                <w:noProof/>
              </w:rPr>
              <w:t>Završetak kampanje podizanja svijesti na nacionalnoj razini</w:t>
            </w:r>
          </w:p>
        </w:tc>
        <w:tc>
          <w:tcPr>
            <w:tcW w:w="1799" w:type="dxa"/>
            <w:shd w:val="clear" w:color="auto" w:fill="C6EFCE"/>
            <w:vAlign w:val="bottom"/>
          </w:tcPr>
          <w:p w14:paraId="3D6090F4" w14:textId="77777777" w:rsidR="00615E2D" w:rsidRDefault="00615E2D">
            <w:pPr>
              <w:spacing w:before="0" w:after="0" w:line="240" w:lineRule="auto"/>
              <w:rPr>
                <w:rFonts w:eastAsia="Times New Roman"/>
                <w:noProof/>
                <w:color w:val="006100"/>
                <w:sz w:val="18"/>
              </w:rPr>
            </w:pPr>
          </w:p>
        </w:tc>
        <w:tc>
          <w:tcPr>
            <w:tcW w:w="988" w:type="dxa"/>
            <w:shd w:val="clear" w:color="auto" w:fill="C6EFCE"/>
            <w:vAlign w:val="center"/>
          </w:tcPr>
          <w:p w14:paraId="3CA5AE44" w14:textId="496498B8" w:rsidR="00615E2D" w:rsidRDefault="00C83E46">
            <w:pPr>
              <w:pStyle w:val="P68B1DB1-Normal11"/>
              <w:spacing w:before="0" w:after="0" w:line="240" w:lineRule="auto"/>
              <w:rPr>
                <w:noProof/>
              </w:rPr>
            </w:pPr>
            <w:r>
              <w:rPr>
                <w:noProof/>
              </w:rPr>
              <w:t>Broj kampanja na nacionalnoj razini</w:t>
            </w:r>
          </w:p>
        </w:tc>
        <w:tc>
          <w:tcPr>
            <w:tcW w:w="988" w:type="dxa"/>
            <w:shd w:val="clear" w:color="auto" w:fill="C6EFCE"/>
            <w:vAlign w:val="center"/>
          </w:tcPr>
          <w:p w14:paraId="3B1B4770" w14:textId="7E7301A0" w:rsidR="00615E2D" w:rsidRDefault="00C83E46">
            <w:pPr>
              <w:pStyle w:val="P68B1DB1-Normal11"/>
              <w:spacing w:before="0" w:after="0" w:line="240" w:lineRule="auto"/>
              <w:jc w:val="center"/>
              <w:rPr>
                <w:noProof/>
              </w:rPr>
            </w:pPr>
            <w:r>
              <w:rPr>
                <w:noProof/>
              </w:rPr>
              <w:t>0</w:t>
            </w:r>
          </w:p>
        </w:tc>
        <w:tc>
          <w:tcPr>
            <w:tcW w:w="988" w:type="dxa"/>
            <w:shd w:val="clear" w:color="auto" w:fill="C6EFCE"/>
            <w:vAlign w:val="center"/>
          </w:tcPr>
          <w:p w14:paraId="20905A46" w14:textId="1D125A54" w:rsidR="00615E2D" w:rsidRDefault="00C83E46">
            <w:pPr>
              <w:pStyle w:val="P68B1DB1-Normal11"/>
              <w:spacing w:before="0" w:after="0" w:line="240" w:lineRule="auto"/>
              <w:jc w:val="center"/>
              <w:rPr>
                <w:noProof/>
              </w:rPr>
            </w:pPr>
            <w:r>
              <w:rPr>
                <w:noProof/>
              </w:rPr>
              <w:t>1</w:t>
            </w:r>
          </w:p>
        </w:tc>
        <w:tc>
          <w:tcPr>
            <w:tcW w:w="1021" w:type="dxa"/>
            <w:shd w:val="clear" w:color="auto" w:fill="C6EFCE"/>
            <w:vAlign w:val="center"/>
          </w:tcPr>
          <w:p w14:paraId="5CE3E6F3" w14:textId="641FFE16" w:rsidR="00615E2D" w:rsidRDefault="00C83E46">
            <w:pPr>
              <w:pStyle w:val="P68B1DB1-Normal11"/>
              <w:spacing w:before="0" w:after="0" w:line="240" w:lineRule="auto"/>
              <w:jc w:val="center"/>
              <w:rPr>
                <w:noProof/>
              </w:rPr>
            </w:pPr>
            <w:r>
              <w:rPr>
                <w:noProof/>
              </w:rPr>
              <w:t>TROMJESEČJE</w:t>
            </w:r>
          </w:p>
        </w:tc>
        <w:tc>
          <w:tcPr>
            <w:tcW w:w="658" w:type="dxa"/>
            <w:shd w:val="clear" w:color="auto" w:fill="C6EFCE"/>
            <w:vAlign w:val="center"/>
          </w:tcPr>
          <w:p w14:paraId="2E1FE8F9" w14:textId="3A638D53" w:rsidR="00615E2D" w:rsidRDefault="00C83E46">
            <w:pPr>
              <w:pStyle w:val="P68B1DB1-Normal11"/>
              <w:spacing w:before="0" w:after="0" w:line="240" w:lineRule="auto"/>
              <w:jc w:val="center"/>
              <w:rPr>
                <w:noProof/>
              </w:rPr>
            </w:pPr>
            <w:r>
              <w:rPr>
                <w:noProof/>
              </w:rPr>
              <w:t>2025</w:t>
            </w:r>
          </w:p>
        </w:tc>
        <w:tc>
          <w:tcPr>
            <w:tcW w:w="4128" w:type="dxa"/>
            <w:shd w:val="clear" w:color="auto" w:fill="C6EFCE"/>
            <w:vAlign w:val="center"/>
          </w:tcPr>
          <w:p w14:paraId="19395321" w14:textId="40B57C84" w:rsidR="00615E2D" w:rsidRDefault="00C83E46">
            <w:pPr>
              <w:pStyle w:val="P68B1DB1-Normal11"/>
              <w:spacing w:after="0" w:line="240" w:lineRule="auto"/>
              <w:rPr>
                <w:noProof/>
              </w:rPr>
            </w:pPr>
            <w:r>
              <w:rPr>
                <w:noProof/>
              </w:rPr>
              <w:t>Dovršiti najmanje jednu kampanju za podizanje svijesti javnosti na nacionalnoj razini o smanjenju potrošnje energije s elementima pitanja povezanih s energetskim siromaštvom.</w:t>
            </w:r>
          </w:p>
        </w:tc>
      </w:tr>
    </w:tbl>
    <w:p w14:paraId="59BD8186" w14:textId="77777777" w:rsidR="00615E2D" w:rsidRDefault="00615E2D">
      <w:pPr>
        <w:pBdr>
          <w:top w:val="nil"/>
          <w:left w:val="nil"/>
          <w:bottom w:val="nil"/>
          <w:right w:val="nil"/>
          <w:between w:val="nil"/>
        </w:pBdr>
        <w:tabs>
          <w:tab w:val="left" w:pos="993"/>
        </w:tabs>
        <w:spacing w:line="240" w:lineRule="auto"/>
        <w:jc w:val="both"/>
        <w:rPr>
          <w:b/>
          <w:noProof/>
        </w:rPr>
      </w:pPr>
    </w:p>
    <w:p w14:paraId="64AF267C" w14:textId="77777777" w:rsidR="00615E2D" w:rsidRDefault="00615E2D">
      <w:pPr>
        <w:pBdr>
          <w:top w:val="nil"/>
          <w:left w:val="nil"/>
          <w:bottom w:val="nil"/>
          <w:right w:val="nil"/>
          <w:between w:val="nil"/>
        </w:pBdr>
        <w:tabs>
          <w:tab w:val="left" w:pos="993"/>
        </w:tabs>
        <w:spacing w:line="240" w:lineRule="auto"/>
        <w:jc w:val="both"/>
        <w:rPr>
          <w:rFonts w:eastAsia="Times New Roman"/>
          <w:b/>
          <w:noProof/>
          <w:color w:val="000000" w:themeColor="text1"/>
          <w:u w:val="single"/>
        </w:rPr>
        <w:sectPr w:rsidR="00615E2D" w:rsidSect="003F264F">
          <w:headerReference w:type="even" r:id="rId468"/>
          <w:headerReference w:type="default" r:id="rId469"/>
          <w:footerReference w:type="even" r:id="rId470"/>
          <w:footerReference w:type="default" r:id="rId471"/>
          <w:headerReference w:type="first" r:id="rId472"/>
          <w:footerReference w:type="first" r:id="rId473"/>
          <w:pgSz w:w="16839" w:h="11907" w:orient="landscape"/>
          <w:pgMar w:top="1134" w:right="1134" w:bottom="1134" w:left="1134" w:header="567" w:footer="567" w:gutter="0"/>
          <w:cols w:space="720"/>
          <w:docGrid w:linePitch="360"/>
        </w:sectPr>
      </w:pPr>
    </w:p>
    <w:p w14:paraId="504CFBE5" w14:textId="64074145" w:rsidR="00615E2D" w:rsidRDefault="00C83E46">
      <w:pPr>
        <w:pStyle w:val="P68B1DB1-Normal2"/>
        <w:keepNext/>
        <w:tabs>
          <w:tab w:val="left" w:pos="850"/>
        </w:tabs>
        <w:spacing w:line="240" w:lineRule="auto"/>
        <w:jc w:val="both"/>
        <w:outlineLvl w:val="0"/>
        <w:rPr>
          <w:noProof/>
        </w:rPr>
      </w:pPr>
      <w:r>
        <w:rPr>
          <w:noProof/>
        </w:rPr>
        <w:t xml:space="preserve">HH. SASTAVNICA 7.4.: Prilagodba škola – promicanje zelenih vještina i održivosti na sveučilištima </w:t>
      </w:r>
      <w:bookmarkStart w:id="4" w:name="_Hlk146272515"/>
      <w:r>
        <w:rPr>
          <w:noProof/>
        </w:rPr>
        <w:t>(REPowerEU)</w:t>
      </w:r>
      <w:bookmarkEnd w:id="4"/>
    </w:p>
    <w:p w14:paraId="36D27E4C" w14:textId="5215724B" w:rsidR="00615E2D" w:rsidRDefault="00C83E46">
      <w:pPr>
        <w:pStyle w:val="P68B1DB1-P68B1DB1-K-TextInfo2050"/>
        <w:spacing w:line="240" w:lineRule="auto"/>
        <w:rPr>
          <w:noProof/>
        </w:rPr>
      </w:pPr>
      <w:r>
        <w:rPr>
          <w:noProof/>
        </w:rPr>
        <w:t xml:space="preserve">Ta komponenta češkog plana za oporavak i otpornost pridonosi svladavanju izazova povezanih sa zelenom tranzicijom obrazovnog sustava, posebno poticanjem razvoja zelenih vještina među studentima u visokom obrazovanju i općoj populaciji. Cilj se postiže revizijom kurikuluma javnih sveučilišta, uključujući revidiranjem postojećih kurikuluma i uspostavom novih programa te stvaranjem ponude tečajeva cjeloživotnog učenja dostupnih široj javnosti. Svi programi revidirani ili izrađeni u okviru ove mjere podupiru zelene vještine i imaju jasno definirane ishode učenja u područjima održivosti, klimatskih promjena, zaštite okoliša i bioraznolikosti, uzimajući u obzir okolišne, socijalne i gospodarske aspekte. Komponenta je usmjerena i na pružanje potpore javnim sveučilištima u razvoju njihovih srednjoročnih i dugoročnih strategija u području obrazovanja o zelenim vještinama, kao i u uspostavi strateških partnerstava s trećim stranama relevantnih za nove ili prilagođene studijske programe. Krajnji je cilj ove komponente prilagoditi obrazovanje promjenjivim potrebama tržišta rada, riješiti problem nedostatka kompetentnih stručnjaka u zelenom i energetskom sektoru te osigurati dugoročnu zapošljivost. </w:t>
      </w:r>
    </w:p>
    <w:p w14:paraId="346689F1" w14:textId="77777777" w:rsidR="00615E2D" w:rsidRDefault="00615E2D">
      <w:pPr>
        <w:pStyle w:val="P68B1DB1-K-TextInfo20"/>
        <w:spacing w:line="240" w:lineRule="auto"/>
        <w:rPr>
          <w:rFonts w:ascii="Times New Roman" w:eastAsia="Times New Roman" w:hAnsi="Times New Roman" w:cs="Times New Roman"/>
          <w:noProof/>
          <w:sz w:val="24"/>
        </w:rPr>
      </w:pPr>
    </w:p>
    <w:p w14:paraId="7294B4E5" w14:textId="2FC9C4FD" w:rsidR="00615E2D" w:rsidRDefault="00C83E46">
      <w:pPr>
        <w:pStyle w:val="P68B1DB1-P68B1DB1-K-TextInfo2051"/>
        <w:spacing w:line="240" w:lineRule="auto"/>
        <w:rPr>
          <w:noProof/>
        </w:rPr>
      </w:pPr>
      <w:r>
        <w:rPr>
          <w:noProof/>
        </w:rPr>
        <w:t>HH.1. Opis reformi i ulaganja za programe bespovratne financijske potpore</w:t>
      </w:r>
    </w:p>
    <w:p w14:paraId="69E31B66" w14:textId="47C6B256" w:rsidR="00615E2D" w:rsidRDefault="00C83E46">
      <w:pPr>
        <w:pStyle w:val="P68B1DB1-P68B1DB1-K-TextInfo2052"/>
        <w:spacing w:line="240" w:lineRule="auto"/>
        <w:rPr>
          <w:noProof/>
        </w:rPr>
      </w:pPr>
      <w:r>
        <w:rPr>
          <w:noProof/>
        </w:rPr>
        <w:t>Reforma 1.: Preobrazba sveučilišta radi prilagodbe promjenjivim potrebama tržišta rada</w:t>
      </w:r>
    </w:p>
    <w:p w14:paraId="466CC723" w14:textId="0709D583" w:rsidR="00615E2D" w:rsidRDefault="00C83E46">
      <w:pPr>
        <w:pStyle w:val="P68B1DB1-P68B1DB1-K-TextInfo2050"/>
        <w:spacing w:line="240" w:lineRule="auto"/>
        <w:rPr>
          <w:noProof/>
        </w:rPr>
      </w:pPr>
      <w:r>
        <w:rPr>
          <w:noProof/>
        </w:rPr>
        <w:t>Cilj je te reforme prilagoditi ponudu učenja javnih sveučilišta sve većoj potrebi na tržištu rada za stručnjacima u područjima povezanima sa zelenom tranzicijom. Reformom se pokreće najmanje 90 studijskih programa nakon poziva na podnošenje prijedloga usmjerenih na javna sveučilišta. Proširena ponuda učenja sastoji se od 20 novih studijskih programa, 50 novih tečajeva koji se dodaju postojećim studijskim programima i 20 novih tečajeva cjeloživotnog učenja, uključujući tečajeve cjeloživotnog učenja kojima se stječu mikrokvalifikacije. Svi programi pokrenuti u okviru ove mjere potiču obrazovanje o zelenim vještinama i imaju definirane ishode učenja u skladu s europskim okvirom za vještine, kompetencije, kvalifikacije i zanimanja (ESCO).</w:t>
      </w:r>
    </w:p>
    <w:p w14:paraId="524D61E9" w14:textId="6A11145B"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Reforma mora biti dovršena do 31. prosinca 2025.</w:t>
      </w:r>
    </w:p>
    <w:p w14:paraId="19E36378" w14:textId="6ED25F85" w:rsidR="00615E2D" w:rsidRDefault="00C83E46">
      <w:pPr>
        <w:pStyle w:val="P68B1DB1-Normal18"/>
        <w:pBdr>
          <w:top w:val="nil"/>
          <w:left w:val="nil"/>
          <w:bottom w:val="nil"/>
          <w:right w:val="nil"/>
          <w:between w:val="nil"/>
        </w:pBdr>
        <w:tabs>
          <w:tab w:val="left" w:pos="993"/>
        </w:tabs>
        <w:spacing w:line="240" w:lineRule="auto"/>
        <w:jc w:val="both"/>
        <w:rPr>
          <w:noProof/>
          <w:u w:val="single"/>
        </w:rPr>
      </w:pPr>
      <w:r>
        <w:rPr>
          <w:noProof/>
        </w:rPr>
        <w:t>Ulaganje 1:  Strategije za održivu i zelenu tranziciju</w:t>
      </w:r>
    </w:p>
    <w:p w14:paraId="06E29B05" w14:textId="4D80C0E7" w:rsidR="00615E2D" w:rsidRDefault="00C83E46">
      <w:pPr>
        <w:pStyle w:val="P68B1DB1-P68B1DB1-K-TextInfo2050"/>
        <w:spacing w:line="240" w:lineRule="auto"/>
        <w:rPr>
          <w:noProof/>
        </w:rPr>
      </w:pPr>
      <w:r>
        <w:rPr>
          <w:noProof/>
        </w:rPr>
        <w:t xml:space="preserve">Cilj je mjere pružiti potporu javnim sveučilištima u razvoju strategija za održivu i zelenu tranziciju. Najmanje 20 javnih sveučilišta donosi strategiju za održivu i zelenu tranziciju, u kojoj će se utvrditi vizija, prioriteti i ciljevi sveučilišta u području zelene tranzicije, uključujući obrazovanje o zelenim vještinama.  </w:t>
      </w:r>
    </w:p>
    <w:p w14:paraId="1E9D9A7F" w14:textId="2D50EB38" w:rsidR="00615E2D" w:rsidRDefault="00C83E46">
      <w:pPr>
        <w:pStyle w:val="P68B1DB1-P68B1DB1-K-TextInfo2050"/>
        <w:spacing w:line="240" w:lineRule="auto"/>
        <w:rPr>
          <w:b/>
          <w:noProof/>
          <w:u w:val="single"/>
        </w:rPr>
      </w:pPr>
      <w:r>
        <w:rPr>
          <w:noProof/>
        </w:rPr>
        <w:t>Ulaganje mora biti dovršeno do 31. prosinca 2024.</w:t>
      </w:r>
    </w:p>
    <w:p w14:paraId="67D3BADD" w14:textId="0E583878" w:rsidR="00615E2D" w:rsidRDefault="00C83E46">
      <w:pPr>
        <w:pStyle w:val="P68B1DB1-Normal18"/>
        <w:pBdr>
          <w:top w:val="nil"/>
          <w:left w:val="nil"/>
          <w:bottom w:val="nil"/>
          <w:right w:val="nil"/>
          <w:between w:val="nil"/>
        </w:pBdr>
        <w:tabs>
          <w:tab w:val="left" w:pos="993"/>
        </w:tabs>
        <w:spacing w:line="240" w:lineRule="auto"/>
        <w:jc w:val="both"/>
        <w:rPr>
          <w:noProof/>
        </w:rPr>
      </w:pPr>
      <w:r>
        <w:rPr>
          <w:noProof/>
        </w:rPr>
        <w:t>Ulaganje 2: Uspostava strateških partnerstava</w:t>
      </w:r>
    </w:p>
    <w:p w14:paraId="59553109" w14:textId="72B430C1" w:rsidR="00615E2D" w:rsidRDefault="00C83E46">
      <w:pPr>
        <w:pStyle w:val="P68B1DB1-P68B1DB1-K-TextInfo2050"/>
        <w:spacing w:line="240" w:lineRule="auto"/>
        <w:rPr>
          <w:noProof/>
        </w:rPr>
      </w:pPr>
      <w:r>
        <w:rPr>
          <w:noProof/>
        </w:rPr>
        <w:t>Cilj je tog ulaganja poduprijeti javna sveučilišta u uspostavi strateških partnerstava s trećim stranama relevantnima za obrazovanje o zelenim vještinama, na primjer poduzećima, istraživačkim ustanovama ili socijalnim organizacijama. Cilj mu je povećati kvalitetu i relevantnost novih ili prilagođenih studijskih programa u okviru reforme 1 tako da se sveučilištima omogući da praktičare uključe u osmišljavanje novih tečajeva. Osniva se najmanje 20 strateških partnerstava.</w:t>
      </w:r>
    </w:p>
    <w:p w14:paraId="7CC33ECB" w14:textId="284E8B78" w:rsidR="00615E2D" w:rsidRDefault="00C83E46">
      <w:pPr>
        <w:pStyle w:val="P68B1DB1-P68B1DB1-K-TextInfo2050"/>
        <w:spacing w:line="240" w:lineRule="auto"/>
        <w:rPr>
          <w:noProof/>
          <w:u w:val="single"/>
        </w:rPr>
      </w:pPr>
      <w:r>
        <w:rPr>
          <w:noProof/>
        </w:rPr>
        <w:t>Ulaganje mora biti dovršeno do 30. lipnja 2025.</w:t>
      </w:r>
    </w:p>
    <w:p w14:paraId="0EC35AB2" w14:textId="77777777" w:rsidR="00615E2D" w:rsidRDefault="00615E2D">
      <w:pPr>
        <w:pStyle w:val="P68B1DB1-K-TextInfo20"/>
        <w:spacing w:line="240" w:lineRule="auto"/>
        <w:rPr>
          <w:rFonts w:ascii="Times New Roman" w:eastAsia="Times New Roman" w:hAnsi="Times New Roman" w:cs="Times New Roman"/>
          <w:noProof/>
          <w:sz w:val="24"/>
        </w:rPr>
        <w:sectPr w:rsidR="00615E2D" w:rsidSect="003F264F">
          <w:headerReference w:type="even" r:id="rId474"/>
          <w:headerReference w:type="default" r:id="rId475"/>
          <w:footerReference w:type="even" r:id="rId476"/>
          <w:footerReference w:type="default" r:id="rId477"/>
          <w:headerReference w:type="first" r:id="rId478"/>
          <w:footerReference w:type="first" r:id="rId479"/>
          <w:pgSz w:w="11907" w:h="16839"/>
          <w:pgMar w:top="1134" w:right="1134" w:bottom="1134" w:left="1134" w:header="567" w:footer="567" w:gutter="0"/>
          <w:cols w:space="720"/>
          <w:docGrid w:linePitch="360"/>
        </w:sectPr>
      </w:pPr>
    </w:p>
    <w:p w14:paraId="152D3BF9" w14:textId="678352B9" w:rsidR="00615E2D" w:rsidRDefault="00C83E46">
      <w:pPr>
        <w:pStyle w:val="P68B1DB1-Normal5"/>
        <w:tabs>
          <w:tab w:val="left" w:pos="993"/>
        </w:tabs>
        <w:spacing w:line="240" w:lineRule="auto"/>
        <w:jc w:val="both"/>
        <w:rPr>
          <w:rFonts w:eastAsia="Times New Roman"/>
          <w:noProof/>
          <w:color w:val="000000" w:themeColor="text1"/>
        </w:rPr>
      </w:pPr>
      <w:r>
        <w:rPr>
          <w:noProof/>
        </w:rPr>
        <w:t xml:space="preserve">HH.2. Ključne etape, ciljne vrijednosti, pokazatelji i vremenski raspored za praćenje i </w:t>
      </w:r>
      <w:r>
        <w:rPr>
          <w:rFonts w:eastAsia="Times New Roman"/>
          <w:noProof/>
        </w:rPr>
        <w:t>provedbu</w:t>
      </w:r>
      <w:r>
        <w:rPr>
          <w:rFonts w:eastAsia="Times New Roman"/>
          <w:noProof/>
          <w:color w:val="000000" w:themeColor="text1"/>
        </w:rPr>
        <w:t>bespovratne financijske potpore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3"/>
        <w:gridCol w:w="1625"/>
        <w:gridCol w:w="1039"/>
        <w:gridCol w:w="1546"/>
        <w:gridCol w:w="1799"/>
        <w:gridCol w:w="988"/>
        <w:gridCol w:w="988"/>
        <w:gridCol w:w="938"/>
        <w:gridCol w:w="659"/>
        <w:gridCol w:w="658"/>
        <w:gridCol w:w="4128"/>
      </w:tblGrid>
      <w:tr w:rsidR="00615E2D" w14:paraId="2E6E1298" w14:textId="77777777">
        <w:trPr>
          <w:trHeight w:val="672"/>
          <w:tblHeader/>
          <w:jc w:val="center"/>
        </w:trPr>
        <w:tc>
          <w:tcPr>
            <w:tcW w:w="704" w:type="dxa"/>
            <w:vMerge w:val="restart"/>
            <w:shd w:val="clear" w:color="auto" w:fill="BDD7EE"/>
            <w:vAlign w:val="center"/>
            <w:hideMark/>
          </w:tcPr>
          <w:p w14:paraId="744D6AB5" w14:textId="77777777" w:rsidR="00615E2D" w:rsidRDefault="00C83E46">
            <w:pPr>
              <w:pStyle w:val="P68B1DB1-Normal9"/>
              <w:spacing w:before="0" w:after="0" w:line="240" w:lineRule="auto"/>
              <w:jc w:val="center"/>
              <w:rPr>
                <w:noProof/>
              </w:rPr>
            </w:pPr>
            <w:r>
              <w:rPr>
                <w:noProof/>
              </w:rPr>
              <w:t>Sljedeće NUM.</w:t>
            </w:r>
          </w:p>
        </w:tc>
        <w:tc>
          <w:tcPr>
            <w:tcW w:w="1790" w:type="dxa"/>
            <w:vMerge w:val="restart"/>
            <w:shd w:val="clear" w:color="auto" w:fill="BDD7EE"/>
            <w:vAlign w:val="center"/>
            <w:hideMark/>
          </w:tcPr>
          <w:p w14:paraId="59038F99"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78A8C582" w14:textId="77777777" w:rsidR="00615E2D" w:rsidRDefault="00C83E46">
            <w:pPr>
              <w:pStyle w:val="P68B1DB1-Normal9"/>
              <w:spacing w:before="0" w:after="0" w:line="240" w:lineRule="auto"/>
              <w:jc w:val="center"/>
              <w:rPr>
                <w:noProof/>
              </w:rPr>
            </w:pPr>
            <w:r>
              <w:rPr>
                <w:noProof/>
              </w:rPr>
              <w:t>Ključna etapa/ciljna vrijednost</w:t>
            </w:r>
          </w:p>
        </w:tc>
        <w:tc>
          <w:tcPr>
            <w:tcW w:w="1701" w:type="dxa"/>
            <w:vMerge w:val="restart"/>
            <w:shd w:val="clear" w:color="auto" w:fill="BDD7EE"/>
            <w:vAlign w:val="center"/>
            <w:hideMark/>
          </w:tcPr>
          <w:p w14:paraId="7DADFFC3" w14:textId="77777777" w:rsidR="00615E2D" w:rsidRDefault="00C83E46">
            <w:pPr>
              <w:pStyle w:val="P68B1DB1-Normal9"/>
              <w:spacing w:before="0" w:after="0" w:line="240" w:lineRule="auto"/>
              <w:jc w:val="center"/>
              <w:rPr>
                <w:noProof/>
              </w:rPr>
            </w:pPr>
            <w:r>
              <w:rPr>
                <w:noProof/>
              </w:rPr>
              <w:t>Ime</w:t>
            </w:r>
          </w:p>
        </w:tc>
        <w:tc>
          <w:tcPr>
            <w:tcW w:w="1984" w:type="dxa"/>
            <w:vMerge w:val="restart"/>
            <w:shd w:val="clear" w:color="auto" w:fill="BDD7EE"/>
            <w:vAlign w:val="center"/>
            <w:hideMark/>
          </w:tcPr>
          <w:p w14:paraId="1739DFA4"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1843" w:type="dxa"/>
            <w:gridSpan w:val="3"/>
            <w:shd w:val="clear" w:color="auto" w:fill="BDD7EE"/>
            <w:vAlign w:val="center"/>
            <w:hideMark/>
          </w:tcPr>
          <w:p w14:paraId="22455D8A"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417" w:type="dxa"/>
            <w:gridSpan w:val="2"/>
            <w:shd w:val="clear" w:color="auto" w:fill="BDD7EE"/>
            <w:vAlign w:val="center"/>
            <w:hideMark/>
          </w:tcPr>
          <w:p w14:paraId="5A222B22"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589" w:type="dxa"/>
            <w:vMerge w:val="restart"/>
            <w:shd w:val="clear" w:color="auto" w:fill="BDD7EE"/>
            <w:vAlign w:val="center"/>
            <w:hideMark/>
          </w:tcPr>
          <w:p w14:paraId="6BDD9370"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4F101B72" w14:textId="77777777">
        <w:trPr>
          <w:trHeight w:val="458"/>
          <w:tblHeader/>
          <w:jc w:val="center"/>
        </w:trPr>
        <w:tc>
          <w:tcPr>
            <w:tcW w:w="704" w:type="dxa"/>
            <w:vMerge/>
            <w:vAlign w:val="center"/>
            <w:hideMark/>
          </w:tcPr>
          <w:p w14:paraId="4FCC2211" w14:textId="77777777" w:rsidR="00615E2D" w:rsidRDefault="00615E2D">
            <w:pPr>
              <w:spacing w:before="0" w:after="0" w:line="240" w:lineRule="auto"/>
              <w:rPr>
                <w:rFonts w:eastAsia="Times New Roman"/>
                <w:b/>
                <w:noProof/>
                <w:sz w:val="18"/>
              </w:rPr>
            </w:pPr>
          </w:p>
        </w:tc>
        <w:tc>
          <w:tcPr>
            <w:tcW w:w="1790" w:type="dxa"/>
            <w:vMerge/>
            <w:vAlign w:val="center"/>
            <w:hideMark/>
          </w:tcPr>
          <w:p w14:paraId="6543BFA3" w14:textId="77777777" w:rsidR="00615E2D" w:rsidRDefault="00615E2D">
            <w:pPr>
              <w:spacing w:before="0" w:after="0" w:line="240" w:lineRule="auto"/>
              <w:rPr>
                <w:rFonts w:eastAsia="Times New Roman"/>
                <w:b/>
                <w:noProof/>
                <w:sz w:val="18"/>
              </w:rPr>
            </w:pPr>
          </w:p>
        </w:tc>
        <w:tc>
          <w:tcPr>
            <w:tcW w:w="1134" w:type="dxa"/>
            <w:vMerge/>
            <w:vAlign w:val="center"/>
            <w:hideMark/>
          </w:tcPr>
          <w:p w14:paraId="731BCBC5" w14:textId="77777777" w:rsidR="00615E2D" w:rsidRDefault="00615E2D">
            <w:pPr>
              <w:spacing w:before="0" w:after="0" w:line="240" w:lineRule="auto"/>
              <w:rPr>
                <w:rFonts w:eastAsia="Times New Roman"/>
                <w:b/>
                <w:noProof/>
                <w:sz w:val="18"/>
              </w:rPr>
            </w:pPr>
          </w:p>
        </w:tc>
        <w:tc>
          <w:tcPr>
            <w:tcW w:w="1701" w:type="dxa"/>
            <w:vMerge/>
            <w:vAlign w:val="center"/>
            <w:hideMark/>
          </w:tcPr>
          <w:p w14:paraId="0C653291" w14:textId="77777777" w:rsidR="00615E2D" w:rsidRDefault="00615E2D">
            <w:pPr>
              <w:spacing w:before="0" w:after="0" w:line="240" w:lineRule="auto"/>
              <w:rPr>
                <w:rFonts w:eastAsia="Times New Roman"/>
                <w:b/>
                <w:noProof/>
                <w:sz w:val="18"/>
              </w:rPr>
            </w:pPr>
          </w:p>
        </w:tc>
        <w:tc>
          <w:tcPr>
            <w:tcW w:w="1984" w:type="dxa"/>
            <w:vMerge/>
            <w:vAlign w:val="center"/>
            <w:hideMark/>
          </w:tcPr>
          <w:p w14:paraId="21518AAB" w14:textId="77777777" w:rsidR="00615E2D" w:rsidRDefault="00615E2D">
            <w:pPr>
              <w:spacing w:before="0" w:after="0" w:line="240" w:lineRule="auto"/>
              <w:rPr>
                <w:rFonts w:eastAsia="Times New Roman"/>
                <w:b/>
                <w:noProof/>
                <w:sz w:val="18"/>
              </w:rPr>
            </w:pPr>
          </w:p>
        </w:tc>
        <w:tc>
          <w:tcPr>
            <w:tcW w:w="1077" w:type="dxa"/>
            <w:shd w:val="clear" w:color="auto" w:fill="BDD7EE"/>
            <w:vAlign w:val="center"/>
            <w:hideMark/>
          </w:tcPr>
          <w:p w14:paraId="5041791E" w14:textId="77777777" w:rsidR="00615E2D" w:rsidRDefault="00C83E46">
            <w:pPr>
              <w:pStyle w:val="P68B1DB1-Normal9"/>
              <w:spacing w:before="0" w:after="0" w:line="240" w:lineRule="auto"/>
              <w:jc w:val="center"/>
              <w:rPr>
                <w:noProof/>
              </w:rPr>
            </w:pPr>
            <w:r>
              <w:rPr>
                <w:noProof/>
              </w:rPr>
              <w:t>Jedinica mjere</w:t>
            </w:r>
          </w:p>
        </w:tc>
        <w:tc>
          <w:tcPr>
            <w:tcW w:w="1077" w:type="dxa"/>
            <w:shd w:val="clear" w:color="auto" w:fill="BDD7EE"/>
            <w:vAlign w:val="center"/>
            <w:hideMark/>
          </w:tcPr>
          <w:p w14:paraId="7AD05A2C" w14:textId="77777777" w:rsidR="00615E2D" w:rsidRDefault="00C83E46">
            <w:pPr>
              <w:pStyle w:val="P68B1DB1-Normal9"/>
              <w:spacing w:before="0" w:after="0" w:line="240" w:lineRule="auto"/>
              <w:jc w:val="center"/>
              <w:rPr>
                <w:noProof/>
              </w:rPr>
            </w:pPr>
            <w:r>
              <w:rPr>
                <w:noProof/>
              </w:rPr>
              <w:t xml:space="preserve">Osnovna vrijednost </w:t>
            </w:r>
          </w:p>
        </w:tc>
        <w:tc>
          <w:tcPr>
            <w:tcW w:w="1021" w:type="dxa"/>
            <w:shd w:val="clear" w:color="auto" w:fill="BDD7EE"/>
            <w:vAlign w:val="center"/>
            <w:hideMark/>
          </w:tcPr>
          <w:p w14:paraId="262047DE" w14:textId="77777777" w:rsidR="00615E2D" w:rsidRDefault="00C83E46">
            <w:pPr>
              <w:pStyle w:val="P68B1DB1-Normal9"/>
              <w:spacing w:before="0" w:after="0" w:line="240" w:lineRule="auto"/>
              <w:jc w:val="center"/>
              <w:rPr>
                <w:noProof/>
              </w:rPr>
            </w:pPr>
            <w:r>
              <w:rPr>
                <w:noProof/>
              </w:rPr>
              <w:t xml:space="preserve">Cilj </w:t>
            </w:r>
          </w:p>
        </w:tc>
        <w:tc>
          <w:tcPr>
            <w:tcW w:w="709" w:type="dxa"/>
            <w:shd w:val="clear" w:color="auto" w:fill="BDD7EE"/>
            <w:vAlign w:val="center"/>
            <w:hideMark/>
          </w:tcPr>
          <w:p w14:paraId="3F71C91E" w14:textId="77777777" w:rsidR="00615E2D" w:rsidRDefault="00C83E46">
            <w:pPr>
              <w:pStyle w:val="P68B1DB1-Normal9"/>
              <w:spacing w:before="0" w:after="0" w:line="240" w:lineRule="auto"/>
              <w:jc w:val="center"/>
              <w:rPr>
                <w:noProof/>
              </w:rPr>
            </w:pPr>
            <w:r>
              <w:rPr>
                <w:noProof/>
              </w:rPr>
              <w:t>Tromjesečje</w:t>
            </w:r>
          </w:p>
        </w:tc>
        <w:tc>
          <w:tcPr>
            <w:tcW w:w="708" w:type="dxa"/>
            <w:shd w:val="clear" w:color="auto" w:fill="BDD7EE"/>
            <w:vAlign w:val="center"/>
            <w:hideMark/>
          </w:tcPr>
          <w:p w14:paraId="0B3D69F4" w14:textId="77777777" w:rsidR="00615E2D" w:rsidRDefault="00C83E46">
            <w:pPr>
              <w:pStyle w:val="P68B1DB1-Normal9"/>
              <w:spacing w:before="0" w:after="0" w:line="240" w:lineRule="auto"/>
              <w:jc w:val="center"/>
              <w:rPr>
                <w:noProof/>
              </w:rPr>
            </w:pPr>
            <w:r>
              <w:rPr>
                <w:noProof/>
              </w:rPr>
              <w:t>Godina</w:t>
            </w:r>
          </w:p>
        </w:tc>
        <w:tc>
          <w:tcPr>
            <w:tcW w:w="4589" w:type="dxa"/>
            <w:vMerge/>
            <w:vAlign w:val="center"/>
            <w:hideMark/>
          </w:tcPr>
          <w:p w14:paraId="4E167840" w14:textId="77777777" w:rsidR="00615E2D" w:rsidRDefault="00615E2D">
            <w:pPr>
              <w:spacing w:before="0" w:after="0" w:line="240" w:lineRule="auto"/>
              <w:rPr>
                <w:rFonts w:eastAsia="Times New Roman"/>
                <w:b/>
                <w:noProof/>
                <w:sz w:val="18"/>
              </w:rPr>
            </w:pPr>
          </w:p>
        </w:tc>
      </w:tr>
      <w:tr w:rsidR="00615E2D" w14:paraId="51616276" w14:textId="77777777">
        <w:trPr>
          <w:trHeight w:val="309"/>
          <w:jc w:val="center"/>
        </w:trPr>
        <w:tc>
          <w:tcPr>
            <w:tcW w:w="704" w:type="dxa"/>
            <w:shd w:val="clear" w:color="auto" w:fill="C6EFCE"/>
            <w:vAlign w:val="center"/>
            <w:hideMark/>
          </w:tcPr>
          <w:p w14:paraId="37F9C958" w14:textId="3E3346C0" w:rsidR="00615E2D" w:rsidRDefault="00C83E46">
            <w:pPr>
              <w:pStyle w:val="P68B1DB1-Normal15"/>
              <w:spacing w:before="0" w:after="0" w:line="240" w:lineRule="auto"/>
              <w:rPr>
                <w:noProof/>
              </w:rPr>
            </w:pPr>
            <w:r>
              <w:rPr>
                <w:noProof/>
              </w:rPr>
              <w:t>325</w:t>
            </w:r>
          </w:p>
        </w:tc>
        <w:tc>
          <w:tcPr>
            <w:tcW w:w="1790" w:type="dxa"/>
            <w:shd w:val="clear" w:color="auto" w:fill="C6EFCE"/>
            <w:vAlign w:val="center"/>
            <w:hideMark/>
          </w:tcPr>
          <w:p w14:paraId="04AE0226" w14:textId="13CA631D" w:rsidR="00615E2D" w:rsidRDefault="00C83E46">
            <w:pPr>
              <w:pStyle w:val="P68B1DB1-Normal11"/>
              <w:spacing w:before="0" w:after="0" w:line="240" w:lineRule="auto"/>
              <w:rPr>
                <w:noProof/>
                <w:color w:val="004300"/>
              </w:rPr>
            </w:pPr>
            <w:r>
              <w:rPr>
                <w:noProof/>
              </w:rPr>
              <w:t>Reforma 1.: Preobrazba sveučilišta radi prilagodbe promjenjivim potrebama tržišta rada</w:t>
            </w:r>
          </w:p>
        </w:tc>
        <w:tc>
          <w:tcPr>
            <w:tcW w:w="1134" w:type="dxa"/>
            <w:shd w:val="clear" w:color="auto" w:fill="C6EFCE"/>
            <w:vAlign w:val="center"/>
            <w:hideMark/>
          </w:tcPr>
          <w:p w14:paraId="229522BB" w14:textId="4958E385" w:rsidR="00615E2D" w:rsidRDefault="00C83E46">
            <w:pPr>
              <w:pStyle w:val="P68B1DB1-Normal11"/>
              <w:spacing w:before="0" w:after="0" w:line="240" w:lineRule="auto"/>
              <w:rPr>
                <w:noProof/>
                <w:color w:val="004300"/>
              </w:rPr>
            </w:pPr>
            <w:r>
              <w:rPr>
                <w:noProof/>
              </w:rPr>
              <w:t>Prekretnica</w:t>
            </w:r>
          </w:p>
        </w:tc>
        <w:tc>
          <w:tcPr>
            <w:tcW w:w="1701" w:type="dxa"/>
            <w:shd w:val="clear" w:color="auto" w:fill="C6EFCE"/>
            <w:vAlign w:val="center"/>
            <w:hideMark/>
          </w:tcPr>
          <w:p w14:paraId="4E6218E1" w14:textId="698AD67E" w:rsidR="00615E2D" w:rsidRDefault="00C83E46">
            <w:pPr>
              <w:pStyle w:val="P68B1DB1-Normal11"/>
              <w:spacing w:before="0" w:after="0" w:line="240" w:lineRule="auto"/>
              <w:rPr>
                <w:noProof/>
                <w:color w:val="004300"/>
              </w:rPr>
            </w:pPr>
            <w:r>
              <w:rPr>
                <w:noProof/>
              </w:rPr>
              <w:t>Pokretanje programa za potporu transformaciji sveučilišta</w:t>
            </w:r>
          </w:p>
        </w:tc>
        <w:tc>
          <w:tcPr>
            <w:tcW w:w="1984" w:type="dxa"/>
            <w:shd w:val="clear" w:color="auto" w:fill="C6EFCE"/>
            <w:vAlign w:val="center"/>
            <w:hideMark/>
          </w:tcPr>
          <w:p w14:paraId="24614B61" w14:textId="0E537F03" w:rsidR="00615E2D" w:rsidRDefault="00C83E46">
            <w:pPr>
              <w:pStyle w:val="P68B1DB1-Normal11"/>
              <w:spacing w:before="0" w:after="0" w:line="240" w:lineRule="auto"/>
              <w:rPr>
                <w:noProof/>
                <w:color w:val="004300"/>
              </w:rPr>
            </w:pPr>
            <w:r>
              <w:rPr>
                <w:noProof/>
              </w:rPr>
              <w:t xml:space="preserve"> </w:t>
            </w:r>
          </w:p>
        </w:tc>
        <w:tc>
          <w:tcPr>
            <w:tcW w:w="1077" w:type="dxa"/>
            <w:shd w:val="clear" w:color="auto" w:fill="C6EFCE"/>
            <w:vAlign w:val="center"/>
          </w:tcPr>
          <w:p w14:paraId="43958155" w14:textId="0718BA46" w:rsidR="00615E2D" w:rsidRDefault="00C83E46">
            <w:pPr>
              <w:pStyle w:val="P68B1DB1-Normal11"/>
              <w:spacing w:before="0" w:after="0" w:line="240" w:lineRule="auto"/>
              <w:rPr>
                <w:noProof/>
                <w:color w:val="004300"/>
              </w:rPr>
            </w:pPr>
            <w:r>
              <w:rPr>
                <w:noProof/>
              </w:rPr>
              <w:t xml:space="preserve"> </w:t>
            </w:r>
          </w:p>
        </w:tc>
        <w:tc>
          <w:tcPr>
            <w:tcW w:w="1077" w:type="dxa"/>
            <w:shd w:val="clear" w:color="auto" w:fill="C6EFCE"/>
            <w:vAlign w:val="center"/>
          </w:tcPr>
          <w:p w14:paraId="598F8374" w14:textId="7FC55570" w:rsidR="00615E2D" w:rsidRDefault="00C83E46">
            <w:pPr>
              <w:pStyle w:val="P68B1DB1-Normal11"/>
              <w:spacing w:before="0" w:after="0" w:line="240" w:lineRule="auto"/>
              <w:rPr>
                <w:noProof/>
                <w:color w:val="004300"/>
              </w:rPr>
            </w:pPr>
            <w:r>
              <w:rPr>
                <w:noProof/>
              </w:rPr>
              <w:t xml:space="preserve"> </w:t>
            </w:r>
          </w:p>
        </w:tc>
        <w:tc>
          <w:tcPr>
            <w:tcW w:w="1021" w:type="dxa"/>
            <w:shd w:val="clear" w:color="auto" w:fill="C6EFCE"/>
            <w:vAlign w:val="center"/>
          </w:tcPr>
          <w:p w14:paraId="71B2D05B" w14:textId="4D3083D9" w:rsidR="00615E2D" w:rsidRDefault="00C83E46">
            <w:pPr>
              <w:pStyle w:val="P68B1DB1-Normal11"/>
              <w:spacing w:before="0" w:after="0" w:line="240" w:lineRule="auto"/>
              <w:rPr>
                <w:noProof/>
                <w:color w:val="004300"/>
              </w:rPr>
            </w:pPr>
            <w:r>
              <w:rPr>
                <w:noProof/>
              </w:rPr>
              <w:t xml:space="preserve"> </w:t>
            </w:r>
          </w:p>
        </w:tc>
        <w:tc>
          <w:tcPr>
            <w:tcW w:w="709" w:type="dxa"/>
            <w:shd w:val="clear" w:color="auto" w:fill="C6EFCE"/>
            <w:vAlign w:val="center"/>
            <w:hideMark/>
          </w:tcPr>
          <w:p w14:paraId="73F01D61" w14:textId="60692D63" w:rsidR="00615E2D" w:rsidRDefault="00C83E46">
            <w:pPr>
              <w:pStyle w:val="P68B1DB1-Normal11"/>
              <w:spacing w:before="0" w:after="0" w:line="240" w:lineRule="auto"/>
              <w:rPr>
                <w:noProof/>
                <w:color w:val="004300"/>
              </w:rPr>
            </w:pPr>
            <w:r>
              <w:rPr>
                <w:noProof/>
              </w:rPr>
              <w:t>ČETVRTO TROMJESEČJE</w:t>
            </w:r>
          </w:p>
        </w:tc>
        <w:tc>
          <w:tcPr>
            <w:tcW w:w="708" w:type="dxa"/>
            <w:shd w:val="clear" w:color="auto" w:fill="C6EFCE"/>
            <w:vAlign w:val="center"/>
            <w:hideMark/>
          </w:tcPr>
          <w:p w14:paraId="5DA408D9" w14:textId="7D3AEA68" w:rsidR="00615E2D" w:rsidRDefault="00C83E46">
            <w:pPr>
              <w:pStyle w:val="P68B1DB1-Normal11"/>
              <w:spacing w:before="0" w:after="0" w:line="240" w:lineRule="auto"/>
              <w:rPr>
                <w:noProof/>
                <w:color w:val="004300"/>
              </w:rPr>
            </w:pPr>
            <w:r>
              <w:rPr>
                <w:noProof/>
              </w:rPr>
              <w:t>2023</w:t>
            </w:r>
          </w:p>
        </w:tc>
        <w:tc>
          <w:tcPr>
            <w:tcW w:w="4589" w:type="dxa"/>
            <w:shd w:val="clear" w:color="auto" w:fill="C6EFCE"/>
            <w:vAlign w:val="center"/>
            <w:hideMark/>
          </w:tcPr>
          <w:p w14:paraId="78F45B59" w14:textId="1C517DE1" w:rsidR="00615E2D" w:rsidRDefault="00C83E46">
            <w:pPr>
              <w:pStyle w:val="P68B1DB1-Normal11"/>
              <w:spacing w:before="0" w:after="0" w:line="240" w:lineRule="auto"/>
              <w:rPr>
                <w:noProof/>
                <w:color w:val="004300"/>
              </w:rPr>
            </w:pPr>
            <w:r>
              <w:rPr>
                <w:noProof/>
              </w:rPr>
              <w:t>Objavljuje se poziv na podnošenje projekata kojima se podupire prilagodba sveučilišta promjenjivim potrebama tržišta rada promicanjem razvoja zelenih vještina u studijskim programima. Cilj je uspostaviti najmanje 20 novih studijskih programa, dodati najmanje 50 novih tečajeva postojećim studijskim programima i uspostaviti najmanje 20 tečajeva cjeloživotnog učenja.</w:t>
            </w:r>
          </w:p>
        </w:tc>
      </w:tr>
      <w:tr w:rsidR="00615E2D" w14:paraId="530290C2" w14:textId="77777777">
        <w:trPr>
          <w:trHeight w:val="309"/>
          <w:jc w:val="center"/>
        </w:trPr>
        <w:tc>
          <w:tcPr>
            <w:tcW w:w="704" w:type="dxa"/>
            <w:shd w:val="clear" w:color="auto" w:fill="C6EFCE"/>
            <w:vAlign w:val="center"/>
          </w:tcPr>
          <w:p w14:paraId="6B79643C" w14:textId="75A65FE0" w:rsidR="00615E2D" w:rsidRDefault="00C83E46">
            <w:pPr>
              <w:pStyle w:val="P68B1DB1-Normal15"/>
              <w:spacing w:before="0" w:after="0" w:line="240" w:lineRule="auto"/>
              <w:rPr>
                <w:noProof/>
              </w:rPr>
            </w:pPr>
            <w:r>
              <w:rPr>
                <w:noProof/>
              </w:rPr>
              <w:t>326</w:t>
            </w:r>
          </w:p>
        </w:tc>
        <w:tc>
          <w:tcPr>
            <w:tcW w:w="1790" w:type="dxa"/>
            <w:shd w:val="clear" w:color="auto" w:fill="C6EFCE"/>
            <w:vAlign w:val="center"/>
          </w:tcPr>
          <w:p w14:paraId="2B074E08" w14:textId="0709B44E" w:rsidR="00615E2D" w:rsidRDefault="00C83E46">
            <w:pPr>
              <w:pStyle w:val="P68B1DB1-Normal11"/>
              <w:spacing w:before="0" w:after="0" w:line="240" w:lineRule="auto"/>
              <w:rPr>
                <w:noProof/>
                <w:color w:val="004300"/>
              </w:rPr>
            </w:pPr>
            <w:r>
              <w:rPr>
                <w:noProof/>
              </w:rPr>
              <w:t>Reforma 1.: Preobrazba sveučilišta radi prilagodbe promjenjivim potrebama tržišta rada</w:t>
            </w:r>
          </w:p>
        </w:tc>
        <w:tc>
          <w:tcPr>
            <w:tcW w:w="1134" w:type="dxa"/>
            <w:shd w:val="clear" w:color="auto" w:fill="C6EFCE"/>
            <w:vAlign w:val="center"/>
          </w:tcPr>
          <w:p w14:paraId="524942AD" w14:textId="1A56B5AF" w:rsidR="00615E2D" w:rsidRDefault="00C83E46">
            <w:pPr>
              <w:pStyle w:val="P68B1DB1-Normal11"/>
              <w:spacing w:before="0" w:after="0" w:line="240" w:lineRule="auto"/>
              <w:rPr>
                <w:noProof/>
                <w:color w:val="004300"/>
              </w:rPr>
            </w:pPr>
            <w:r>
              <w:rPr>
                <w:noProof/>
              </w:rPr>
              <w:t>Ciljna</w:t>
            </w:r>
          </w:p>
        </w:tc>
        <w:tc>
          <w:tcPr>
            <w:tcW w:w="1701" w:type="dxa"/>
            <w:shd w:val="clear" w:color="auto" w:fill="C6EFCE"/>
            <w:vAlign w:val="center"/>
          </w:tcPr>
          <w:p w14:paraId="5F8FC269" w14:textId="0B84A789" w:rsidR="00615E2D" w:rsidRDefault="00C83E46">
            <w:pPr>
              <w:pStyle w:val="P68B1DB1-Normal11"/>
              <w:spacing w:before="0" w:after="0" w:line="240" w:lineRule="auto"/>
              <w:rPr>
                <w:noProof/>
                <w:color w:val="004300"/>
              </w:rPr>
            </w:pPr>
            <w:r>
              <w:rPr>
                <w:noProof/>
              </w:rPr>
              <w:t>Pokretanje novih studijskih programa, novih tečajeva u okviru postojećih studijskih programa i tečajeva cjeloživotnog učenja</w:t>
            </w:r>
          </w:p>
        </w:tc>
        <w:tc>
          <w:tcPr>
            <w:tcW w:w="1984" w:type="dxa"/>
            <w:shd w:val="clear" w:color="auto" w:fill="C6EFCE"/>
            <w:vAlign w:val="center"/>
          </w:tcPr>
          <w:p w14:paraId="29220EA3" w14:textId="52340252" w:rsidR="00615E2D" w:rsidRDefault="00615E2D">
            <w:pPr>
              <w:spacing w:line="259" w:lineRule="auto"/>
              <w:rPr>
                <w:rFonts w:eastAsia="Times New Roman"/>
                <w:noProof/>
                <w:color w:val="006100"/>
                <w:sz w:val="18"/>
              </w:rPr>
            </w:pPr>
          </w:p>
        </w:tc>
        <w:tc>
          <w:tcPr>
            <w:tcW w:w="1077" w:type="dxa"/>
            <w:shd w:val="clear" w:color="auto" w:fill="C6EFCE"/>
            <w:vAlign w:val="center"/>
          </w:tcPr>
          <w:p w14:paraId="1A984A8D" w14:textId="2685C9EC" w:rsidR="00615E2D" w:rsidRDefault="00C83E46">
            <w:pPr>
              <w:pStyle w:val="P68B1DB1-Normal11"/>
              <w:spacing w:before="0" w:after="0" w:line="240" w:lineRule="auto"/>
              <w:rPr>
                <w:noProof/>
              </w:rPr>
            </w:pPr>
            <w:r>
              <w:rPr>
                <w:noProof/>
              </w:rPr>
              <w:t>Studijski programi i tečajevi</w:t>
            </w:r>
          </w:p>
        </w:tc>
        <w:tc>
          <w:tcPr>
            <w:tcW w:w="1077" w:type="dxa"/>
            <w:shd w:val="clear" w:color="auto" w:fill="C6EFCE"/>
            <w:vAlign w:val="center"/>
          </w:tcPr>
          <w:p w14:paraId="5F70B3B3" w14:textId="6C3057EE" w:rsidR="00615E2D" w:rsidRDefault="00C83E46">
            <w:pPr>
              <w:pStyle w:val="P68B1DB1-Normal11"/>
              <w:spacing w:before="0" w:after="0" w:line="240" w:lineRule="auto"/>
              <w:rPr>
                <w:noProof/>
                <w:color w:val="004300"/>
              </w:rPr>
            </w:pPr>
            <w:r>
              <w:rPr>
                <w:noProof/>
              </w:rPr>
              <w:t>0</w:t>
            </w:r>
          </w:p>
        </w:tc>
        <w:tc>
          <w:tcPr>
            <w:tcW w:w="1021" w:type="dxa"/>
            <w:shd w:val="clear" w:color="auto" w:fill="C6EFCE"/>
            <w:vAlign w:val="center"/>
          </w:tcPr>
          <w:p w14:paraId="01AAC7E0" w14:textId="15AA3495" w:rsidR="00615E2D" w:rsidRDefault="00C83E46">
            <w:pPr>
              <w:pStyle w:val="P68B1DB1-Normal11"/>
              <w:spacing w:before="0" w:after="0" w:line="240" w:lineRule="auto"/>
              <w:rPr>
                <w:noProof/>
                <w:color w:val="004300"/>
              </w:rPr>
            </w:pPr>
            <w:r>
              <w:rPr>
                <w:noProof/>
              </w:rPr>
              <w:t>90</w:t>
            </w:r>
          </w:p>
        </w:tc>
        <w:tc>
          <w:tcPr>
            <w:tcW w:w="709" w:type="dxa"/>
            <w:shd w:val="clear" w:color="auto" w:fill="C6EFCE"/>
            <w:vAlign w:val="center"/>
          </w:tcPr>
          <w:p w14:paraId="0FC29ACB" w14:textId="3DAFF9FE" w:rsidR="00615E2D" w:rsidRDefault="00C83E46">
            <w:pPr>
              <w:pStyle w:val="P68B1DB1-Normal11"/>
              <w:spacing w:before="0" w:after="0" w:line="240" w:lineRule="auto"/>
              <w:rPr>
                <w:noProof/>
                <w:color w:val="004300"/>
              </w:rPr>
            </w:pPr>
            <w:r>
              <w:rPr>
                <w:noProof/>
              </w:rPr>
              <w:t>ČETVRTO TROMJESEČJE</w:t>
            </w:r>
          </w:p>
        </w:tc>
        <w:tc>
          <w:tcPr>
            <w:tcW w:w="708" w:type="dxa"/>
            <w:shd w:val="clear" w:color="auto" w:fill="C6EFCE"/>
            <w:vAlign w:val="center"/>
          </w:tcPr>
          <w:p w14:paraId="37B91CFD" w14:textId="23165227" w:rsidR="00615E2D" w:rsidRDefault="00C83E46">
            <w:pPr>
              <w:pStyle w:val="P68B1DB1-Normal11"/>
              <w:spacing w:before="0" w:after="0" w:line="240" w:lineRule="auto"/>
              <w:rPr>
                <w:noProof/>
                <w:color w:val="004300"/>
              </w:rPr>
            </w:pPr>
            <w:r>
              <w:rPr>
                <w:noProof/>
              </w:rPr>
              <w:t>2025</w:t>
            </w:r>
          </w:p>
        </w:tc>
        <w:tc>
          <w:tcPr>
            <w:tcW w:w="4589" w:type="dxa"/>
            <w:shd w:val="clear" w:color="auto" w:fill="C6EFCE"/>
            <w:vAlign w:val="center"/>
          </w:tcPr>
          <w:p w14:paraId="68AB148E" w14:textId="0E2D1CEA" w:rsidR="00615E2D" w:rsidRDefault="00C83E46">
            <w:pPr>
              <w:pStyle w:val="P68B1DB1-Normal11"/>
              <w:spacing w:after="0" w:line="257" w:lineRule="auto"/>
              <w:rPr>
                <w:noProof/>
              </w:rPr>
            </w:pPr>
            <w:r>
              <w:rPr>
                <w:noProof/>
              </w:rPr>
              <w:t>Programom se postiže sljedeće:</w:t>
            </w:r>
          </w:p>
          <w:p w14:paraId="754B1589" w14:textId="18B8AD13" w:rsidR="00615E2D" w:rsidRDefault="00C83E46">
            <w:pPr>
              <w:pStyle w:val="P68B1DB1-ListParagraph43"/>
              <w:numPr>
                <w:ilvl w:val="0"/>
                <w:numId w:val="96"/>
              </w:numPr>
              <w:spacing w:after="0" w:line="257" w:lineRule="auto"/>
              <w:rPr>
                <w:rFonts w:eastAsia="Times New Roman"/>
                <w:noProof/>
              </w:rPr>
            </w:pPr>
            <w:r>
              <w:rPr>
                <w:rFonts w:ascii="Times New Roman" w:eastAsia="Times New Roman" w:hAnsi="Times New Roman"/>
                <w:noProof/>
              </w:rPr>
              <w:t>Akreditacija se dodjeljuje za najmanje 20 novih studijskih programa (preddiplomski, diplomski i/ili doktorski studij).</w:t>
            </w:r>
          </w:p>
          <w:p w14:paraId="1F55076F" w14:textId="6C759A41" w:rsidR="00615E2D" w:rsidRDefault="00C83E46">
            <w:pPr>
              <w:pStyle w:val="P68B1DB1-ListParagraph31"/>
              <w:numPr>
                <w:ilvl w:val="0"/>
                <w:numId w:val="96"/>
              </w:numPr>
              <w:spacing w:after="0" w:line="257" w:lineRule="auto"/>
              <w:rPr>
                <w:noProof/>
              </w:rPr>
            </w:pPr>
            <w:r>
              <w:rPr>
                <w:noProof/>
              </w:rPr>
              <w:t>Najmanje 50 novih tečajeva (obveznih i/ili neobaveznih) dodaje se kurikulumu postojećih studijskih programa (razina preddiplomskog, diplomskog i/ili doktorskog studija).</w:t>
            </w:r>
          </w:p>
          <w:p w14:paraId="6AF12C87" w14:textId="44C29507" w:rsidR="00615E2D" w:rsidRDefault="00C83E46">
            <w:pPr>
              <w:pStyle w:val="P68B1DB1-ListParagraph31"/>
              <w:numPr>
                <w:ilvl w:val="0"/>
                <w:numId w:val="96"/>
              </w:numPr>
              <w:spacing w:after="0" w:line="257" w:lineRule="auto"/>
              <w:rPr>
                <w:noProof/>
              </w:rPr>
            </w:pPr>
            <w:r>
              <w:rPr>
                <w:noProof/>
              </w:rPr>
              <w:t>Sveučilišta uspostavljaju i nude najmanje 20 novih tečajeva cjeloživotnog učenja (uključujući one koji vode do mikrokvalifikacija).</w:t>
            </w:r>
          </w:p>
          <w:p w14:paraId="41461FCB" w14:textId="77777777" w:rsidR="00615E2D" w:rsidRDefault="00C83E46">
            <w:pPr>
              <w:spacing w:after="0" w:line="257" w:lineRule="auto"/>
              <w:rPr>
                <w:rFonts w:eastAsia="Times New Roman"/>
                <w:noProof/>
                <w:color w:val="006100"/>
                <w:sz w:val="18"/>
              </w:rPr>
            </w:pPr>
            <w:r>
              <w:rPr>
                <w:rFonts w:eastAsia="Times New Roman"/>
                <w:noProof/>
                <w:color w:val="006100"/>
                <w:sz w:val="18"/>
              </w:rPr>
              <w:t>U svim programima i tečajevima razvijaju se zelene vještine i definiraju ishodi učenja u skladu s europskim okvirom za vještine, kompetencije, kvalifikacije i zanimanja (ESCO).</w:t>
            </w:r>
            <w:r>
              <w:rPr>
                <w:noProof/>
              </w:rPr>
              <w:br/>
            </w:r>
            <w:r>
              <w:rPr>
                <w:rFonts w:eastAsia="Times New Roman"/>
                <w:noProof/>
                <w:color w:val="006100"/>
                <w:sz w:val="18"/>
              </w:rPr>
              <w:t xml:space="preserve"> </w:t>
            </w:r>
          </w:p>
          <w:p w14:paraId="5399EC14" w14:textId="3A3E8630" w:rsidR="00615E2D" w:rsidRDefault="00C83E46">
            <w:pPr>
              <w:pStyle w:val="P68B1DB1-Normal11"/>
              <w:spacing w:before="0" w:after="0" w:line="240" w:lineRule="auto"/>
              <w:rPr>
                <w:noProof/>
                <w:color w:val="004300"/>
              </w:rPr>
            </w:pPr>
            <w:r>
              <w:rPr>
                <w:noProof/>
              </w:rPr>
              <w:t xml:space="preserve"> </w:t>
            </w:r>
          </w:p>
        </w:tc>
      </w:tr>
      <w:tr w:rsidR="00615E2D" w14:paraId="5A3F2A5A" w14:textId="77777777">
        <w:trPr>
          <w:trHeight w:val="309"/>
          <w:jc w:val="center"/>
        </w:trPr>
        <w:tc>
          <w:tcPr>
            <w:tcW w:w="704" w:type="dxa"/>
            <w:shd w:val="clear" w:color="auto" w:fill="C6EFCE"/>
            <w:vAlign w:val="center"/>
          </w:tcPr>
          <w:p w14:paraId="18316EAC" w14:textId="159EF4A1" w:rsidR="00615E2D" w:rsidRDefault="00C83E46">
            <w:pPr>
              <w:pStyle w:val="P68B1DB1-Normal11"/>
              <w:spacing w:before="0" w:after="0" w:line="240" w:lineRule="auto"/>
              <w:rPr>
                <w:noProof/>
              </w:rPr>
            </w:pPr>
            <w:r>
              <w:rPr>
                <w:noProof/>
              </w:rPr>
              <w:t>327</w:t>
            </w:r>
          </w:p>
        </w:tc>
        <w:tc>
          <w:tcPr>
            <w:tcW w:w="1790" w:type="dxa"/>
            <w:shd w:val="clear" w:color="auto" w:fill="C6EFCE"/>
            <w:vAlign w:val="center"/>
          </w:tcPr>
          <w:p w14:paraId="33EA8515" w14:textId="77777777" w:rsidR="00615E2D" w:rsidRDefault="00C83E46">
            <w:pPr>
              <w:pStyle w:val="P68B1DB1-Normal11"/>
              <w:spacing w:line="259" w:lineRule="auto"/>
              <w:rPr>
                <w:noProof/>
              </w:rPr>
            </w:pPr>
            <w:r>
              <w:rPr>
                <w:noProof/>
              </w:rPr>
              <w:t>Ulaganje 1: Strategije za održivu i zelenu tranziciju</w:t>
            </w:r>
          </w:p>
          <w:p w14:paraId="470055F0" w14:textId="77777777" w:rsidR="00615E2D" w:rsidRDefault="00C83E46">
            <w:pPr>
              <w:pStyle w:val="P68B1DB1-Normal11"/>
              <w:spacing w:line="259" w:lineRule="auto"/>
              <w:rPr>
                <w:noProof/>
              </w:rPr>
            </w:pPr>
            <w:r>
              <w:rPr>
                <w:noProof/>
              </w:rPr>
              <w:t xml:space="preserve"> </w:t>
            </w:r>
          </w:p>
          <w:p w14:paraId="3B6F6B51" w14:textId="72EDB3D2" w:rsidR="00615E2D" w:rsidRDefault="00C83E46">
            <w:pPr>
              <w:pStyle w:val="P68B1DB1-Normal11"/>
              <w:spacing w:before="0" w:after="0" w:line="240" w:lineRule="auto"/>
              <w:rPr>
                <w:noProof/>
              </w:rPr>
            </w:pPr>
            <w:r>
              <w:rPr>
                <w:noProof/>
              </w:rPr>
              <w:t xml:space="preserve"> </w:t>
            </w:r>
          </w:p>
        </w:tc>
        <w:tc>
          <w:tcPr>
            <w:tcW w:w="1134" w:type="dxa"/>
            <w:shd w:val="clear" w:color="auto" w:fill="C6EFCE"/>
            <w:vAlign w:val="center"/>
          </w:tcPr>
          <w:p w14:paraId="3C74CA0F" w14:textId="2418851D" w:rsidR="00615E2D" w:rsidRDefault="00C83E46">
            <w:pPr>
              <w:pStyle w:val="P68B1DB1-Normal11"/>
              <w:spacing w:before="0" w:after="0" w:line="240" w:lineRule="auto"/>
              <w:rPr>
                <w:noProof/>
              </w:rPr>
            </w:pPr>
            <w:r>
              <w:rPr>
                <w:noProof/>
              </w:rPr>
              <w:t>Ciljna</w:t>
            </w:r>
          </w:p>
        </w:tc>
        <w:tc>
          <w:tcPr>
            <w:tcW w:w="1701" w:type="dxa"/>
            <w:shd w:val="clear" w:color="auto" w:fill="C6EFCE"/>
            <w:vAlign w:val="center"/>
          </w:tcPr>
          <w:p w14:paraId="67786DCD" w14:textId="5BB76CE5" w:rsidR="00615E2D" w:rsidRDefault="00C83E46">
            <w:pPr>
              <w:pStyle w:val="P68B1DB1-Normal11"/>
              <w:spacing w:before="0" w:after="0" w:line="240" w:lineRule="auto"/>
              <w:rPr>
                <w:noProof/>
              </w:rPr>
            </w:pPr>
            <w:r>
              <w:rPr>
                <w:noProof/>
              </w:rPr>
              <w:t>Donošenje novih strategija održive i zelene tranzicije na javnim sveučilištima</w:t>
            </w:r>
          </w:p>
        </w:tc>
        <w:tc>
          <w:tcPr>
            <w:tcW w:w="1984" w:type="dxa"/>
            <w:shd w:val="clear" w:color="auto" w:fill="C6EFCE"/>
            <w:vAlign w:val="center"/>
          </w:tcPr>
          <w:p w14:paraId="12192ED6" w14:textId="77777777" w:rsidR="00615E2D" w:rsidRDefault="00615E2D">
            <w:pPr>
              <w:spacing w:line="259" w:lineRule="auto"/>
              <w:rPr>
                <w:rFonts w:eastAsia="Times New Roman"/>
                <w:noProof/>
                <w:color w:val="006100"/>
                <w:sz w:val="18"/>
              </w:rPr>
            </w:pPr>
          </w:p>
        </w:tc>
        <w:tc>
          <w:tcPr>
            <w:tcW w:w="1077" w:type="dxa"/>
            <w:shd w:val="clear" w:color="auto" w:fill="C6EFCE"/>
            <w:vAlign w:val="center"/>
          </w:tcPr>
          <w:p w14:paraId="6B2687A7" w14:textId="45A7693C" w:rsidR="00615E2D" w:rsidRDefault="00C83E46">
            <w:pPr>
              <w:pStyle w:val="P68B1DB1-Normal11"/>
              <w:spacing w:before="0" w:after="0" w:line="240" w:lineRule="auto"/>
              <w:rPr>
                <w:noProof/>
              </w:rPr>
            </w:pPr>
            <w:r>
              <w:rPr>
                <w:noProof/>
              </w:rPr>
              <w:t>Strategije</w:t>
            </w:r>
          </w:p>
        </w:tc>
        <w:tc>
          <w:tcPr>
            <w:tcW w:w="1077" w:type="dxa"/>
            <w:shd w:val="clear" w:color="auto" w:fill="C6EFCE"/>
            <w:vAlign w:val="center"/>
          </w:tcPr>
          <w:p w14:paraId="402F0F8C" w14:textId="6A17CFA5" w:rsidR="00615E2D" w:rsidRDefault="00C83E46">
            <w:pPr>
              <w:pStyle w:val="P68B1DB1-Normal11"/>
              <w:spacing w:before="0" w:after="0" w:line="240" w:lineRule="auto"/>
              <w:rPr>
                <w:noProof/>
              </w:rPr>
            </w:pPr>
            <w:r>
              <w:rPr>
                <w:noProof/>
              </w:rPr>
              <w:t>0</w:t>
            </w:r>
          </w:p>
        </w:tc>
        <w:tc>
          <w:tcPr>
            <w:tcW w:w="1021" w:type="dxa"/>
            <w:shd w:val="clear" w:color="auto" w:fill="C6EFCE"/>
            <w:vAlign w:val="center"/>
          </w:tcPr>
          <w:p w14:paraId="68744DB1" w14:textId="2E85CD60" w:rsidR="00615E2D" w:rsidRDefault="00C83E46">
            <w:pPr>
              <w:pStyle w:val="P68B1DB1-Normal11"/>
              <w:spacing w:before="0" w:after="0" w:line="240" w:lineRule="auto"/>
              <w:rPr>
                <w:noProof/>
              </w:rPr>
            </w:pPr>
            <w:r>
              <w:rPr>
                <w:noProof/>
              </w:rPr>
              <w:t>20</w:t>
            </w:r>
          </w:p>
        </w:tc>
        <w:tc>
          <w:tcPr>
            <w:tcW w:w="709" w:type="dxa"/>
            <w:shd w:val="clear" w:color="auto" w:fill="C6EFCE"/>
            <w:vAlign w:val="center"/>
          </w:tcPr>
          <w:p w14:paraId="50D5655A" w14:textId="5E24ACF2" w:rsidR="00615E2D" w:rsidRDefault="00C83E46">
            <w:pPr>
              <w:pStyle w:val="P68B1DB1-Normal11"/>
              <w:spacing w:before="0" w:after="0" w:line="240" w:lineRule="auto"/>
              <w:rPr>
                <w:noProof/>
              </w:rPr>
            </w:pPr>
            <w:r>
              <w:rPr>
                <w:noProof/>
              </w:rPr>
              <w:t xml:space="preserve"> ČETVRTO TROMJESEČJE</w:t>
            </w:r>
          </w:p>
        </w:tc>
        <w:tc>
          <w:tcPr>
            <w:tcW w:w="708" w:type="dxa"/>
            <w:shd w:val="clear" w:color="auto" w:fill="C6EFCE"/>
            <w:vAlign w:val="center"/>
          </w:tcPr>
          <w:p w14:paraId="259E16AC" w14:textId="400BAE49" w:rsidR="00615E2D" w:rsidRDefault="00C83E46">
            <w:pPr>
              <w:pStyle w:val="P68B1DB1-Normal11"/>
              <w:spacing w:before="0" w:after="0" w:line="240" w:lineRule="auto"/>
              <w:rPr>
                <w:noProof/>
              </w:rPr>
            </w:pPr>
            <w:r>
              <w:rPr>
                <w:noProof/>
              </w:rPr>
              <w:t>2024</w:t>
            </w:r>
          </w:p>
        </w:tc>
        <w:tc>
          <w:tcPr>
            <w:tcW w:w="4589" w:type="dxa"/>
            <w:shd w:val="clear" w:color="auto" w:fill="C6EFCE"/>
            <w:vAlign w:val="center"/>
          </w:tcPr>
          <w:p w14:paraId="1B29EF5A" w14:textId="77777777" w:rsidR="00615E2D" w:rsidRDefault="00C83E46">
            <w:pPr>
              <w:pStyle w:val="P68B1DB1-Normal11"/>
              <w:spacing w:after="0" w:line="259" w:lineRule="auto"/>
              <w:rPr>
                <w:noProof/>
              </w:rPr>
            </w:pPr>
            <w:r>
              <w:rPr>
                <w:noProof/>
              </w:rPr>
              <w:t xml:space="preserve">Najmanje 20 javnih sveučilišta donosi nove strategije za održivu i zelenu tranziciju. U strategijama se oblikuju vizija, prioritetna područja, načela i ciljevi potrebni za potporu zelenoj tranziciji sveučilišta u kratkoročnom i srednjoročnom razdoblju, uključujući obrazovanje o zelenim vještinama. </w:t>
            </w:r>
          </w:p>
          <w:p w14:paraId="3CD88A51" w14:textId="32D01874" w:rsidR="00615E2D" w:rsidRDefault="00C83E46">
            <w:pPr>
              <w:pStyle w:val="P68B1DB1-Normal53"/>
              <w:spacing w:after="0" w:line="257" w:lineRule="auto"/>
              <w:rPr>
                <w:noProof/>
                <w:color w:val="006100"/>
              </w:rPr>
            </w:pPr>
            <w:r>
              <w:rPr>
                <w:noProof/>
              </w:rPr>
              <w:t xml:space="preserve"> </w:t>
            </w:r>
          </w:p>
        </w:tc>
      </w:tr>
      <w:tr w:rsidR="00615E2D" w14:paraId="5580AC06" w14:textId="77777777">
        <w:trPr>
          <w:trHeight w:val="309"/>
          <w:jc w:val="center"/>
        </w:trPr>
        <w:tc>
          <w:tcPr>
            <w:tcW w:w="704" w:type="dxa"/>
            <w:shd w:val="clear" w:color="auto" w:fill="C6EFCE"/>
            <w:vAlign w:val="center"/>
          </w:tcPr>
          <w:p w14:paraId="7B269D42" w14:textId="07FF3FCB" w:rsidR="00615E2D" w:rsidRDefault="00C83E46">
            <w:pPr>
              <w:pStyle w:val="P68B1DB1-Normal11"/>
              <w:spacing w:before="0" w:after="0" w:line="240" w:lineRule="auto"/>
              <w:rPr>
                <w:noProof/>
              </w:rPr>
            </w:pPr>
            <w:r>
              <w:rPr>
                <w:noProof/>
              </w:rPr>
              <w:t>328</w:t>
            </w:r>
          </w:p>
        </w:tc>
        <w:tc>
          <w:tcPr>
            <w:tcW w:w="1790" w:type="dxa"/>
            <w:shd w:val="clear" w:color="auto" w:fill="C6EFCE"/>
            <w:vAlign w:val="center"/>
          </w:tcPr>
          <w:p w14:paraId="701C0BA3" w14:textId="77777777" w:rsidR="00615E2D" w:rsidRDefault="00C83E46">
            <w:pPr>
              <w:pStyle w:val="P68B1DB1-Normal11"/>
              <w:spacing w:line="259" w:lineRule="auto"/>
              <w:rPr>
                <w:noProof/>
              </w:rPr>
            </w:pPr>
            <w:r>
              <w:rPr>
                <w:noProof/>
              </w:rPr>
              <w:t xml:space="preserve">Ulaganje 2: Uspostava strateških partnerstava </w:t>
            </w:r>
          </w:p>
          <w:p w14:paraId="7EF772B5" w14:textId="77777777" w:rsidR="00615E2D" w:rsidRDefault="00C83E46">
            <w:pPr>
              <w:pStyle w:val="P68B1DB1-Normal11"/>
              <w:spacing w:line="259" w:lineRule="auto"/>
              <w:rPr>
                <w:noProof/>
              </w:rPr>
            </w:pPr>
            <w:r>
              <w:rPr>
                <w:noProof/>
              </w:rPr>
              <w:t xml:space="preserve"> </w:t>
            </w:r>
          </w:p>
          <w:p w14:paraId="136BDF18" w14:textId="75F88BC0" w:rsidR="00615E2D" w:rsidRDefault="00C83E46">
            <w:pPr>
              <w:pStyle w:val="P68B1DB1-Normal11"/>
              <w:spacing w:line="259" w:lineRule="auto"/>
              <w:rPr>
                <w:noProof/>
              </w:rPr>
            </w:pPr>
            <w:r>
              <w:rPr>
                <w:noProof/>
              </w:rPr>
              <w:t xml:space="preserve"> </w:t>
            </w:r>
          </w:p>
        </w:tc>
        <w:tc>
          <w:tcPr>
            <w:tcW w:w="1134" w:type="dxa"/>
            <w:shd w:val="clear" w:color="auto" w:fill="C6EFCE"/>
            <w:vAlign w:val="center"/>
          </w:tcPr>
          <w:p w14:paraId="2C5A67C6" w14:textId="5B164AA5" w:rsidR="00615E2D" w:rsidRDefault="00C83E46">
            <w:pPr>
              <w:pStyle w:val="P68B1DB1-Normal11"/>
              <w:spacing w:before="0" w:after="0" w:line="240" w:lineRule="auto"/>
              <w:rPr>
                <w:noProof/>
              </w:rPr>
            </w:pPr>
            <w:r>
              <w:rPr>
                <w:noProof/>
              </w:rPr>
              <w:t>Ciljna</w:t>
            </w:r>
          </w:p>
        </w:tc>
        <w:tc>
          <w:tcPr>
            <w:tcW w:w="1701" w:type="dxa"/>
            <w:shd w:val="clear" w:color="auto" w:fill="C6EFCE"/>
            <w:vAlign w:val="center"/>
          </w:tcPr>
          <w:p w14:paraId="234BD86B" w14:textId="013A8C90" w:rsidR="00615E2D" w:rsidRDefault="00C83E46">
            <w:pPr>
              <w:pStyle w:val="P68B1DB1-Normal11"/>
              <w:spacing w:before="0" w:after="0" w:line="240" w:lineRule="auto"/>
              <w:rPr>
                <w:noProof/>
              </w:rPr>
            </w:pPr>
            <w:r>
              <w:rPr>
                <w:noProof/>
              </w:rPr>
              <w:t>Uspostava strateških partnerstava na javnim sveučilištima</w:t>
            </w:r>
          </w:p>
        </w:tc>
        <w:tc>
          <w:tcPr>
            <w:tcW w:w="1984" w:type="dxa"/>
            <w:shd w:val="clear" w:color="auto" w:fill="C6EFCE"/>
            <w:vAlign w:val="center"/>
          </w:tcPr>
          <w:p w14:paraId="2FBA5145" w14:textId="202F33FA" w:rsidR="00615E2D" w:rsidRDefault="00615E2D">
            <w:pPr>
              <w:spacing w:line="259" w:lineRule="auto"/>
              <w:rPr>
                <w:rFonts w:eastAsia="Times New Roman"/>
                <w:noProof/>
                <w:color w:val="006100"/>
                <w:sz w:val="18"/>
              </w:rPr>
            </w:pPr>
          </w:p>
        </w:tc>
        <w:tc>
          <w:tcPr>
            <w:tcW w:w="1077" w:type="dxa"/>
            <w:shd w:val="clear" w:color="auto" w:fill="C6EFCE"/>
            <w:vAlign w:val="center"/>
          </w:tcPr>
          <w:p w14:paraId="19CC9A16" w14:textId="1740C192" w:rsidR="00615E2D" w:rsidRDefault="00C83E46">
            <w:pPr>
              <w:pStyle w:val="P68B1DB1-Normal11"/>
              <w:spacing w:before="0" w:after="0" w:line="240" w:lineRule="auto"/>
              <w:rPr>
                <w:noProof/>
              </w:rPr>
            </w:pPr>
            <w:r>
              <w:rPr>
                <w:noProof/>
              </w:rPr>
              <w:t xml:space="preserve"> Strateška partnerstva</w:t>
            </w:r>
          </w:p>
        </w:tc>
        <w:tc>
          <w:tcPr>
            <w:tcW w:w="1077" w:type="dxa"/>
            <w:shd w:val="clear" w:color="auto" w:fill="C6EFCE"/>
            <w:vAlign w:val="center"/>
          </w:tcPr>
          <w:p w14:paraId="5940058C" w14:textId="66CD119C" w:rsidR="00615E2D" w:rsidRDefault="00C83E46">
            <w:pPr>
              <w:pStyle w:val="P68B1DB1-Normal11"/>
              <w:spacing w:before="0" w:after="0" w:line="240" w:lineRule="auto"/>
              <w:rPr>
                <w:noProof/>
              </w:rPr>
            </w:pPr>
            <w:r>
              <w:rPr>
                <w:noProof/>
              </w:rPr>
              <w:t>0</w:t>
            </w:r>
          </w:p>
        </w:tc>
        <w:tc>
          <w:tcPr>
            <w:tcW w:w="1021" w:type="dxa"/>
            <w:shd w:val="clear" w:color="auto" w:fill="C6EFCE"/>
            <w:vAlign w:val="center"/>
          </w:tcPr>
          <w:p w14:paraId="0821B79C" w14:textId="64297B5D" w:rsidR="00615E2D" w:rsidRDefault="00C83E46">
            <w:pPr>
              <w:pStyle w:val="P68B1DB1-Normal11"/>
              <w:spacing w:before="0" w:after="0" w:line="240" w:lineRule="auto"/>
              <w:rPr>
                <w:noProof/>
              </w:rPr>
            </w:pPr>
            <w:r>
              <w:rPr>
                <w:noProof/>
              </w:rPr>
              <w:t>20</w:t>
            </w:r>
          </w:p>
        </w:tc>
        <w:tc>
          <w:tcPr>
            <w:tcW w:w="709" w:type="dxa"/>
            <w:shd w:val="clear" w:color="auto" w:fill="C6EFCE"/>
            <w:vAlign w:val="center"/>
          </w:tcPr>
          <w:p w14:paraId="108D96CB" w14:textId="266E9BFE" w:rsidR="00615E2D" w:rsidRDefault="00C83E46">
            <w:pPr>
              <w:pStyle w:val="P68B1DB1-Normal11"/>
              <w:spacing w:before="0" w:after="0" w:line="240" w:lineRule="auto"/>
              <w:rPr>
                <w:noProof/>
              </w:rPr>
            </w:pPr>
            <w:r>
              <w:rPr>
                <w:noProof/>
              </w:rPr>
              <w:t xml:space="preserve">TROMJESEČJE </w:t>
            </w:r>
          </w:p>
        </w:tc>
        <w:tc>
          <w:tcPr>
            <w:tcW w:w="708" w:type="dxa"/>
            <w:shd w:val="clear" w:color="auto" w:fill="C6EFCE"/>
            <w:vAlign w:val="center"/>
          </w:tcPr>
          <w:p w14:paraId="22DEA94A" w14:textId="7C6326C0" w:rsidR="00615E2D" w:rsidRDefault="00C83E46">
            <w:pPr>
              <w:pStyle w:val="P68B1DB1-Normal11"/>
              <w:spacing w:before="0" w:after="0" w:line="240" w:lineRule="auto"/>
              <w:rPr>
                <w:noProof/>
              </w:rPr>
            </w:pPr>
            <w:r>
              <w:rPr>
                <w:noProof/>
              </w:rPr>
              <w:t>2025</w:t>
            </w:r>
          </w:p>
        </w:tc>
        <w:tc>
          <w:tcPr>
            <w:tcW w:w="4589" w:type="dxa"/>
            <w:shd w:val="clear" w:color="auto" w:fill="C6EFCE"/>
            <w:vAlign w:val="center"/>
          </w:tcPr>
          <w:p w14:paraId="5311308E" w14:textId="244A7E78" w:rsidR="00615E2D" w:rsidRDefault="00C83E46">
            <w:pPr>
              <w:pStyle w:val="P68B1DB1-Normal11"/>
              <w:spacing w:line="259" w:lineRule="auto"/>
              <w:rPr>
                <w:noProof/>
              </w:rPr>
            </w:pPr>
            <w:r>
              <w:rPr>
                <w:noProof/>
              </w:rPr>
              <w:t xml:space="preserve">Uspostavlja se 20 strateških partnerstava između javnih sveučilišta i treće strane koja razvija obrazovanje o zelenim vještinama. </w:t>
            </w:r>
          </w:p>
        </w:tc>
      </w:tr>
    </w:tbl>
    <w:p w14:paraId="09179DFF" w14:textId="4294E347" w:rsidR="00615E2D" w:rsidRDefault="00615E2D">
      <w:pPr>
        <w:pBdr>
          <w:top w:val="nil"/>
          <w:left w:val="nil"/>
          <w:bottom w:val="nil"/>
          <w:right w:val="nil"/>
          <w:between w:val="nil"/>
        </w:pBdr>
        <w:tabs>
          <w:tab w:val="left" w:pos="993"/>
        </w:tabs>
        <w:spacing w:line="240" w:lineRule="auto"/>
        <w:jc w:val="both"/>
        <w:rPr>
          <w:rFonts w:eastAsia="Times New Roman"/>
          <w:b/>
          <w:noProof/>
          <w:color w:val="000000" w:themeColor="text1"/>
          <w:u w:val="single"/>
        </w:rPr>
      </w:pPr>
    </w:p>
    <w:p w14:paraId="38489D3D" w14:textId="11E0EB0D" w:rsidR="00615E2D" w:rsidRDefault="00615E2D">
      <w:pPr>
        <w:pBdr>
          <w:top w:val="nil"/>
          <w:left w:val="nil"/>
          <w:bottom w:val="nil"/>
          <w:right w:val="nil"/>
          <w:between w:val="nil"/>
        </w:pBdr>
        <w:tabs>
          <w:tab w:val="left" w:pos="993"/>
        </w:tabs>
        <w:spacing w:line="240" w:lineRule="auto"/>
        <w:jc w:val="both"/>
        <w:rPr>
          <w:rFonts w:eastAsia="Times New Roman"/>
          <w:b/>
          <w:noProof/>
          <w:color w:val="000000" w:themeColor="text1"/>
          <w:u w:val="single"/>
        </w:rPr>
      </w:pPr>
    </w:p>
    <w:p w14:paraId="12678BF0" w14:textId="77777777" w:rsidR="00615E2D" w:rsidRDefault="00615E2D">
      <w:pPr>
        <w:pBdr>
          <w:top w:val="nil"/>
          <w:left w:val="nil"/>
          <w:bottom w:val="nil"/>
          <w:right w:val="nil"/>
          <w:between w:val="nil"/>
        </w:pBdr>
        <w:tabs>
          <w:tab w:val="left" w:pos="993"/>
        </w:tabs>
        <w:spacing w:line="240" w:lineRule="auto"/>
        <w:jc w:val="both"/>
        <w:rPr>
          <w:rFonts w:eastAsia="Times New Roman"/>
          <w:b/>
          <w:noProof/>
          <w:color w:val="000000" w:themeColor="text1"/>
          <w:u w:val="single"/>
        </w:rPr>
        <w:sectPr w:rsidR="00615E2D" w:rsidSect="003F264F">
          <w:headerReference w:type="even" r:id="rId480"/>
          <w:headerReference w:type="default" r:id="rId481"/>
          <w:footerReference w:type="even" r:id="rId482"/>
          <w:footerReference w:type="default" r:id="rId483"/>
          <w:headerReference w:type="first" r:id="rId484"/>
          <w:footerReference w:type="first" r:id="rId485"/>
          <w:pgSz w:w="16839" w:h="11907" w:orient="landscape"/>
          <w:pgMar w:top="1134" w:right="1134" w:bottom="1134" w:left="1134" w:header="567" w:footer="567" w:gutter="0"/>
          <w:cols w:space="720"/>
          <w:docGrid w:linePitch="360"/>
        </w:sectPr>
      </w:pPr>
    </w:p>
    <w:p w14:paraId="6E435612" w14:textId="7C298FD1" w:rsidR="00615E2D" w:rsidRDefault="00C83E46">
      <w:pPr>
        <w:pStyle w:val="P68B1DB1-Normal7"/>
        <w:keepNext/>
        <w:tabs>
          <w:tab w:val="left" w:pos="850"/>
        </w:tabs>
        <w:spacing w:line="240" w:lineRule="auto"/>
        <w:jc w:val="both"/>
        <w:outlineLvl w:val="0"/>
        <w:rPr>
          <w:smallCaps/>
          <w:noProof/>
        </w:rPr>
      </w:pPr>
      <w:r>
        <w:rPr>
          <w:caps/>
          <w:noProof/>
        </w:rPr>
        <w:t>II. Sastavnica 7.5</w:t>
      </w:r>
      <w:r>
        <w:rPr>
          <w:smallCaps/>
          <w:noProof/>
        </w:rPr>
        <w:t>. Dekarbonizacija cestovnog prometa (REPowerEU)</w:t>
      </w:r>
    </w:p>
    <w:p w14:paraId="644DFDFB" w14:textId="4FFFEB0D"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Ta komponenta češkog plana za oporavak i otpornost usmjerena je na potrebu za dekarbonizacijom prometnog sektora uvođenjem vozila i infrastrukture s nultim emisijama u Češkoj kako bi se pripremilo za brzo postupno ukidanje fosilnih goriva u sektoru cestovnog prometa.</w:t>
      </w:r>
    </w:p>
    <w:p w14:paraId="196F0C73" w14:textId="6A8C83B5"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Cilj je komponente povećati uvođenje različitih vrsta vozila s nultim emisijama u Češkoj te potaknuti razvoj infrastrukture za punjenje i opskrbu vodikom ulaganjima i reformama.</w:t>
      </w:r>
    </w:p>
    <w:p w14:paraId="5CA8DA36" w14:textId="0AF6BE50"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Komponenta je povezana s provedbom 4. preporuke za pojedinu zemlju za 2022., u kojoj se naglašava potreba za smanjenjem upotrebe fosilnih goriva i ovisnosti zemlje o uvozu fosilnih goriva. Komponenta se odnosi na preporuke za pojedine zemlje, posebno nastojanjem da se smanji uporaba fosilnih goriva u češkom prometnom sustavu. Komponenta je jednako povezana s provedbom 4. preporuke za pojedinu zemlju za 2023., u kojoj se naglašava potreba za promicanjem uvođenja vozila s nultim emisijama i povećanjem dostupnosti infrastrukture za punjenje i opskrbu gorivom velikog kapaciteta novim reformama kako bi se stvorili povoljni uvjeti za uvođenje vozila i infrastrukture te uklonile postojeće prepreke uvođenju vozila i infrastrukture.</w:t>
      </w:r>
    </w:p>
    <w:p w14:paraId="0B0EDEC8" w14:textId="77777777" w:rsidR="00615E2D" w:rsidRDefault="00615E2D">
      <w:pPr>
        <w:pBdr>
          <w:top w:val="nil"/>
          <w:left w:val="nil"/>
          <w:bottom w:val="nil"/>
          <w:right w:val="nil"/>
          <w:between w:val="nil"/>
        </w:pBdr>
        <w:tabs>
          <w:tab w:val="left" w:pos="993"/>
        </w:tabs>
        <w:spacing w:line="240" w:lineRule="auto"/>
        <w:jc w:val="both"/>
        <w:rPr>
          <w:rFonts w:eastAsia="Times New Roman"/>
          <w:noProof/>
          <w:color w:val="000000" w:themeColor="text1"/>
        </w:rPr>
      </w:pPr>
    </w:p>
    <w:p w14:paraId="1367D30A" w14:textId="67415FAB" w:rsidR="00615E2D" w:rsidRDefault="00C83E46">
      <w:pPr>
        <w:pStyle w:val="P68B1DB1-Normal5"/>
        <w:spacing w:line="240" w:lineRule="auto"/>
        <w:jc w:val="both"/>
        <w:rPr>
          <w:rFonts w:eastAsia="Times New Roman"/>
          <w:noProof/>
          <w:color w:val="000000" w:themeColor="text1"/>
        </w:rPr>
      </w:pPr>
      <w:r>
        <w:rPr>
          <w:noProof/>
        </w:rPr>
        <w:t xml:space="preserve">II.1. </w:t>
      </w:r>
      <w:r>
        <w:rPr>
          <w:rFonts w:eastAsia="Times New Roman"/>
          <w:noProof/>
        </w:rPr>
        <w:t>Opis</w:t>
      </w:r>
      <w:r>
        <w:rPr>
          <w:noProof/>
        </w:rPr>
        <w:t xml:space="preserve"> reformi i ulaganja za programe bespovratne financijske potpore</w:t>
      </w:r>
    </w:p>
    <w:p w14:paraId="0CD2FB39" w14:textId="1DD6B82A" w:rsidR="00615E2D" w:rsidRDefault="00C83E46">
      <w:pPr>
        <w:pStyle w:val="P68B1DB1-Normal7"/>
        <w:pBdr>
          <w:top w:val="nil"/>
          <w:left w:val="nil"/>
          <w:bottom w:val="nil"/>
          <w:right w:val="nil"/>
          <w:between w:val="nil"/>
        </w:pBdr>
        <w:tabs>
          <w:tab w:val="left" w:pos="993"/>
        </w:tabs>
        <w:spacing w:line="240" w:lineRule="auto"/>
        <w:jc w:val="both"/>
        <w:rPr>
          <w:rFonts w:eastAsia="Times New Roman"/>
          <w:noProof/>
          <w:color w:val="000000" w:themeColor="text1"/>
        </w:rPr>
      </w:pPr>
      <w:r>
        <w:rPr>
          <w:noProof/>
        </w:rPr>
        <w:t>Reforma 1.: Nacionalni akcijski plan za čistu mobilnost i ciljevi uvođenja za mobilnost s nultom stopom emisija</w:t>
      </w:r>
    </w:p>
    <w:p w14:paraId="6CC05757" w14:textId="5E084D1A" w:rsidR="00615E2D" w:rsidRDefault="00C83E46">
      <w:pPr>
        <w:pBdr>
          <w:top w:val="nil"/>
          <w:left w:val="nil"/>
          <w:bottom w:val="nil"/>
          <w:right w:val="nil"/>
          <w:between w:val="nil"/>
        </w:pBdr>
        <w:tabs>
          <w:tab w:val="left" w:pos="993"/>
        </w:tabs>
        <w:spacing w:line="240" w:lineRule="auto"/>
        <w:jc w:val="both"/>
        <w:rPr>
          <w:noProof/>
        </w:rPr>
      </w:pPr>
      <w:r>
        <w:rPr>
          <w:noProof/>
        </w:rPr>
        <w:t>Cilj je reforme utvrditi put za prelazak na čist promet i brzo uvođenje mobilnosti s nultom stopom emisija. Cilj je reforme nadovezati se na okvire za održivu gradsku mobilnost čeških gradova, čime se predstavlja put prema kojem Češka može ubrzati uvođenje mobilnosti s nultom stopom emisija i uvođenje relevantne infrastrukture za opskrbu gorivom i punjenje.</w:t>
      </w:r>
    </w:p>
    <w:p w14:paraId="29E39573" w14:textId="024E5542" w:rsidR="00615E2D" w:rsidRDefault="00C83E46">
      <w:pPr>
        <w:pBdr>
          <w:top w:val="nil"/>
          <w:left w:val="nil"/>
          <w:bottom w:val="nil"/>
          <w:right w:val="nil"/>
          <w:between w:val="nil"/>
        </w:pBdr>
        <w:tabs>
          <w:tab w:val="left" w:pos="993"/>
        </w:tabs>
        <w:spacing w:line="240" w:lineRule="auto"/>
        <w:jc w:val="both"/>
        <w:rPr>
          <w:noProof/>
        </w:rPr>
      </w:pPr>
      <w:r>
        <w:rPr>
          <w:noProof/>
        </w:rPr>
        <w:t>S obzirom na trenutačni prijelaz na brzo dekarbonizirani prometni sektor, reforma će dovesti do postotnog povećanja registriranih vozila s nultim emisijama za svaku kategoriju vozila za 2025. i 2030. u odnosu na polaznu vrijednost za 2022. Revidiranim nacionalnim akcijskim planom utvrđuju se i namjenski nacionalni ciljevi za različite kategorije vozila s nultim emisijama koje treba ostvariti do 2025. odnosno 2030. Revidiranim nacionalnim akcijskim planom utvrđuju se i jasni ciljevi uvođenja infrastrukture za punjenje i postaja za opskrbu vodikom u skladu s Uredbom o infrastrukturi za alternativna goriva.</w:t>
      </w:r>
    </w:p>
    <w:p w14:paraId="009EA856" w14:textId="19873B0F" w:rsidR="00615E2D" w:rsidRDefault="00C83E46">
      <w:pPr>
        <w:pBdr>
          <w:top w:val="nil"/>
          <w:left w:val="nil"/>
          <w:bottom w:val="nil"/>
          <w:right w:val="nil"/>
          <w:between w:val="nil"/>
        </w:pBdr>
        <w:tabs>
          <w:tab w:val="left" w:pos="993"/>
        </w:tabs>
        <w:spacing w:line="240" w:lineRule="auto"/>
        <w:jc w:val="both"/>
        <w:rPr>
          <w:noProof/>
        </w:rPr>
      </w:pPr>
      <w:r>
        <w:rPr>
          <w:noProof/>
        </w:rPr>
        <w:t xml:space="preserve">Za potrebe reforme Češka postiže cilj uvođenja povećanja broja vozila s nultim emisijama registriranih u odgovarajućim kategorijama vozila od najmanje 70 % u odnosu na polaznu vrijednost za 2022. Reforma će dovesti i do objave javnih poziva za minimalnu ukupnu vrijednost od 120 milijuna EUR u razdoblju od veljače 2022. do lipnja 2026. kako bi se poduprlo uvođenje infrastrukture za alternativna goriva s nultim emisijama, odnosno postaja za punjenje i postaja za opskrbu vodikom. </w:t>
      </w:r>
    </w:p>
    <w:p w14:paraId="1AE92589" w14:textId="77777777" w:rsidR="00615E2D" w:rsidRDefault="00C83E46">
      <w:pPr>
        <w:pBdr>
          <w:top w:val="nil"/>
          <w:left w:val="nil"/>
          <w:bottom w:val="nil"/>
          <w:right w:val="nil"/>
          <w:between w:val="nil"/>
        </w:pBdr>
        <w:tabs>
          <w:tab w:val="left" w:pos="993"/>
        </w:tabs>
        <w:spacing w:line="240" w:lineRule="auto"/>
        <w:jc w:val="both"/>
        <w:rPr>
          <w:noProof/>
        </w:rPr>
      </w:pPr>
      <w:r>
        <w:rPr>
          <w:noProof/>
        </w:rPr>
        <w:t>Reforma uključuje popis mjera usmjerenih na pružanje financijskih i fiskalnih poticaja za povećanje uvođenja vozila i infrastrukture s nultim emisijama, kao i popis mjera usmjerenih na stvaranje povoljnog okruženja za uvođenje i rad mjesta za punjenje, postaja za punjenje velikog kapaciteta i postaja za opskrbu vodikom.</w:t>
      </w:r>
    </w:p>
    <w:p w14:paraId="433A4433" w14:textId="77777777" w:rsidR="00615E2D" w:rsidRDefault="00C83E46">
      <w:pPr>
        <w:pBdr>
          <w:top w:val="nil"/>
          <w:left w:val="nil"/>
          <w:bottom w:val="nil"/>
          <w:right w:val="nil"/>
          <w:between w:val="nil"/>
        </w:pBdr>
        <w:tabs>
          <w:tab w:val="left" w:pos="993"/>
        </w:tabs>
        <w:spacing w:line="240" w:lineRule="auto"/>
        <w:jc w:val="both"/>
        <w:rPr>
          <w:noProof/>
        </w:rPr>
      </w:pPr>
      <w:r>
        <w:rPr>
          <w:noProof/>
        </w:rPr>
        <w:t>Akcijski plan trebao bi se temeljiti na otvorenoj raspravi s relevantnim lokalnim akterima. Prije njegova dovršetka savjetuje se s industrijom i nevladinim organizacijama o nacrtu akcijskog plana.</w:t>
      </w:r>
    </w:p>
    <w:p w14:paraId="244A654D" w14:textId="23F9DA59"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Reforma mora biti dovršena do 30. lipnja 2026.</w:t>
      </w:r>
    </w:p>
    <w:p w14:paraId="04B5247F" w14:textId="1BB1B75C" w:rsidR="00615E2D" w:rsidRDefault="00C83E46">
      <w:pPr>
        <w:pStyle w:val="P68B1DB1-Normal18"/>
        <w:pBdr>
          <w:top w:val="nil"/>
          <w:left w:val="nil"/>
          <w:bottom w:val="nil"/>
          <w:right w:val="nil"/>
          <w:between w:val="nil"/>
        </w:pBdr>
        <w:tabs>
          <w:tab w:val="left" w:pos="993"/>
        </w:tabs>
        <w:spacing w:line="240" w:lineRule="auto"/>
        <w:jc w:val="both"/>
        <w:rPr>
          <w:noProof/>
        </w:rPr>
      </w:pPr>
      <w:r>
        <w:rPr>
          <w:noProof/>
        </w:rPr>
        <w:t xml:space="preserve">Reforma br. 2: Porezne mjere za potporu mobilnosti s nultom stopom emisija </w:t>
      </w:r>
    </w:p>
    <w:p w14:paraId="50D7E400" w14:textId="63AD9C37" w:rsidR="00615E2D" w:rsidRDefault="00C83E46">
      <w:pPr>
        <w:pBdr>
          <w:top w:val="nil"/>
          <w:left w:val="nil"/>
          <w:bottom w:val="nil"/>
          <w:right w:val="nil"/>
          <w:between w:val="nil"/>
        </w:pBdr>
        <w:tabs>
          <w:tab w:val="left" w:pos="993"/>
        </w:tabs>
        <w:spacing w:line="240" w:lineRule="auto"/>
        <w:jc w:val="both"/>
        <w:rPr>
          <w:noProof/>
        </w:rPr>
      </w:pPr>
      <w:r>
        <w:rPr>
          <w:noProof/>
        </w:rPr>
        <w:t>Cilj je reforme prilagoditi porezni okvir Češke kako bi se stvorilo poticajno okruženje za uvođenje cestovnih vozila s nultim emisijama u privatna poduzeća. Reformom se dopunjuje ulaganje 4 iz komponente 2.4. i podupire se potreba za daljnjim poticanjem povećane razine uvođenja vozila s nultim emisijama u skladu s prvom reformom. Mjerom se revidira Zakon o porezu na dohodak kako bi se izmijenila naknada u naravi za pružanje usluga službenih automobila osiguravanjem više razine oporezivanja za vozila s konvencionalnim pogonom i vozila s niskim emisijama (manje od 50 g CO2/km), uz istodobno utvrđivanje niže razine oporezivanja za vozila s nultim emisijama, što bi dovelo do prednosti za vozila s nultim emisijama. Reformom se želi postići znatna prednost za poslodavce i zaposlenike koji biraju vozila s nultim emisijama.</w:t>
      </w:r>
    </w:p>
    <w:p w14:paraId="71167411" w14:textId="14160AD2"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 xml:space="preserve">Reformom će se omogućiti i porezna olakšica u obliku ubrzane amortizacije za sva vozila s nultim emisijama (kategorije M1, N1, N2, N3) za privatna poduzeća. Mjerama se mijenja Zakon o porezu na dohodak kako bi se osigurala mogućnost ubrzane amortizacije samo za vozila s nultim emisijama barem do 2027. Cilj je reforme potaknuti poduzeća da nabave nova vozila s nultim emisijama, čime se ubrzava ozelenjivanje korporativnih voznih parkova. </w:t>
      </w:r>
    </w:p>
    <w:p w14:paraId="5A4014C7" w14:textId="4A90728F"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Reforma mora biti dovršena do 31. prosinca 2024.</w:t>
      </w:r>
    </w:p>
    <w:p w14:paraId="45B5923D" w14:textId="0A40D4E6" w:rsidR="00615E2D" w:rsidRDefault="00C83E46">
      <w:pPr>
        <w:pStyle w:val="P68B1DB1-Normal7"/>
        <w:pBdr>
          <w:top w:val="nil"/>
          <w:left w:val="nil"/>
          <w:bottom w:val="nil"/>
          <w:right w:val="nil"/>
          <w:between w:val="nil"/>
        </w:pBdr>
        <w:tabs>
          <w:tab w:val="left" w:pos="993"/>
        </w:tabs>
        <w:spacing w:line="240" w:lineRule="auto"/>
        <w:jc w:val="both"/>
        <w:rPr>
          <w:rFonts w:eastAsia="Times New Roman"/>
          <w:noProof/>
          <w:color w:val="000000" w:themeColor="text1"/>
        </w:rPr>
      </w:pPr>
      <w:r>
        <w:rPr>
          <w:noProof/>
        </w:rPr>
        <w:t>Reforma 3.: Poboljšanje regulatornog okvira za vodik iz obnovljivih izvora</w:t>
      </w:r>
    </w:p>
    <w:p w14:paraId="61B8151C" w14:textId="0441D988"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 xml:space="preserve">Reformom se predviđa ažuriranje češke strategije za vodik kako bi se bolje odgovorilo na trenutačne izazove, uvjete i razinu gospodarskog i tehnološkog napretka u sektoru vodika i njezinu usklađenost s relevantnim zahtjevima EU-a. </w:t>
      </w:r>
    </w:p>
    <w:p w14:paraId="6E0EC30A" w14:textId="77777777"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 xml:space="preserve">Reformom se utvrđuju namjenski ciljevi za proizvodnju i upotrebu vodika, s primarnim naglaskom na vodiku iz obnovljivih izvora. Cilj je reforme istražiti scenarije ravnoteže proizvodnje, zahtjeve u pogledu potrošnje i projekcije potrošnje u različitim segmentima ekosustava vodika te utvrditi uvoznu i izvoznu bilancu vodika putem mreže EU-a za transport vodika te istodobno utvrditi sva infrastrukturna uska grla. </w:t>
      </w:r>
    </w:p>
    <w:p w14:paraId="475D37BD" w14:textId="078A304C"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 xml:space="preserve">Ažuriranje češke strategije za vodik uključuje akcijski plan u kojem se definiraju prioriteti javnog financiranja za različite segmente ekosustava vodika i utvrđuju rokovi za pokretanje relevantnih poziva na financiranje. </w:t>
      </w:r>
    </w:p>
    <w:p w14:paraId="7A622394" w14:textId="4915D711"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Reforma mora biti dovršena do 31. prosinca 2025.</w:t>
      </w:r>
    </w:p>
    <w:p w14:paraId="1A69EDE9" w14:textId="72E8BD91" w:rsidR="00615E2D" w:rsidRDefault="00C83E46">
      <w:pPr>
        <w:pStyle w:val="P68B1DB1-Normal7"/>
        <w:pBdr>
          <w:top w:val="nil"/>
          <w:left w:val="nil"/>
          <w:bottom w:val="nil"/>
          <w:right w:val="nil"/>
          <w:between w:val="nil"/>
        </w:pBdr>
        <w:tabs>
          <w:tab w:val="left" w:pos="993"/>
        </w:tabs>
        <w:spacing w:line="240" w:lineRule="auto"/>
        <w:jc w:val="both"/>
        <w:rPr>
          <w:rFonts w:eastAsia="Times New Roman"/>
          <w:noProof/>
          <w:color w:val="000000" w:themeColor="text1"/>
        </w:rPr>
      </w:pPr>
      <w:r>
        <w:rPr>
          <w:noProof/>
        </w:rPr>
        <w:t>Reforma 4.: Uvjeti koji omogućuju provedbu infrastrukture za alternativna goriva s nultim emisijama</w:t>
      </w:r>
    </w:p>
    <w:p w14:paraId="6CD8C8F3" w14:textId="6E579906"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Reformom se nastoji pojednostavniti i olakšati izgradnja, postupak izdavanja dozvola i rad infrastrukture za električno punjenje i postaja za opskrbu vodikom.</w:t>
      </w:r>
    </w:p>
    <w:p w14:paraId="4D319B8D" w14:textId="7D419499"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Reforma uključuje izmjene Zakona o gradnji. Izmjenama se pojednostavnjuju i pojednostavnjuju postupci izdavanja dozvola za izgradnju i rad infrastrukture za električno punjenje. Reformom će se posebno izmijeniti Zakon o gradnji kako bi se osigurao povlašteni tretman za punjače snage do 22 kW definiranjem te vrste infrastrukture kao „manje konstrukcije” i definiranjem punjača snage veće od 22 kW kao „jednostavne konstrukcije” za potrebe postupaka za građevinsku dozvolu.</w:t>
      </w:r>
    </w:p>
    <w:p w14:paraId="666C6A45" w14:textId="67D49FD9"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Reforma dovodi i do donošenja dodatnih obvezujućih ili neobvezujućih mjera ili izmjena postojećih obvezujućih ili neobvezujućih mjera u svrhu pojednostavnjenja i olakšavanja izgradnje, izdavanja dozvola i rada infrastrukture za punjenje i opskrbu vodikom. Takve dodatne mjere mogu biti zakonodavni akt, sekundarno zakonodavstvo kao što su vladini dekreti ili tehničke mjere i metodologije te se mogu temeljiti na popisu mjera pripremljenih u okviru reforme 1.</w:t>
      </w:r>
    </w:p>
    <w:p w14:paraId="67DF8A39" w14:textId="0AD06F07"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Reforma mora biti dovršena do 31. prosinca 2025.</w:t>
      </w:r>
    </w:p>
    <w:p w14:paraId="793AF27F" w14:textId="293AC318" w:rsidR="00615E2D" w:rsidRDefault="00C83E46">
      <w:pPr>
        <w:pStyle w:val="P68B1DB1-Normal18"/>
        <w:pBdr>
          <w:top w:val="nil"/>
          <w:left w:val="nil"/>
          <w:bottom w:val="nil"/>
          <w:right w:val="nil"/>
          <w:between w:val="nil"/>
        </w:pBdr>
        <w:tabs>
          <w:tab w:val="left" w:pos="993"/>
        </w:tabs>
        <w:spacing w:line="240" w:lineRule="auto"/>
        <w:jc w:val="both"/>
        <w:rPr>
          <w:noProof/>
        </w:rPr>
      </w:pPr>
      <w:r>
        <w:rPr>
          <w:noProof/>
        </w:rPr>
        <w:t>Reforma br. 5: Poticanje mobilnosti s nultom stopom emisija promjenama troškova i strukture vinjeta na autocestama</w:t>
      </w:r>
    </w:p>
    <w:p w14:paraId="562F1C33" w14:textId="0F15318E"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Cilj je reforme stvoriti znatan poticaj za uvođenje cestovnih vozila s nultim emisijama, posebno osobnih automobila i lakih gospodarskih vozila. Cilj je te reforme izmijeniti pristojbe za vinjete na autocestama i strukturu troškova kako bi se povećala cijena pristojbi za vinjete za autocestu za konvencionalna vozila, a da se pritom zadrži postojeće izuzeće samo za vozila s nultim emisijama. Reforma će rezultirati povećanjem godišnje vinjete za vozila kategorije M1 i N1 s konvencionalnim pogonom za najmanje 50 % u odnosu na polaznu vrijednost za 2022.</w:t>
      </w:r>
    </w:p>
    <w:p w14:paraId="0E03B63E" w14:textId="248416F3"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Reforma mora biti dovršena do 31. prosinca 2024.</w:t>
      </w:r>
    </w:p>
    <w:p w14:paraId="51AB704F" w14:textId="3326C9BB" w:rsidR="00615E2D" w:rsidRDefault="00C83E46">
      <w:pPr>
        <w:spacing w:line="240" w:lineRule="auto"/>
        <w:rPr>
          <w:b/>
          <w:noProof/>
        </w:rPr>
      </w:pPr>
      <w:r>
        <w:rPr>
          <w:b/>
          <w:noProof/>
        </w:rPr>
        <w:t>Ulaganje 1:</w:t>
      </w:r>
      <w:r>
        <w:rPr>
          <w:noProof/>
        </w:rPr>
        <w:t xml:space="preserve"> </w:t>
      </w:r>
      <w:r>
        <w:rPr>
          <w:b/>
          <w:noProof/>
        </w:rPr>
        <w:t>Proširena mjera: Potpore za kupnju vozila – vozila s nultim emisijama i teretni e-bicikli za privatna poduzeća</w:t>
      </w:r>
    </w:p>
    <w:p w14:paraId="39007A17" w14:textId="573CF168" w:rsidR="00615E2D" w:rsidRDefault="00C83E46">
      <w:pPr>
        <w:spacing w:line="240" w:lineRule="auto"/>
        <w:jc w:val="both"/>
        <w:rPr>
          <w:noProof/>
        </w:rPr>
      </w:pPr>
      <w:r>
        <w:rPr>
          <w:noProof/>
        </w:rPr>
        <w:t>Ulaganje bi trebalo biti povećanje postojeće mjere komponente 2.4. (Ulaganje 4.) istog naziva. Uzimajući te dvije mjere zajedno, ukupna ulaganja iz češkog plana rezultiraju s 4555 vozila, od kojih su 4055 automobila s nultim emisijama i kombija s nultim emisijama, te 500 e-bicikala.</w:t>
      </w:r>
    </w:p>
    <w:p w14:paraId="053BF4FE" w14:textId="7A711FF2" w:rsidR="00615E2D" w:rsidRDefault="00C83E46">
      <w:pPr>
        <w:spacing w:line="240" w:lineRule="auto"/>
        <w:rPr>
          <w:noProof/>
        </w:rPr>
      </w:pPr>
      <w:r>
        <w:rPr>
          <w:noProof/>
        </w:rPr>
        <w:t>Ulaganje mora biti dovršeno do 31. prosinca 2025.</w:t>
      </w:r>
    </w:p>
    <w:p w14:paraId="6EF4373E" w14:textId="77777777" w:rsidR="00615E2D" w:rsidRDefault="00615E2D">
      <w:pPr>
        <w:spacing w:line="240" w:lineRule="auto"/>
        <w:rPr>
          <w:noProof/>
          <w:sz w:val="22"/>
        </w:rPr>
      </w:pPr>
    </w:p>
    <w:p w14:paraId="3078D1B5" w14:textId="77777777" w:rsidR="00615E2D" w:rsidRDefault="00615E2D">
      <w:pPr>
        <w:spacing w:line="240" w:lineRule="auto"/>
        <w:rPr>
          <w:noProof/>
          <w:sz w:val="22"/>
        </w:rPr>
      </w:pPr>
    </w:p>
    <w:p w14:paraId="0DF0A2BE" w14:textId="77777777" w:rsidR="00615E2D" w:rsidRDefault="00615E2D">
      <w:pPr>
        <w:tabs>
          <w:tab w:val="left" w:pos="993"/>
        </w:tabs>
        <w:spacing w:line="240" w:lineRule="auto"/>
        <w:jc w:val="both"/>
        <w:rPr>
          <w:b/>
          <w:noProof/>
          <w:u w:val="single"/>
        </w:rPr>
        <w:sectPr w:rsidR="00615E2D" w:rsidSect="003F264F">
          <w:headerReference w:type="even" r:id="rId486"/>
          <w:headerReference w:type="default" r:id="rId487"/>
          <w:footerReference w:type="even" r:id="rId488"/>
          <w:footerReference w:type="default" r:id="rId489"/>
          <w:headerReference w:type="first" r:id="rId490"/>
          <w:footerReference w:type="first" r:id="rId491"/>
          <w:pgSz w:w="11907" w:h="16839"/>
          <w:pgMar w:top="1134" w:right="1134" w:bottom="1134" w:left="1134" w:header="567" w:footer="567" w:gutter="0"/>
          <w:cols w:space="720"/>
          <w:docGrid w:linePitch="360"/>
        </w:sectPr>
      </w:pPr>
    </w:p>
    <w:p w14:paraId="4BBE5121" w14:textId="2BEEA3B2" w:rsidR="00615E2D" w:rsidRDefault="00C83E46">
      <w:pPr>
        <w:pStyle w:val="P68B1DB1-Normal5"/>
        <w:tabs>
          <w:tab w:val="left" w:pos="993"/>
        </w:tabs>
        <w:spacing w:line="240" w:lineRule="auto"/>
        <w:jc w:val="both"/>
        <w:rPr>
          <w:noProof/>
        </w:rPr>
      </w:pPr>
      <w:r>
        <w:rPr>
          <w:noProof/>
        </w:rPr>
        <w:t>II.2. Ključne etape, ciljne vrijednosti i vremenski raspored za praćenje i provedbu programa bespovratne financijske potpore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0"/>
        <w:gridCol w:w="1610"/>
        <w:gridCol w:w="1104"/>
        <w:gridCol w:w="1531"/>
        <w:gridCol w:w="1451"/>
        <w:gridCol w:w="984"/>
        <w:gridCol w:w="979"/>
        <w:gridCol w:w="979"/>
        <w:gridCol w:w="995"/>
        <w:gridCol w:w="654"/>
        <w:gridCol w:w="4084"/>
      </w:tblGrid>
      <w:tr w:rsidR="00615E2D" w14:paraId="287EB266" w14:textId="77777777">
        <w:trPr>
          <w:trHeight w:val="672"/>
          <w:tblHeader/>
          <w:jc w:val="center"/>
        </w:trPr>
        <w:tc>
          <w:tcPr>
            <w:tcW w:w="664" w:type="dxa"/>
            <w:vMerge w:val="restart"/>
            <w:shd w:val="clear" w:color="auto" w:fill="B8CCE4" w:themeFill="accent1" w:themeFillTint="66"/>
            <w:vAlign w:val="center"/>
            <w:hideMark/>
          </w:tcPr>
          <w:p w14:paraId="23725E87" w14:textId="77777777" w:rsidR="00615E2D" w:rsidRDefault="00C83E46">
            <w:pPr>
              <w:pStyle w:val="P68B1DB1-Normal9"/>
              <w:spacing w:before="0" w:after="0" w:line="240" w:lineRule="auto"/>
              <w:jc w:val="center"/>
              <w:rPr>
                <w:noProof/>
              </w:rPr>
            </w:pPr>
            <w:r>
              <w:rPr>
                <w:noProof/>
              </w:rPr>
              <w:t>Sljedeće NUM.</w:t>
            </w:r>
          </w:p>
        </w:tc>
        <w:tc>
          <w:tcPr>
            <w:tcW w:w="1657" w:type="dxa"/>
            <w:vMerge w:val="restart"/>
            <w:shd w:val="clear" w:color="auto" w:fill="B8CCE4" w:themeFill="accent1" w:themeFillTint="66"/>
            <w:vAlign w:val="center"/>
            <w:hideMark/>
          </w:tcPr>
          <w:p w14:paraId="75A11B42"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8CCE4" w:themeFill="accent1" w:themeFillTint="66"/>
            <w:vAlign w:val="center"/>
            <w:hideMark/>
          </w:tcPr>
          <w:p w14:paraId="409FB859" w14:textId="77777777" w:rsidR="00615E2D" w:rsidRDefault="00C83E46">
            <w:pPr>
              <w:pStyle w:val="P68B1DB1-Normal9"/>
              <w:spacing w:before="0" w:after="0" w:line="240" w:lineRule="auto"/>
              <w:jc w:val="center"/>
              <w:rPr>
                <w:noProof/>
              </w:rPr>
            </w:pPr>
            <w:r>
              <w:rPr>
                <w:noProof/>
              </w:rPr>
              <w:t>Ključna etapa/ciljna vrijednost</w:t>
            </w:r>
          </w:p>
        </w:tc>
        <w:tc>
          <w:tcPr>
            <w:tcW w:w="1576" w:type="dxa"/>
            <w:vMerge w:val="restart"/>
            <w:shd w:val="clear" w:color="auto" w:fill="B8CCE4" w:themeFill="accent1" w:themeFillTint="66"/>
            <w:vAlign w:val="center"/>
            <w:hideMark/>
          </w:tcPr>
          <w:p w14:paraId="4A701475" w14:textId="77777777" w:rsidR="00615E2D" w:rsidRDefault="00C83E46">
            <w:pPr>
              <w:pStyle w:val="P68B1DB1-Normal9"/>
              <w:spacing w:before="0" w:after="0" w:line="240" w:lineRule="auto"/>
              <w:jc w:val="center"/>
              <w:rPr>
                <w:noProof/>
              </w:rPr>
            </w:pPr>
            <w:r>
              <w:rPr>
                <w:noProof/>
              </w:rPr>
              <w:t>Ime</w:t>
            </w:r>
          </w:p>
        </w:tc>
        <w:tc>
          <w:tcPr>
            <w:tcW w:w="1493" w:type="dxa"/>
            <w:vMerge w:val="restart"/>
            <w:shd w:val="clear" w:color="auto" w:fill="B8CCE4" w:themeFill="accent1" w:themeFillTint="66"/>
            <w:vAlign w:val="center"/>
            <w:hideMark/>
          </w:tcPr>
          <w:p w14:paraId="48CDBC72"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3020" w:type="dxa"/>
            <w:gridSpan w:val="3"/>
            <w:shd w:val="clear" w:color="auto" w:fill="B8CCE4" w:themeFill="accent1" w:themeFillTint="66"/>
            <w:vAlign w:val="center"/>
            <w:hideMark/>
          </w:tcPr>
          <w:p w14:paraId="17C3497E"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337" w:type="dxa"/>
            <w:gridSpan w:val="2"/>
            <w:shd w:val="clear" w:color="auto" w:fill="B8CCE4" w:themeFill="accent1" w:themeFillTint="66"/>
            <w:vAlign w:val="center"/>
            <w:hideMark/>
          </w:tcPr>
          <w:p w14:paraId="39E725B7"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217" w:type="dxa"/>
            <w:vMerge w:val="restart"/>
            <w:shd w:val="clear" w:color="auto" w:fill="B8CCE4" w:themeFill="accent1" w:themeFillTint="66"/>
            <w:vAlign w:val="center"/>
            <w:hideMark/>
          </w:tcPr>
          <w:p w14:paraId="739EA722"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7C2940BB" w14:textId="77777777">
        <w:trPr>
          <w:trHeight w:val="458"/>
          <w:tblHeader/>
          <w:jc w:val="center"/>
        </w:trPr>
        <w:tc>
          <w:tcPr>
            <w:tcW w:w="664" w:type="dxa"/>
            <w:vMerge/>
            <w:vAlign w:val="center"/>
            <w:hideMark/>
          </w:tcPr>
          <w:p w14:paraId="1F8EAE07" w14:textId="77777777" w:rsidR="00615E2D" w:rsidRDefault="00615E2D">
            <w:pPr>
              <w:spacing w:before="0" w:after="0" w:line="240" w:lineRule="auto"/>
              <w:rPr>
                <w:rFonts w:eastAsia="Times New Roman"/>
                <w:b/>
                <w:noProof/>
                <w:sz w:val="18"/>
              </w:rPr>
            </w:pPr>
          </w:p>
        </w:tc>
        <w:tc>
          <w:tcPr>
            <w:tcW w:w="1657" w:type="dxa"/>
            <w:vMerge/>
            <w:vAlign w:val="center"/>
            <w:hideMark/>
          </w:tcPr>
          <w:p w14:paraId="3FB6F425" w14:textId="77777777" w:rsidR="00615E2D" w:rsidRDefault="00615E2D">
            <w:pPr>
              <w:spacing w:before="0" w:after="0" w:line="240" w:lineRule="auto"/>
              <w:rPr>
                <w:rFonts w:eastAsia="Times New Roman"/>
                <w:b/>
                <w:noProof/>
                <w:sz w:val="18"/>
              </w:rPr>
            </w:pPr>
          </w:p>
        </w:tc>
        <w:tc>
          <w:tcPr>
            <w:tcW w:w="1134" w:type="dxa"/>
            <w:vMerge/>
            <w:vAlign w:val="center"/>
            <w:hideMark/>
          </w:tcPr>
          <w:p w14:paraId="68C112B8" w14:textId="77777777" w:rsidR="00615E2D" w:rsidRDefault="00615E2D">
            <w:pPr>
              <w:spacing w:before="0" w:after="0" w:line="240" w:lineRule="auto"/>
              <w:rPr>
                <w:rFonts w:eastAsia="Times New Roman"/>
                <w:b/>
                <w:noProof/>
                <w:sz w:val="18"/>
              </w:rPr>
            </w:pPr>
          </w:p>
        </w:tc>
        <w:tc>
          <w:tcPr>
            <w:tcW w:w="1576" w:type="dxa"/>
            <w:vMerge/>
            <w:vAlign w:val="center"/>
            <w:hideMark/>
          </w:tcPr>
          <w:p w14:paraId="51F81088" w14:textId="77777777" w:rsidR="00615E2D" w:rsidRDefault="00615E2D">
            <w:pPr>
              <w:spacing w:before="0" w:after="0" w:line="240" w:lineRule="auto"/>
              <w:rPr>
                <w:rFonts w:eastAsia="Times New Roman"/>
                <w:b/>
                <w:noProof/>
                <w:sz w:val="18"/>
              </w:rPr>
            </w:pPr>
          </w:p>
        </w:tc>
        <w:tc>
          <w:tcPr>
            <w:tcW w:w="1493" w:type="dxa"/>
            <w:vMerge/>
            <w:vAlign w:val="center"/>
            <w:hideMark/>
          </w:tcPr>
          <w:p w14:paraId="349F1CA1" w14:textId="77777777" w:rsidR="00615E2D" w:rsidRDefault="00615E2D">
            <w:pPr>
              <w:spacing w:before="0" w:after="0" w:line="240" w:lineRule="auto"/>
              <w:rPr>
                <w:rFonts w:eastAsia="Times New Roman"/>
                <w:b/>
                <w:noProof/>
                <w:sz w:val="18"/>
              </w:rPr>
            </w:pPr>
          </w:p>
        </w:tc>
        <w:tc>
          <w:tcPr>
            <w:tcW w:w="1010" w:type="dxa"/>
            <w:shd w:val="clear" w:color="auto" w:fill="B8CCE4" w:themeFill="accent1" w:themeFillTint="66"/>
            <w:vAlign w:val="center"/>
            <w:hideMark/>
          </w:tcPr>
          <w:p w14:paraId="571A238E" w14:textId="77777777" w:rsidR="00615E2D" w:rsidRDefault="00C83E46">
            <w:pPr>
              <w:pStyle w:val="P68B1DB1-Normal9"/>
              <w:spacing w:before="0" w:after="0" w:line="240" w:lineRule="auto"/>
              <w:jc w:val="center"/>
              <w:rPr>
                <w:noProof/>
              </w:rPr>
            </w:pPr>
            <w:r>
              <w:rPr>
                <w:noProof/>
              </w:rPr>
              <w:t>Jedinica mjere</w:t>
            </w:r>
          </w:p>
        </w:tc>
        <w:tc>
          <w:tcPr>
            <w:tcW w:w="1005" w:type="dxa"/>
            <w:shd w:val="clear" w:color="auto" w:fill="B8CCE4" w:themeFill="accent1" w:themeFillTint="66"/>
            <w:vAlign w:val="center"/>
            <w:hideMark/>
          </w:tcPr>
          <w:p w14:paraId="20D2DAFA" w14:textId="77777777" w:rsidR="00615E2D" w:rsidRDefault="00C83E46">
            <w:pPr>
              <w:pStyle w:val="P68B1DB1-Normal9"/>
              <w:spacing w:before="0" w:after="0" w:line="240" w:lineRule="auto"/>
              <w:jc w:val="center"/>
              <w:rPr>
                <w:noProof/>
              </w:rPr>
            </w:pPr>
            <w:r>
              <w:rPr>
                <w:noProof/>
              </w:rPr>
              <w:t xml:space="preserve">Osnovna vrijednost </w:t>
            </w:r>
          </w:p>
        </w:tc>
        <w:tc>
          <w:tcPr>
            <w:tcW w:w="1005" w:type="dxa"/>
            <w:shd w:val="clear" w:color="auto" w:fill="B8CCE4" w:themeFill="accent1" w:themeFillTint="66"/>
            <w:vAlign w:val="center"/>
            <w:hideMark/>
          </w:tcPr>
          <w:p w14:paraId="54275ADF" w14:textId="77777777" w:rsidR="00615E2D" w:rsidRDefault="00C83E46">
            <w:pPr>
              <w:pStyle w:val="P68B1DB1-Normal9"/>
              <w:spacing w:before="0" w:after="0" w:line="240" w:lineRule="auto"/>
              <w:jc w:val="center"/>
              <w:rPr>
                <w:noProof/>
              </w:rPr>
            </w:pPr>
            <w:r>
              <w:rPr>
                <w:noProof/>
              </w:rPr>
              <w:t xml:space="preserve">Cilj </w:t>
            </w:r>
          </w:p>
        </w:tc>
        <w:tc>
          <w:tcPr>
            <w:tcW w:w="1021" w:type="dxa"/>
            <w:shd w:val="clear" w:color="auto" w:fill="B8CCE4" w:themeFill="accent1" w:themeFillTint="66"/>
            <w:vAlign w:val="center"/>
            <w:hideMark/>
          </w:tcPr>
          <w:p w14:paraId="04D603BE" w14:textId="77777777" w:rsidR="00615E2D" w:rsidRDefault="00C83E46">
            <w:pPr>
              <w:pStyle w:val="P68B1DB1-Normal9"/>
              <w:spacing w:before="0" w:after="0" w:line="240" w:lineRule="auto"/>
              <w:jc w:val="center"/>
              <w:rPr>
                <w:noProof/>
              </w:rPr>
            </w:pPr>
            <w:r>
              <w:rPr>
                <w:noProof/>
              </w:rPr>
              <w:t>Tromjesečje</w:t>
            </w:r>
          </w:p>
        </w:tc>
        <w:tc>
          <w:tcPr>
            <w:tcW w:w="668" w:type="dxa"/>
            <w:shd w:val="clear" w:color="auto" w:fill="B8CCE4" w:themeFill="accent1" w:themeFillTint="66"/>
            <w:vAlign w:val="center"/>
            <w:hideMark/>
          </w:tcPr>
          <w:p w14:paraId="215A44A0" w14:textId="77777777" w:rsidR="00615E2D" w:rsidRDefault="00C83E46">
            <w:pPr>
              <w:pStyle w:val="P68B1DB1-Normal9"/>
              <w:spacing w:before="0" w:after="0" w:line="240" w:lineRule="auto"/>
              <w:jc w:val="center"/>
              <w:rPr>
                <w:noProof/>
              </w:rPr>
            </w:pPr>
            <w:r>
              <w:rPr>
                <w:noProof/>
              </w:rPr>
              <w:t>Godina</w:t>
            </w:r>
          </w:p>
        </w:tc>
        <w:tc>
          <w:tcPr>
            <w:tcW w:w="4217" w:type="dxa"/>
            <w:vMerge/>
            <w:vAlign w:val="center"/>
            <w:hideMark/>
          </w:tcPr>
          <w:p w14:paraId="1F07753C" w14:textId="77777777" w:rsidR="00615E2D" w:rsidRDefault="00615E2D">
            <w:pPr>
              <w:spacing w:before="0" w:after="0" w:line="240" w:lineRule="auto"/>
              <w:rPr>
                <w:rFonts w:eastAsia="Times New Roman"/>
                <w:b/>
                <w:noProof/>
                <w:sz w:val="18"/>
              </w:rPr>
            </w:pPr>
          </w:p>
        </w:tc>
      </w:tr>
      <w:tr w:rsidR="00615E2D" w14:paraId="376CD7DD" w14:textId="77777777">
        <w:trPr>
          <w:trHeight w:val="309"/>
          <w:jc w:val="center"/>
        </w:trPr>
        <w:tc>
          <w:tcPr>
            <w:tcW w:w="664" w:type="dxa"/>
            <w:shd w:val="clear" w:color="auto" w:fill="C6EFCE"/>
            <w:vAlign w:val="center"/>
            <w:hideMark/>
          </w:tcPr>
          <w:p w14:paraId="55A54024" w14:textId="06EE7475" w:rsidR="00615E2D" w:rsidRDefault="00C83E46">
            <w:pPr>
              <w:pStyle w:val="P68B1DB1-Normal15"/>
              <w:spacing w:before="0" w:after="0" w:line="240" w:lineRule="auto"/>
              <w:jc w:val="center"/>
              <w:rPr>
                <w:noProof/>
              </w:rPr>
            </w:pPr>
            <w:r>
              <w:rPr>
                <w:noProof/>
              </w:rPr>
              <w:t>329</w:t>
            </w:r>
          </w:p>
        </w:tc>
        <w:tc>
          <w:tcPr>
            <w:tcW w:w="1657" w:type="dxa"/>
            <w:shd w:val="clear" w:color="auto" w:fill="C6EFCE"/>
            <w:vAlign w:val="center"/>
            <w:hideMark/>
          </w:tcPr>
          <w:p w14:paraId="52C152BE" w14:textId="77777777" w:rsidR="00615E2D" w:rsidRDefault="00C83E46">
            <w:pPr>
              <w:pStyle w:val="P68B1DB1-Normal15"/>
              <w:spacing w:after="0" w:line="276" w:lineRule="auto"/>
              <w:rPr>
                <w:noProof/>
              </w:rPr>
            </w:pPr>
            <w:r>
              <w:rPr>
                <w:noProof/>
              </w:rPr>
              <w:t xml:space="preserve">Reforma 1.: Nacionalni akcijski plan za čistu mobilnost i ciljevi uvođenja za mobilnost s nultom stopom emisija </w:t>
            </w:r>
          </w:p>
          <w:p w14:paraId="3F9A88CF" w14:textId="5D90257A" w:rsidR="00615E2D" w:rsidRDefault="00C83E46">
            <w:pPr>
              <w:pStyle w:val="P68B1DB1-Normal15"/>
              <w:spacing w:before="0" w:after="0" w:line="240" w:lineRule="auto"/>
              <w:rPr>
                <w:noProof/>
              </w:rPr>
            </w:pPr>
            <w:r>
              <w:rPr>
                <w:noProof/>
              </w:rPr>
              <w:t xml:space="preserve"> </w:t>
            </w:r>
          </w:p>
        </w:tc>
        <w:tc>
          <w:tcPr>
            <w:tcW w:w="1134" w:type="dxa"/>
            <w:shd w:val="clear" w:color="auto" w:fill="C6EFCE"/>
            <w:vAlign w:val="center"/>
            <w:hideMark/>
          </w:tcPr>
          <w:p w14:paraId="267F3DF9" w14:textId="14CEF0D3" w:rsidR="00615E2D" w:rsidRDefault="00C83E46">
            <w:pPr>
              <w:pStyle w:val="P68B1DB1-Normal15"/>
              <w:spacing w:before="0" w:after="0" w:line="240" w:lineRule="auto"/>
              <w:rPr>
                <w:noProof/>
              </w:rPr>
            </w:pPr>
            <w:r>
              <w:rPr>
                <w:noProof/>
              </w:rPr>
              <w:t>Prekretnica</w:t>
            </w:r>
          </w:p>
        </w:tc>
        <w:tc>
          <w:tcPr>
            <w:tcW w:w="1576" w:type="dxa"/>
            <w:shd w:val="clear" w:color="auto" w:fill="C6EFCE"/>
            <w:vAlign w:val="center"/>
            <w:hideMark/>
          </w:tcPr>
          <w:p w14:paraId="7A794BF3" w14:textId="3AF9898F" w:rsidR="00615E2D" w:rsidRDefault="00C83E46">
            <w:pPr>
              <w:pStyle w:val="P68B1DB1-Normal15"/>
              <w:spacing w:before="0" w:after="0" w:line="240" w:lineRule="auto"/>
              <w:rPr>
                <w:noProof/>
              </w:rPr>
            </w:pPr>
            <w:r>
              <w:rPr>
                <w:noProof/>
              </w:rPr>
              <w:t>Revizija nacionalnog akcijskog plana za čistu mobilnost</w:t>
            </w:r>
          </w:p>
        </w:tc>
        <w:tc>
          <w:tcPr>
            <w:tcW w:w="1493" w:type="dxa"/>
            <w:shd w:val="clear" w:color="auto" w:fill="C6EFCE"/>
            <w:vAlign w:val="center"/>
            <w:hideMark/>
          </w:tcPr>
          <w:p w14:paraId="1A63A8F5" w14:textId="121F07D9" w:rsidR="00615E2D" w:rsidRDefault="00C83E46">
            <w:pPr>
              <w:pStyle w:val="P68B1DB1-Normal15"/>
              <w:spacing w:before="0" w:after="0" w:line="240" w:lineRule="auto"/>
              <w:rPr>
                <w:noProof/>
              </w:rPr>
            </w:pPr>
            <w:r>
              <w:rPr>
                <w:noProof/>
              </w:rPr>
              <w:t>Vlada donosi reviziju nacionalnog akcijskog plana za čistu mobilnost</w:t>
            </w:r>
          </w:p>
        </w:tc>
        <w:tc>
          <w:tcPr>
            <w:tcW w:w="1010" w:type="dxa"/>
            <w:shd w:val="clear" w:color="auto" w:fill="C6EFCE"/>
            <w:vAlign w:val="center"/>
          </w:tcPr>
          <w:p w14:paraId="7C558642" w14:textId="4B7CBB97" w:rsidR="00615E2D" w:rsidRDefault="00615E2D">
            <w:pPr>
              <w:spacing w:before="0" w:after="0" w:line="240" w:lineRule="auto"/>
              <w:rPr>
                <w:rFonts w:eastAsia="Times New Roman"/>
                <w:noProof/>
                <w:color w:val="004300"/>
                <w:sz w:val="18"/>
              </w:rPr>
            </w:pPr>
          </w:p>
        </w:tc>
        <w:tc>
          <w:tcPr>
            <w:tcW w:w="1005" w:type="dxa"/>
            <w:shd w:val="clear" w:color="auto" w:fill="C6EFCE"/>
            <w:vAlign w:val="center"/>
          </w:tcPr>
          <w:p w14:paraId="780C8836" w14:textId="0B356CB2" w:rsidR="00615E2D" w:rsidRDefault="00615E2D">
            <w:pPr>
              <w:spacing w:before="0" w:after="0" w:line="240" w:lineRule="auto"/>
              <w:jc w:val="center"/>
              <w:rPr>
                <w:rFonts w:eastAsia="Times New Roman"/>
                <w:noProof/>
                <w:color w:val="004300"/>
                <w:sz w:val="18"/>
              </w:rPr>
            </w:pPr>
          </w:p>
        </w:tc>
        <w:tc>
          <w:tcPr>
            <w:tcW w:w="1005" w:type="dxa"/>
            <w:shd w:val="clear" w:color="auto" w:fill="C6EFCE"/>
            <w:vAlign w:val="center"/>
          </w:tcPr>
          <w:p w14:paraId="13D271BC" w14:textId="1B979E2A" w:rsidR="00615E2D" w:rsidRDefault="00615E2D">
            <w:pPr>
              <w:spacing w:before="0" w:after="0" w:line="240" w:lineRule="auto"/>
              <w:jc w:val="center"/>
              <w:rPr>
                <w:rFonts w:eastAsia="Times New Roman"/>
                <w:noProof/>
                <w:color w:val="004300"/>
                <w:sz w:val="18"/>
              </w:rPr>
            </w:pPr>
          </w:p>
        </w:tc>
        <w:tc>
          <w:tcPr>
            <w:tcW w:w="1021" w:type="dxa"/>
            <w:shd w:val="clear" w:color="auto" w:fill="C6EFCE"/>
            <w:vAlign w:val="center"/>
            <w:hideMark/>
          </w:tcPr>
          <w:p w14:paraId="0B62055A" w14:textId="426DE430" w:rsidR="00615E2D" w:rsidRDefault="00C83E46">
            <w:pPr>
              <w:pStyle w:val="P68B1DB1-Normal15"/>
              <w:spacing w:before="0" w:after="0" w:line="240" w:lineRule="auto"/>
              <w:jc w:val="center"/>
              <w:rPr>
                <w:noProof/>
              </w:rPr>
            </w:pPr>
            <w:r>
              <w:rPr>
                <w:noProof/>
              </w:rPr>
              <w:t>TROMJESEČJE</w:t>
            </w:r>
          </w:p>
        </w:tc>
        <w:tc>
          <w:tcPr>
            <w:tcW w:w="668" w:type="dxa"/>
            <w:shd w:val="clear" w:color="auto" w:fill="C6EFCE"/>
            <w:vAlign w:val="center"/>
            <w:hideMark/>
          </w:tcPr>
          <w:p w14:paraId="4A740F2F" w14:textId="5063FB0D" w:rsidR="00615E2D" w:rsidRDefault="00C83E46">
            <w:pPr>
              <w:pStyle w:val="P68B1DB1-Normal15"/>
              <w:spacing w:before="0" w:after="0" w:line="240" w:lineRule="auto"/>
              <w:jc w:val="center"/>
              <w:rPr>
                <w:noProof/>
              </w:rPr>
            </w:pPr>
            <w:r>
              <w:rPr>
                <w:noProof/>
              </w:rPr>
              <w:t>2024</w:t>
            </w:r>
          </w:p>
        </w:tc>
        <w:tc>
          <w:tcPr>
            <w:tcW w:w="4217" w:type="dxa"/>
            <w:shd w:val="clear" w:color="auto" w:fill="C6EFCE"/>
            <w:vAlign w:val="center"/>
            <w:hideMark/>
          </w:tcPr>
          <w:p w14:paraId="5662CBEE" w14:textId="1A68E479" w:rsidR="00615E2D" w:rsidRDefault="00C83E46">
            <w:pPr>
              <w:pStyle w:val="P68B1DB1-Normal15"/>
              <w:shd w:val="clear" w:color="auto" w:fill="C6EFCE"/>
              <w:spacing w:after="0" w:line="240" w:lineRule="auto"/>
              <w:jc w:val="both"/>
              <w:textAlignment w:val="baseline"/>
              <w:rPr>
                <w:noProof/>
              </w:rPr>
            </w:pPr>
            <w:r>
              <w:rPr>
                <w:noProof/>
              </w:rPr>
              <w:t>Vlada donosi reviziju nacionalnog akcijskog plana za čistu mobilnost kojom se utvrđuje način na koji Češka može ubrzati uvođenje mobilnosti s nultom stopom emisija i uvođenje relevantne infrastrukture za punjenje i opskrbu vodikom.</w:t>
            </w:r>
          </w:p>
          <w:p w14:paraId="27365549" w14:textId="184980F7" w:rsidR="00615E2D" w:rsidRDefault="00C83E46">
            <w:pPr>
              <w:pStyle w:val="P68B1DB1-Normal15"/>
              <w:shd w:val="clear" w:color="auto" w:fill="C6EFCE"/>
              <w:spacing w:after="0" w:line="240" w:lineRule="auto"/>
              <w:jc w:val="both"/>
              <w:textAlignment w:val="baseline"/>
              <w:rPr>
                <w:noProof/>
              </w:rPr>
            </w:pPr>
            <w:r>
              <w:rPr>
                <w:noProof/>
              </w:rPr>
              <w:t xml:space="preserve">Akcijski plan mora biti usklađen s relevantnim pravnim zahtjevima EU-a (kao što su Uredba o infrastrukturi za alternativna goriva, Direktiva o obnovljivoj energiji, Direktiva o čistim vozilima, Uredba o transeuropskoj prometnoj mreži) te s češkim nacionalnim energetskim i klimatskim planom i nacionalnim programom kontrole onečišćenja zraka. </w:t>
            </w:r>
          </w:p>
          <w:p w14:paraId="6A72939B" w14:textId="73C965D1" w:rsidR="00615E2D" w:rsidRDefault="00C83E46">
            <w:pPr>
              <w:pStyle w:val="P68B1DB1-Normal15"/>
              <w:shd w:val="clear" w:color="auto" w:fill="C6EFCE"/>
              <w:spacing w:after="0" w:line="240" w:lineRule="auto"/>
              <w:jc w:val="both"/>
              <w:textAlignment w:val="baseline"/>
              <w:rPr>
                <w:noProof/>
              </w:rPr>
            </w:pPr>
            <w:r>
              <w:rPr>
                <w:noProof/>
              </w:rPr>
              <w:t>Akcijskim planom utvrđuju se namjenski ciljevi za povećanje broja vozila s nultim emisijama registriranih u Češkoj u odgovarajućim kategorijama (M1 – osobni automobili, N1 – laka gospodarska vozila; N2 i N3 – teška vozila, na temelju standarda UNECE-a), koje treba ispuniti do 31. prosinca 2025. i 31. prosinca 2030. Namjenske ciljne vrijednosti za registracije vozila s nultim emisijama za 2025. odražavaju zahtjev da se broj vozila s nultim emisijama registriranih u odgovarajućim kategorijama vozila poveća za najmanje 70 % u odnosu na polaznu vrijednost za 2022.</w:t>
            </w:r>
          </w:p>
          <w:p w14:paraId="48958317" w14:textId="71897B27" w:rsidR="00615E2D" w:rsidRDefault="00C83E46">
            <w:pPr>
              <w:pStyle w:val="P68B1DB1-Normal15"/>
              <w:shd w:val="clear" w:color="auto" w:fill="C6EFCE"/>
              <w:spacing w:after="0" w:line="240" w:lineRule="auto"/>
              <w:jc w:val="both"/>
              <w:textAlignment w:val="baseline"/>
              <w:rPr>
                <w:noProof/>
              </w:rPr>
            </w:pPr>
            <w:r>
              <w:rPr>
                <w:noProof/>
              </w:rPr>
              <w:t>Akcijskim planom utvrđuju se namjenski ciljevi za infrastrukturu za punjenje i postaje za opskrbu vodikom, u skladu s relevantnim pravnim zahtjevima Uredbe o infrastrukturi za alternativna goriva.</w:t>
            </w:r>
          </w:p>
          <w:p w14:paraId="2AD2E4C5" w14:textId="77777777" w:rsidR="00615E2D" w:rsidRDefault="00C83E46">
            <w:pPr>
              <w:pStyle w:val="P68B1DB1-Normal15"/>
              <w:shd w:val="clear" w:color="auto" w:fill="C6EFCE"/>
              <w:spacing w:after="0" w:line="240" w:lineRule="auto"/>
              <w:jc w:val="both"/>
              <w:textAlignment w:val="baseline"/>
              <w:rPr>
                <w:noProof/>
              </w:rPr>
            </w:pPr>
            <w:r>
              <w:rPr>
                <w:noProof/>
              </w:rPr>
              <w:t xml:space="preserve">Akcijski plan uključuje popis mjera za pružanje financijskih i fiskalnih poticaja za daljnje poticanje uvođenja vozila i infrastrukture s nultim emisijama. </w:t>
            </w:r>
          </w:p>
          <w:p w14:paraId="779F241E" w14:textId="39B7C278" w:rsidR="00615E2D" w:rsidRDefault="00C83E46">
            <w:pPr>
              <w:pStyle w:val="P68B1DB1-Normal15"/>
              <w:shd w:val="clear" w:color="auto" w:fill="C6EFCE"/>
              <w:spacing w:after="0" w:line="240" w:lineRule="auto"/>
              <w:jc w:val="both"/>
              <w:textAlignment w:val="baseline"/>
              <w:rPr>
                <w:noProof/>
              </w:rPr>
            </w:pPr>
            <w:r>
              <w:rPr>
                <w:noProof/>
              </w:rPr>
              <w:t>Akcijski plan predstavlja i popis dodatnih mjera čiji je cilj stvaranje povoljnog okruženja za uvođenje i rad infrastrukture za punjenje i stanica za opskrbu vodikom, posebno olakšavanje izgradnje, izdavanja dozvola i rada za relevantnu infrastrukturu.</w:t>
            </w:r>
          </w:p>
          <w:p w14:paraId="61774E78" w14:textId="2F3988D6" w:rsidR="00615E2D" w:rsidRDefault="00C83E46">
            <w:pPr>
              <w:pStyle w:val="P68B1DB1-Normal15"/>
              <w:spacing w:before="0" w:after="0" w:line="240" w:lineRule="auto"/>
              <w:rPr>
                <w:noProof/>
              </w:rPr>
            </w:pPr>
            <w:r>
              <w:rPr>
                <w:noProof/>
              </w:rPr>
              <w:t>Prije njegova dovršetka savjetuje se s relevantnim dionicima, kao što su predstavnici industrije i nevladine organizacije, o nacrtu akcijskog plana.</w:t>
            </w:r>
          </w:p>
        </w:tc>
      </w:tr>
      <w:tr w:rsidR="00615E2D" w14:paraId="7C117DD2" w14:textId="77777777">
        <w:trPr>
          <w:trHeight w:val="309"/>
          <w:jc w:val="center"/>
        </w:trPr>
        <w:tc>
          <w:tcPr>
            <w:tcW w:w="664" w:type="dxa"/>
            <w:tcBorders>
              <w:top w:val="single" w:sz="4" w:space="0" w:color="auto"/>
              <w:left w:val="single" w:sz="4" w:space="0" w:color="auto"/>
              <w:bottom w:val="single" w:sz="4" w:space="0" w:color="auto"/>
              <w:right w:val="single" w:sz="4" w:space="0" w:color="auto"/>
            </w:tcBorders>
            <w:shd w:val="clear" w:color="auto" w:fill="C6EFCE"/>
            <w:vAlign w:val="center"/>
          </w:tcPr>
          <w:p w14:paraId="594BF25D" w14:textId="143F50A6" w:rsidR="00615E2D" w:rsidRDefault="00C83E46">
            <w:pPr>
              <w:pStyle w:val="P68B1DB1-Normal15"/>
              <w:spacing w:before="0" w:after="0" w:line="240" w:lineRule="auto"/>
              <w:jc w:val="center"/>
              <w:rPr>
                <w:noProof/>
              </w:rPr>
            </w:pPr>
            <w:r>
              <w:rPr>
                <w:noProof/>
              </w:rPr>
              <w:t>330</w:t>
            </w:r>
          </w:p>
        </w:tc>
        <w:tc>
          <w:tcPr>
            <w:tcW w:w="1657" w:type="dxa"/>
            <w:tcBorders>
              <w:top w:val="single" w:sz="4" w:space="0" w:color="auto"/>
              <w:left w:val="single" w:sz="4" w:space="0" w:color="auto"/>
              <w:bottom w:val="single" w:sz="4" w:space="0" w:color="auto"/>
              <w:right w:val="single" w:sz="4" w:space="0" w:color="auto"/>
            </w:tcBorders>
            <w:shd w:val="clear" w:color="auto" w:fill="C6EFCE"/>
            <w:vAlign w:val="center"/>
          </w:tcPr>
          <w:p w14:paraId="519DB0A0" w14:textId="4D434FFC" w:rsidR="00615E2D" w:rsidRDefault="00C83E46">
            <w:pPr>
              <w:pStyle w:val="P68B1DB1-Normal15"/>
              <w:spacing w:before="0" w:after="0" w:line="240" w:lineRule="auto"/>
              <w:rPr>
                <w:noProof/>
              </w:rPr>
            </w:pPr>
            <w:r>
              <w:rPr>
                <w:noProof/>
              </w:rPr>
              <w:t xml:space="preserve">Reforma 1.: Nacionalni akcijski plan za čistu mobilnost i ciljevi uvođenja za mobilnost s nultom stopom emisija </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98DD7F9" w14:textId="2A605303" w:rsidR="00615E2D" w:rsidRDefault="00C83E46">
            <w:pPr>
              <w:pStyle w:val="P68B1DB1-Normal15"/>
              <w:spacing w:before="0" w:after="0" w:line="240" w:lineRule="auto"/>
              <w:rPr>
                <w:noProof/>
              </w:rPr>
            </w:pPr>
            <w:r>
              <w:rPr>
                <w:noProof/>
              </w:rPr>
              <w:t>Ciljna</w:t>
            </w:r>
          </w:p>
        </w:tc>
        <w:tc>
          <w:tcPr>
            <w:tcW w:w="1576" w:type="dxa"/>
            <w:tcBorders>
              <w:top w:val="single" w:sz="4" w:space="0" w:color="auto"/>
              <w:left w:val="single" w:sz="4" w:space="0" w:color="auto"/>
              <w:bottom w:val="single" w:sz="4" w:space="0" w:color="auto"/>
              <w:right w:val="single" w:sz="4" w:space="0" w:color="auto"/>
            </w:tcBorders>
            <w:shd w:val="clear" w:color="auto" w:fill="C6EFCE"/>
            <w:vAlign w:val="center"/>
          </w:tcPr>
          <w:p w14:paraId="41A329DF" w14:textId="4C5D531C" w:rsidR="00615E2D" w:rsidRDefault="00C83E46">
            <w:pPr>
              <w:pStyle w:val="P68B1DB1-Normal15"/>
              <w:spacing w:before="0" w:after="0" w:line="240" w:lineRule="auto"/>
              <w:rPr>
                <w:noProof/>
              </w:rPr>
            </w:pPr>
            <w:r>
              <w:rPr>
                <w:noProof/>
              </w:rPr>
              <w:t>Povećanje broja registriranih vozila s nultim emisijama</w:t>
            </w:r>
          </w:p>
        </w:tc>
        <w:tc>
          <w:tcPr>
            <w:tcW w:w="1493" w:type="dxa"/>
            <w:tcBorders>
              <w:top w:val="single" w:sz="4" w:space="0" w:color="auto"/>
              <w:left w:val="single" w:sz="4" w:space="0" w:color="auto"/>
              <w:bottom w:val="single" w:sz="4" w:space="0" w:color="auto"/>
              <w:right w:val="single" w:sz="4" w:space="0" w:color="auto"/>
            </w:tcBorders>
            <w:shd w:val="clear" w:color="auto" w:fill="C6EFCE"/>
            <w:vAlign w:val="center"/>
          </w:tcPr>
          <w:p w14:paraId="2B8A359E" w14:textId="77777777" w:rsidR="00615E2D" w:rsidRDefault="00615E2D">
            <w:pPr>
              <w:spacing w:before="0" w:after="0" w:line="240" w:lineRule="auto"/>
              <w:rPr>
                <w:rFonts w:eastAsia="Times New Roman"/>
                <w:noProof/>
                <w:color w:val="004300"/>
                <w:sz w:val="18"/>
              </w:rPr>
            </w:pPr>
          </w:p>
        </w:tc>
        <w:tc>
          <w:tcPr>
            <w:tcW w:w="1010" w:type="dxa"/>
            <w:tcBorders>
              <w:top w:val="single" w:sz="4" w:space="0" w:color="auto"/>
              <w:left w:val="single" w:sz="4" w:space="0" w:color="auto"/>
              <w:bottom w:val="single" w:sz="4" w:space="0" w:color="auto"/>
              <w:right w:val="single" w:sz="4" w:space="0" w:color="auto"/>
            </w:tcBorders>
            <w:shd w:val="clear" w:color="auto" w:fill="C6EFCE"/>
            <w:vAlign w:val="center"/>
          </w:tcPr>
          <w:p w14:paraId="7037AD8F" w14:textId="334A3BC7" w:rsidR="00615E2D" w:rsidRDefault="00C83E46">
            <w:pPr>
              <w:pStyle w:val="P68B1DB1-Normal15"/>
              <w:spacing w:before="0" w:after="0" w:line="240" w:lineRule="auto"/>
              <w:rPr>
                <w:noProof/>
              </w:rPr>
            </w:pPr>
            <w:r>
              <w:rPr>
                <w:noProof/>
              </w:rPr>
              <w:t>Postotak</w:t>
            </w: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230A4BE0" w14:textId="41E41CA1" w:rsidR="00615E2D" w:rsidRDefault="00C83E46">
            <w:pPr>
              <w:pStyle w:val="P68B1DB1-Normal15"/>
              <w:spacing w:before="0" w:after="0" w:line="240" w:lineRule="auto"/>
              <w:jc w:val="center"/>
              <w:rPr>
                <w:noProof/>
              </w:rPr>
            </w:pPr>
            <w:r>
              <w:rPr>
                <w:noProof/>
              </w:rPr>
              <w:t>0</w:t>
            </w: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5D0D8CD7" w14:textId="672B366F" w:rsidR="00615E2D" w:rsidRDefault="00C83E46">
            <w:pPr>
              <w:pStyle w:val="P68B1DB1-Normal15"/>
              <w:spacing w:before="0" w:after="0" w:line="240" w:lineRule="auto"/>
              <w:jc w:val="center"/>
              <w:rPr>
                <w:noProof/>
              </w:rPr>
            </w:pPr>
            <w:r>
              <w:rPr>
                <w:noProof/>
              </w:rPr>
              <w:t>70 %</w:t>
            </w:r>
          </w:p>
        </w:tc>
        <w:tc>
          <w:tcPr>
            <w:tcW w:w="1021" w:type="dxa"/>
            <w:tcBorders>
              <w:top w:val="single" w:sz="4" w:space="0" w:color="auto"/>
              <w:left w:val="single" w:sz="4" w:space="0" w:color="auto"/>
              <w:bottom w:val="single" w:sz="4" w:space="0" w:color="auto"/>
              <w:right w:val="single" w:sz="4" w:space="0" w:color="auto"/>
            </w:tcBorders>
            <w:shd w:val="clear" w:color="auto" w:fill="C6EFCE"/>
            <w:vAlign w:val="center"/>
          </w:tcPr>
          <w:p w14:paraId="6BE10458" w14:textId="7FD43A61" w:rsidR="00615E2D" w:rsidRDefault="00C83E46">
            <w:pPr>
              <w:pStyle w:val="P68B1DB1-Normal15"/>
              <w:spacing w:before="0" w:after="0" w:line="240" w:lineRule="auto"/>
              <w:jc w:val="center"/>
              <w:rPr>
                <w:noProof/>
              </w:rPr>
            </w:pPr>
            <w:r>
              <w:rPr>
                <w:noProof/>
              </w:rPr>
              <w:t xml:space="preserve">TROMJESEČJE </w:t>
            </w:r>
          </w:p>
        </w:tc>
        <w:tc>
          <w:tcPr>
            <w:tcW w:w="668" w:type="dxa"/>
            <w:tcBorders>
              <w:top w:val="single" w:sz="4" w:space="0" w:color="auto"/>
              <w:left w:val="single" w:sz="4" w:space="0" w:color="auto"/>
              <w:bottom w:val="single" w:sz="4" w:space="0" w:color="auto"/>
              <w:right w:val="single" w:sz="4" w:space="0" w:color="auto"/>
            </w:tcBorders>
            <w:shd w:val="clear" w:color="auto" w:fill="C6EFCE"/>
            <w:vAlign w:val="center"/>
          </w:tcPr>
          <w:p w14:paraId="3270A7EB" w14:textId="0BD09753" w:rsidR="00615E2D" w:rsidRDefault="00C83E46">
            <w:pPr>
              <w:pStyle w:val="P68B1DB1-Normal15"/>
              <w:spacing w:before="0" w:after="0" w:line="240" w:lineRule="auto"/>
              <w:jc w:val="center"/>
              <w:rPr>
                <w:noProof/>
              </w:rPr>
            </w:pPr>
            <w:r>
              <w:rPr>
                <w:noProof/>
              </w:rPr>
              <w:t>2026</w:t>
            </w:r>
          </w:p>
        </w:tc>
        <w:tc>
          <w:tcPr>
            <w:tcW w:w="4217" w:type="dxa"/>
            <w:tcBorders>
              <w:top w:val="single" w:sz="4" w:space="0" w:color="auto"/>
              <w:left w:val="single" w:sz="4" w:space="0" w:color="auto"/>
              <w:bottom w:val="single" w:sz="4" w:space="0" w:color="auto"/>
              <w:right w:val="single" w:sz="4" w:space="0" w:color="auto"/>
            </w:tcBorders>
            <w:shd w:val="clear" w:color="auto" w:fill="C6EFCE"/>
            <w:vAlign w:val="center"/>
          </w:tcPr>
          <w:p w14:paraId="5C49F6D6" w14:textId="0701FE77" w:rsidR="00615E2D" w:rsidRDefault="00C83E46">
            <w:pPr>
              <w:pStyle w:val="P68B1DB1-Normal15"/>
              <w:shd w:val="clear" w:color="auto" w:fill="C6EFCE"/>
              <w:spacing w:after="0" w:line="240" w:lineRule="auto"/>
              <w:jc w:val="both"/>
              <w:textAlignment w:val="baseline"/>
              <w:rPr>
                <w:noProof/>
              </w:rPr>
            </w:pPr>
            <w:r>
              <w:rPr>
                <w:noProof/>
              </w:rPr>
              <w:t>Ciljna vrijednost odnosi se na minimalno postotno povećanje broja vozila s nultim emisijama registriranih u odgovarajućim kategorijama vozila (M1 – osobni automobili, N1 – laka gospodarska vozila; Teška vozila kategorije N2 i N3 na temelju standarda UNECE-a) u Češkoj do 31. prosinca 2025. u odnosu na polaznu vrijednost za 2022.</w:t>
            </w:r>
          </w:p>
          <w:p w14:paraId="5AE6F6CE" w14:textId="77777777" w:rsidR="00615E2D" w:rsidRDefault="00615E2D">
            <w:pPr>
              <w:shd w:val="clear" w:color="auto" w:fill="C6EFCE"/>
              <w:spacing w:after="0" w:line="240" w:lineRule="auto"/>
              <w:jc w:val="both"/>
              <w:textAlignment w:val="baseline"/>
              <w:rPr>
                <w:rFonts w:eastAsia="Times New Roman"/>
                <w:noProof/>
                <w:color w:val="004300"/>
                <w:sz w:val="18"/>
              </w:rPr>
            </w:pPr>
          </w:p>
          <w:p w14:paraId="26E6B744" w14:textId="3E48448F" w:rsidR="00615E2D" w:rsidRDefault="00C83E46">
            <w:pPr>
              <w:pStyle w:val="P68B1DB1-Normal15"/>
              <w:spacing w:before="0" w:after="0" w:line="240" w:lineRule="auto"/>
              <w:jc w:val="both"/>
              <w:rPr>
                <w:noProof/>
              </w:rPr>
            </w:pPr>
            <w:r>
              <w:rPr>
                <w:noProof/>
              </w:rPr>
              <w:t>Službeni podaci dostavljaju se do kraja 31. ožujka 2026. Europskom opservatoriju za alternativna goriva za potrebe praćenja.</w:t>
            </w:r>
          </w:p>
        </w:tc>
      </w:tr>
      <w:tr w:rsidR="00615E2D" w14:paraId="4E95BFAB" w14:textId="77777777">
        <w:trPr>
          <w:trHeight w:val="309"/>
          <w:jc w:val="center"/>
        </w:trPr>
        <w:tc>
          <w:tcPr>
            <w:tcW w:w="664" w:type="dxa"/>
            <w:tcBorders>
              <w:top w:val="single" w:sz="4" w:space="0" w:color="auto"/>
              <w:left w:val="single" w:sz="4" w:space="0" w:color="auto"/>
              <w:bottom w:val="single" w:sz="4" w:space="0" w:color="auto"/>
              <w:right w:val="single" w:sz="4" w:space="0" w:color="auto"/>
            </w:tcBorders>
            <w:shd w:val="clear" w:color="auto" w:fill="C6EFCE"/>
            <w:vAlign w:val="center"/>
          </w:tcPr>
          <w:p w14:paraId="675CD24C" w14:textId="36321577" w:rsidR="00615E2D" w:rsidRDefault="00C83E46">
            <w:pPr>
              <w:pStyle w:val="P68B1DB1-Normal15"/>
              <w:spacing w:before="0" w:after="0" w:line="240" w:lineRule="auto"/>
              <w:jc w:val="center"/>
              <w:rPr>
                <w:noProof/>
              </w:rPr>
            </w:pPr>
            <w:r>
              <w:rPr>
                <w:noProof/>
              </w:rPr>
              <w:t>331</w:t>
            </w:r>
          </w:p>
        </w:tc>
        <w:tc>
          <w:tcPr>
            <w:tcW w:w="1657" w:type="dxa"/>
            <w:tcBorders>
              <w:top w:val="single" w:sz="4" w:space="0" w:color="auto"/>
              <w:left w:val="single" w:sz="4" w:space="0" w:color="auto"/>
              <w:bottom w:val="single" w:sz="4" w:space="0" w:color="auto"/>
              <w:right w:val="single" w:sz="4" w:space="0" w:color="auto"/>
            </w:tcBorders>
            <w:shd w:val="clear" w:color="auto" w:fill="C6EFCE"/>
            <w:vAlign w:val="center"/>
          </w:tcPr>
          <w:p w14:paraId="6EFCA8DD" w14:textId="61E6D145" w:rsidR="00615E2D" w:rsidRDefault="00C83E46">
            <w:pPr>
              <w:pStyle w:val="P68B1DB1-Normal15"/>
              <w:spacing w:before="0" w:after="0" w:line="240" w:lineRule="auto"/>
              <w:rPr>
                <w:noProof/>
              </w:rPr>
            </w:pPr>
            <w:r>
              <w:rPr>
                <w:noProof/>
              </w:rPr>
              <w:t xml:space="preserve">Reforma 1.: Nacionalni akcijski plan za čistu mobilnost i ciljevi uvođenja za mobilnost s nultom stopom emisija </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6DE71EC4" w14:textId="6EF72F36" w:rsidR="00615E2D" w:rsidRDefault="00C83E46">
            <w:pPr>
              <w:pStyle w:val="P68B1DB1-Normal15"/>
              <w:spacing w:before="0" w:after="0" w:line="240" w:lineRule="auto"/>
              <w:rPr>
                <w:noProof/>
              </w:rPr>
            </w:pPr>
            <w:r>
              <w:rPr>
                <w:noProof/>
              </w:rPr>
              <w:t xml:space="preserve">Prekretnica </w:t>
            </w:r>
          </w:p>
        </w:tc>
        <w:tc>
          <w:tcPr>
            <w:tcW w:w="1576" w:type="dxa"/>
            <w:tcBorders>
              <w:top w:val="single" w:sz="4" w:space="0" w:color="auto"/>
              <w:left w:val="single" w:sz="4" w:space="0" w:color="auto"/>
              <w:bottom w:val="single" w:sz="4" w:space="0" w:color="auto"/>
              <w:right w:val="single" w:sz="4" w:space="0" w:color="auto"/>
            </w:tcBorders>
            <w:shd w:val="clear" w:color="auto" w:fill="C6EFCE"/>
            <w:vAlign w:val="center"/>
          </w:tcPr>
          <w:p w14:paraId="56944867" w14:textId="1BDB2115" w:rsidR="00615E2D" w:rsidRDefault="00C83E46">
            <w:pPr>
              <w:pStyle w:val="P68B1DB1-Normal15"/>
              <w:spacing w:before="0" w:after="0" w:line="240" w:lineRule="auto"/>
              <w:rPr>
                <w:noProof/>
              </w:rPr>
            </w:pPr>
            <w:r>
              <w:rPr>
                <w:noProof/>
              </w:rPr>
              <w:t xml:space="preserve">Potpora ubrzanom uvođenju infrastrukture za alternativna goriva </w:t>
            </w:r>
          </w:p>
        </w:tc>
        <w:tc>
          <w:tcPr>
            <w:tcW w:w="1493" w:type="dxa"/>
            <w:tcBorders>
              <w:top w:val="single" w:sz="4" w:space="0" w:color="auto"/>
              <w:left w:val="single" w:sz="4" w:space="0" w:color="auto"/>
              <w:bottom w:val="single" w:sz="4" w:space="0" w:color="auto"/>
              <w:right w:val="single" w:sz="4" w:space="0" w:color="auto"/>
            </w:tcBorders>
            <w:shd w:val="clear" w:color="auto" w:fill="C6EFCE"/>
            <w:vAlign w:val="center"/>
          </w:tcPr>
          <w:p w14:paraId="11AA735C" w14:textId="4090DCD9" w:rsidR="00615E2D" w:rsidRDefault="00C83E46">
            <w:pPr>
              <w:pStyle w:val="P68B1DB1-Normal15"/>
              <w:spacing w:before="0" w:after="0" w:line="240" w:lineRule="auto"/>
              <w:rPr>
                <w:noProof/>
              </w:rPr>
            </w:pPr>
            <w:r>
              <w:rPr>
                <w:noProof/>
              </w:rPr>
              <w:t xml:space="preserve">Objava poziva Ministarstva prometa na financiranje za uvođenje infrastrukture za električno punjenje i postaja za opskrbu vodikom  </w:t>
            </w:r>
          </w:p>
        </w:tc>
        <w:tc>
          <w:tcPr>
            <w:tcW w:w="1010" w:type="dxa"/>
            <w:tcBorders>
              <w:top w:val="single" w:sz="4" w:space="0" w:color="auto"/>
              <w:left w:val="single" w:sz="4" w:space="0" w:color="auto"/>
              <w:bottom w:val="single" w:sz="4" w:space="0" w:color="auto"/>
              <w:right w:val="single" w:sz="4" w:space="0" w:color="auto"/>
            </w:tcBorders>
            <w:shd w:val="clear" w:color="auto" w:fill="C6EFCE"/>
            <w:vAlign w:val="center"/>
          </w:tcPr>
          <w:p w14:paraId="53183F07" w14:textId="77777777" w:rsidR="00615E2D" w:rsidRDefault="00615E2D">
            <w:pPr>
              <w:spacing w:before="0" w:after="0" w:line="240" w:lineRule="auto"/>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6436C8A1" w14:textId="77777777" w:rsidR="00615E2D" w:rsidRDefault="00615E2D">
            <w:pPr>
              <w:spacing w:before="0" w:after="0" w:line="240" w:lineRule="auto"/>
              <w:jc w:val="center"/>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24BBC792" w14:textId="77777777" w:rsidR="00615E2D" w:rsidRDefault="00615E2D">
            <w:pPr>
              <w:spacing w:before="0" w:after="0" w:line="240" w:lineRule="auto"/>
              <w:jc w:val="center"/>
              <w:rPr>
                <w:rFonts w:eastAsia="Times New Roman"/>
                <w:noProof/>
                <w:color w:val="004300"/>
                <w:sz w:val="18"/>
              </w:rPr>
            </w:pPr>
          </w:p>
        </w:tc>
        <w:tc>
          <w:tcPr>
            <w:tcW w:w="1021" w:type="dxa"/>
            <w:tcBorders>
              <w:top w:val="single" w:sz="4" w:space="0" w:color="auto"/>
              <w:left w:val="single" w:sz="4" w:space="0" w:color="auto"/>
              <w:bottom w:val="single" w:sz="4" w:space="0" w:color="auto"/>
              <w:right w:val="single" w:sz="4" w:space="0" w:color="auto"/>
            </w:tcBorders>
            <w:shd w:val="clear" w:color="auto" w:fill="C6EFCE"/>
            <w:vAlign w:val="center"/>
          </w:tcPr>
          <w:p w14:paraId="52E3E1E9" w14:textId="10754FD8" w:rsidR="00615E2D" w:rsidRDefault="00C83E46">
            <w:pPr>
              <w:pStyle w:val="P68B1DB1-Normal15"/>
              <w:spacing w:before="0" w:after="0" w:line="240" w:lineRule="auto"/>
              <w:jc w:val="center"/>
              <w:rPr>
                <w:noProof/>
              </w:rPr>
            </w:pPr>
            <w:r>
              <w:rPr>
                <w:noProof/>
              </w:rPr>
              <w:t xml:space="preserve">TROMJESEČJE </w:t>
            </w:r>
          </w:p>
        </w:tc>
        <w:tc>
          <w:tcPr>
            <w:tcW w:w="668" w:type="dxa"/>
            <w:tcBorders>
              <w:top w:val="single" w:sz="4" w:space="0" w:color="auto"/>
              <w:left w:val="single" w:sz="4" w:space="0" w:color="auto"/>
              <w:bottom w:val="single" w:sz="4" w:space="0" w:color="auto"/>
              <w:right w:val="single" w:sz="4" w:space="0" w:color="auto"/>
            </w:tcBorders>
            <w:shd w:val="clear" w:color="auto" w:fill="C6EFCE"/>
            <w:vAlign w:val="center"/>
          </w:tcPr>
          <w:p w14:paraId="0B5E987D" w14:textId="7F84D13B" w:rsidR="00615E2D" w:rsidRDefault="00C83E46">
            <w:pPr>
              <w:pStyle w:val="P68B1DB1-Normal15"/>
              <w:spacing w:before="0" w:after="0" w:line="240" w:lineRule="auto"/>
              <w:jc w:val="center"/>
              <w:rPr>
                <w:noProof/>
              </w:rPr>
            </w:pPr>
            <w:r>
              <w:rPr>
                <w:noProof/>
              </w:rPr>
              <w:t>2026</w:t>
            </w:r>
          </w:p>
        </w:tc>
        <w:tc>
          <w:tcPr>
            <w:tcW w:w="4217" w:type="dxa"/>
            <w:tcBorders>
              <w:top w:val="single" w:sz="4" w:space="0" w:color="auto"/>
              <w:left w:val="single" w:sz="4" w:space="0" w:color="auto"/>
              <w:bottom w:val="single" w:sz="4" w:space="0" w:color="auto"/>
              <w:right w:val="single" w:sz="4" w:space="0" w:color="auto"/>
            </w:tcBorders>
            <w:shd w:val="clear" w:color="auto" w:fill="C6EFCE"/>
            <w:vAlign w:val="center"/>
          </w:tcPr>
          <w:p w14:paraId="255BB461" w14:textId="45B8C33A" w:rsidR="00615E2D" w:rsidRDefault="00C83E46">
            <w:pPr>
              <w:pStyle w:val="P68B1DB1-Normal15"/>
              <w:shd w:val="clear" w:color="auto" w:fill="C6EFCE"/>
              <w:spacing w:after="0" w:line="240" w:lineRule="auto"/>
              <w:jc w:val="both"/>
              <w:textAlignment w:val="baseline"/>
              <w:rPr>
                <w:noProof/>
              </w:rPr>
            </w:pPr>
            <w:r>
              <w:rPr>
                <w:noProof/>
              </w:rPr>
              <w:t xml:space="preserve">Češka objavljuje javne pozive u okviru programa financiranja u ukupnoj vrijednosti od najmanje 120 milijuna EUR za potporu uvođenju infrastrukture za alternativna goriva, odnosno infrastrukture za punjenje električnom energijom i postaja za opskrbu vodikom u Češkoj, s ciljem punjenja ili punjenja lakih vozila i teških vozila s nultim emisijama. </w:t>
            </w:r>
          </w:p>
          <w:p w14:paraId="4A23AF1A" w14:textId="77777777" w:rsidR="00615E2D" w:rsidRDefault="00C83E46">
            <w:pPr>
              <w:pStyle w:val="P68B1DB1-Normal15"/>
              <w:shd w:val="clear" w:color="auto" w:fill="C6EFCE"/>
              <w:spacing w:after="0" w:line="240" w:lineRule="auto"/>
              <w:jc w:val="both"/>
              <w:textAlignment w:val="baseline"/>
              <w:rPr>
                <w:noProof/>
              </w:rPr>
            </w:pPr>
            <w:r>
              <w:rPr>
                <w:noProof/>
              </w:rPr>
              <w:t>Za potrebe ostvarenja ključne etape Češka dostavlja i sljedeće informacije o funkcioniranju programa u razdoblju od veljače 2022. do ožujka 2026.:</w:t>
            </w:r>
          </w:p>
          <w:p w14:paraId="56014552" w14:textId="77777777" w:rsidR="00615E2D" w:rsidRDefault="00C83E46">
            <w:pPr>
              <w:pStyle w:val="P68B1DB1-ListParagraph54"/>
              <w:numPr>
                <w:ilvl w:val="0"/>
                <w:numId w:val="214"/>
              </w:numPr>
              <w:shd w:val="clear" w:color="auto" w:fill="C6EFCE"/>
              <w:spacing w:before="0" w:after="0" w:line="240" w:lineRule="auto"/>
              <w:jc w:val="both"/>
              <w:textAlignment w:val="baseline"/>
              <w:rPr>
                <w:noProof/>
              </w:rPr>
            </w:pPr>
            <w:r>
              <w:rPr>
                <w:noProof/>
              </w:rPr>
              <w:t>ukupnu stvarnu razinu odobrenih financijskih sredstava za infrastrukturu koja se podupire u okviru programa;</w:t>
            </w:r>
          </w:p>
          <w:p w14:paraId="09CD4292" w14:textId="77777777" w:rsidR="00615E2D" w:rsidRDefault="00C83E46">
            <w:pPr>
              <w:pStyle w:val="P68B1DB1-ListParagraph54"/>
              <w:numPr>
                <w:ilvl w:val="0"/>
                <w:numId w:val="214"/>
              </w:numPr>
              <w:shd w:val="clear" w:color="auto" w:fill="C6EFCE"/>
              <w:spacing w:before="0" w:after="0" w:line="240" w:lineRule="auto"/>
              <w:jc w:val="both"/>
              <w:textAlignment w:val="baseline"/>
              <w:rPr>
                <w:noProof/>
              </w:rPr>
            </w:pPr>
            <w:r>
              <w:rPr>
                <w:noProof/>
              </w:rPr>
              <w:t>broj i vrstu infrastrukture za koju se prima potpora u okviru programa;</w:t>
            </w:r>
          </w:p>
          <w:p w14:paraId="17EAEAAF" w14:textId="72922790" w:rsidR="00615E2D" w:rsidRDefault="00C83E46">
            <w:pPr>
              <w:pStyle w:val="P68B1DB1-ListParagraph21"/>
              <w:numPr>
                <w:ilvl w:val="0"/>
                <w:numId w:val="214"/>
              </w:numPr>
              <w:shd w:val="clear" w:color="auto" w:fill="C6EFCE"/>
              <w:spacing w:before="0" w:after="0" w:line="240" w:lineRule="auto"/>
              <w:jc w:val="both"/>
              <w:textAlignment w:val="baseline"/>
              <w:rPr>
                <w:rFonts w:ascii="Times New Roman" w:eastAsia="Times New Roman" w:hAnsi="Times New Roman"/>
                <w:noProof/>
              </w:rPr>
            </w:pPr>
            <w:r>
              <w:rPr>
                <w:rFonts w:ascii="Times New Roman" w:eastAsia="Times New Roman" w:hAnsi="Times New Roman"/>
                <w:noProof/>
              </w:rPr>
              <w:t>izlaznu snagu stanica za punjenje, mjesta za punjenje te kapacitet i tlak raspršivača za opskrbu vodikom koji primaju potporu u okviru programa;</w:t>
            </w:r>
            <w:r>
              <w:rPr>
                <w:rFonts w:eastAsia="Times New Roman"/>
                <w:noProof/>
              </w:rPr>
              <w:t xml:space="preserve"> </w:t>
            </w:r>
          </w:p>
          <w:p w14:paraId="470CBC04" w14:textId="48DA2A0E" w:rsidR="00615E2D" w:rsidRDefault="00C83E46">
            <w:pPr>
              <w:pStyle w:val="P68B1DB1-ListParagraph54"/>
              <w:numPr>
                <w:ilvl w:val="0"/>
                <w:numId w:val="214"/>
              </w:numPr>
              <w:shd w:val="clear" w:color="auto" w:fill="C6EFCE"/>
              <w:spacing w:before="0" w:after="0" w:line="240" w:lineRule="auto"/>
              <w:jc w:val="both"/>
              <w:textAlignment w:val="baseline"/>
              <w:rPr>
                <w:noProof/>
              </w:rPr>
            </w:pPr>
            <w:r>
              <w:rPr>
                <w:noProof/>
              </w:rPr>
              <w:t>zemljopisni položaj infrastrukture koja prima potporu.</w:t>
            </w:r>
          </w:p>
        </w:tc>
      </w:tr>
      <w:tr w:rsidR="00615E2D" w14:paraId="2ABD367C" w14:textId="77777777">
        <w:trPr>
          <w:trHeight w:val="309"/>
          <w:jc w:val="center"/>
        </w:trPr>
        <w:tc>
          <w:tcPr>
            <w:tcW w:w="664" w:type="dxa"/>
            <w:tcBorders>
              <w:top w:val="single" w:sz="4" w:space="0" w:color="auto"/>
              <w:left w:val="single" w:sz="4" w:space="0" w:color="auto"/>
              <w:bottom w:val="single" w:sz="4" w:space="0" w:color="auto"/>
              <w:right w:val="single" w:sz="4" w:space="0" w:color="auto"/>
            </w:tcBorders>
            <w:shd w:val="clear" w:color="auto" w:fill="C6EFCE"/>
            <w:vAlign w:val="center"/>
          </w:tcPr>
          <w:p w14:paraId="7DFBF932" w14:textId="790BA06C" w:rsidR="00615E2D" w:rsidRDefault="00C83E46">
            <w:pPr>
              <w:pStyle w:val="P68B1DB1-Normal15"/>
              <w:spacing w:before="0" w:after="0" w:line="240" w:lineRule="auto"/>
              <w:jc w:val="center"/>
              <w:rPr>
                <w:noProof/>
              </w:rPr>
            </w:pPr>
            <w:r>
              <w:rPr>
                <w:noProof/>
              </w:rPr>
              <w:t>332</w:t>
            </w:r>
          </w:p>
        </w:tc>
        <w:tc>
          <w:tcPr>
            <w:tcW w:w="1657" w:type="dxa"/>
            <w:tcBorders>
              <w:top w:val="single" w:sz="4" w:space="0" w:color="auto"/>
              <w:left w:val="single" w:sz="4" w:space="0" w:color="auto"/>
              <w:bottom w:val="single" w:sz="4" w:space="0" w:color="auto"/>
              <w:right w:val="single" w:sz="4" w:space="0" w:color="auto"/>
            </w:tcBorders>
            <w:shd w:val="clear" w:color="auto" w:fill="C6EFCE"/>
            <w:vAlign w:val="center"/>
          </w:tcPr>
          <w:p w14:paraId="4693EC06" w14:textId="37E000E6" w:rsidR="00615E2D" w:rsidRDefault="00C83E46">
            <w:pPr>
              <w:pStyle w:val="P68B1DB1-Normal15"/>
              <w:spacing w:before="0" w:after="0" w:line="240" w:lineRule="auto"/>
              <w:rPr>
                <w:noProof/>
              </w:rPr>
            </w:pPr>
            <w:r>
              <w:rPr>
                <w:noProof/>
              </w:rPr>
              <w:t>Reforma br. 2: Porezne mjere za potporu mobilnosti s nultom stopom emisija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3D27B92" w14:textId="278F46D5" w:rsidR="00615E2D" w:rsidRDefault="00C83E46">
            <w:pPr>
              <w:pStyle w:val="P68B1DB1-Normal15"/>
              <w:spacing w:before="0" w:after="0" w:line="240" w:lineRule="auto"/>
              <w:rPr>
                <w:noProof/>
              </w:rPr>
            </w:pPr>
            <w:r>
              <w:rPr>
                <w:noProof/>
              </w:rPr>
              <w:t xml:space="preserve">Prekretnica </w:t>
            </w:r>
          </w:p>
        </w:tc>
        <w:tc>
          <w:tcPr>
            <w:tcW w:w="1576" w:type="dxa"/>
            <w:tcBorders>
              <w:top w:val="single" w:sz="4" w:space="0" w:color="auto"/>
              <w:left w:val="single" w:sz="4" w:space="0" w:color="auto"/>
              <w:bottom w:val="single" w:sz="4" w:space="0" w:color="auto"/>
              <w:right w:val="single" w:sz="4" w:space="0" w:color="auto"/>
            </w:tcBorders>
            <w:shd w:val="clear" w:color="auto" w:fill="C6EFCE"/>
            <w:vAlign w:val="center"/>
          </w:tcPr>
          <w:p w14:paraId="2CDB5E44" w14:textId="3E9D1399" w:rsidR="00615E2D" w:rsidRDefault="00C83E46">
            <w:pPr>
              <w:pStyle w:val="P68B1DB1-Normal15"/>
              <w:spacing w:before="0" w:after="0" w:line="240" w:lineRule="auto"/>
              <w:rPr>
                <w:noProof/>
              </w:rPr>
            </w:pPr>
            <w:r>
              <w:rPr>
                <w:noProof/>
              </w:rPr>
              <w:t>Oslobođenja od poreza za promicanje uvođenja vozila s nultim emisijama u privatna poduzeća</w:t>
            </w:r>
          </w:p>
        </w:tc>
        <w:tc>
          <w:tcPr>
            <w:tcW w:w="1493" w:type="dxa"/>
            <w:tcBorders>
              <w:top w:val="single" w:sz="4" w:space="0" w:color="auto"/>
              <w:left w:val="single" w:sz="4" w:space="0" w:color="auto"/>
              <w:bottom w:val="single" w:sz="4" w:space="0" w:color="auto"/>
              <w:right w:val="single" w:sz="4" w:space="0" w:color="auto"/>
            </w:tcBorders>
            <w:shd w:val="clear" w:color="auto" w:fill="C6EFCE"/>
            <w:vAlign w:val="center"/>
          </w:tcPr>
          <w:p w14:paraId="76BC2274" w14:textId="2B05B398" w:rsidR="00615E2D" w:rsidRDefault="00C83E46">
            <w:pPr>
              <w:pStyle w:val="P68B1DB1-Normal15"/>
              <w:spacing w:before="0" w:after="0" w:line="240" w:lineRule="auto"/>
              <w:rPr>
                <w:noProof/>
              </w:rPr>
            </w:pPr>
            <w:r>
              <w:rPr>
                <w:noProof/>
              </w:rPr>
              <w:t>Stupanje na snagu izmjena Zakona o porezu na dohodak</w:t>
            </w:r>
          </w:p>
        </w:tc>
        <w:tc>
          <w:tcPr>
            <w:tcW w:w="1010" w:type="dxa"/>
            <w:tcBorders>
              <w:top w:val="single" w:sz="4" w:space="0" w:color="auto"/>
              <w:left w:val="single" w:sz="4" w:space="0" w:color="auto"/>
              <w:bottom w:val="single" w:sz="4" w:space="0" w:color="auto"/>
              <w:right w:val="single" w:sz="4" w:space="0" w:color="auto"/>
            </w:tcBorders>
            <w:shd w:val="clear" w:color="auto" w:fill="C6EFCE"/>
            <w:vAlign w:val="center"/>
          </w:tcPr>
          <w:p w14:paraId="2A82AE7C" w14:textId="77777777" w:rsidR="00615E2D" w:rsidRDefault="00615E2D">
            <w:pPr>
              <w:spacing w:before="0" w:after="0" w:line="240" w:lineRule="auto"/>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726C85B7" w14:textId="77777777" w:rsidR="00615E2D" w:rsidRDefault="00615E2D">
            <w:pPr>
              <w:spacing w:before="0" w:after="0" w:line="240" w:lineRule="auto"/>
              <w:jc w:val="center"/>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48529FF0" w14:textId="77777777" w:rsidR="00615E2D" w:rsidRDefault="00615E2D">
            <w:pPr>
              <w:spacing w:before="0" w:after="0" w:line="240" w:lineRule="auto"/>
              <w:jc w:val="center"/>
              <w:rPr>
                <w:rFonts w:eastAsia="Times New Roman"/>
                <w:noProof/>
                <w:color w:val="004300"/>
                <w:sz w:val="18"/>
              </w:rPr>
            </w:pPr>
          </w:p>
        </w:tc>
        <w:tc>
          <w:tcPr>
            <w:tcW w:w="1021" w:type="dxa"/>
            <w:tcBorders>
              <w:top w:val="single" w:sz="4" w:space="0" w:color="auto"/>
              <w:left w:val="single" w:sz="4" w:space="0" w:color="auto"/>
              <w:bottom w:val="single" w:sz="4" w:space="0" w:color="auto"/>
              <w:right w:val="single" w:sz="4" w:space="0" w:color="auto"/>
            </w:tcBorders>
            <w:shd w:val="clear" w:color="auto" w:fill="C6EFCE"/>
            <w:vAlign w:val="center"/>
          </w:tcPr>
          <w:p w14:paraId="24CE87BE" w14:textId="14C78DFC" w:rsidR="00615E2D" w:rsidRDefault="00C83E46">
            <w:pPr>
              <w:pStyle w:val="P68B1DB1-Normal15"/>
              <w:spacing w:before="0" w:after="0" w:line="240" w:lineRule="auto"/>
              <w:jc w:val="center"/>
              <w:rPr>
                <w:noProof/>
              </w:rPr>
            </w:pPr>
            <w:r>
              <w:rPr>
                <w:noProof/>
              </w:rPr>
              <w:t>ČETVRTO TROMJESEČJE</w:t>
            </w:r>
          </w:p>
        </w:tc>
        <w:tc>
          <w:tcPr>
            <w:tcW w:w="668" w:type="dxa"/>
            <w:tcBorders>
              <w:top w:val="single" w:sz="4" w:space="0" w:color="auto"/>
              <w:left w:val="single" w:sz="4" w:space="0" w:color="auto"/>
              <w:bottom w:val="single" w:sz="4" w:space="0" w:color="auto"/>
              <w:right w:val="single" w:sz="4" w:space="0" w:color="auto"/>
            </w:tcBorders>
            <w:shd w:val="clear" w:color="auto" w:fill="C6EFCE"/>
            <w:vAlign w:val="center"/>
          </w:tcPr>
          <w:p w14:paraId="223A376D" w14:textId="469EC620" w:rsidR="00615E2D" w:rsidRDefault="00C83E46">
            <w:pPr>
              <w:pStyle w:val="P68B1DB1-Normal15"/>
              <w:spacing w:before="0" w:after="0" w:line="240" w:lineRule="auto"/>
              <w:jc w:val="center"/>
              <w:rPr>
                <w:noProof/>
              </w:rPr>
            </w:pPr>
            <w:r>
              <w:rPr>
                <w:noProof/>
              </w:rPr>
              <w:t>2024</w:t>
            </w:r>
          </w:p>
        </w:tc>
        <w:tc>
          <w:tcPr>
            <w:tcW w:w="4217" w:type="dxa"/>
            <w:tcBorders>
              <w:top w:val="single" w:sz="4" w:space="0" w:color="auto"/>
              <w:left w:val="single" w:sz="4" w:space="0" w:color="auto"/>
              <w:bottom w:val="single" w:sz="4" w:space="0" w:color="auto"/>
              <w:right w:val="single" w:sz="4" w:space="0" w:color="auto"/>
            </w:tcBorders>
            <w:shd w:val="clear" w:color="auto" w:fill="C6EFCE"/>
            <w:vAlign w:val="center"/>
          </w:tcPr>
          <w:p w14:paraId="5423A1B3" w14:textId="43A32514" w:rsidR="00615E2D" w:rsidRDefault="00C83E46">
            <w:pPr>
              <w:pStyle w:val="P68B1DB1-Normal15"/>
              <w:shd w:val="clear" w:color="auto" w:fill="C6EFCE"/>
              <w:spacing w:after="0" w:line="240" w:lineRule="auto"/>
              <w:jc w:val="both"/>
              <w:textAlignment w:val="baseline"/>
              <w:rPr>
                <w:noProof/>
              </w:rPr>
            </w:pPr>
            <w:r>
              <w:rPr>
                <w:noProof/>
              </w:rPr>
              <w:t>Izmijenjenim Zakonom o porezu na dohodak utvrđuje se ubrzana amortizacija za sva vozila s nultim emisijama svih kategorija vozila (M1 – osobni automobili, N1 – laka gospodarska vozila; N2 i N3 – teška vozila, na temelju standarda UNECE-a) za korporativne vozne parkove.</w:t>
            </w:r>
          </w:p>
          <w:p w14:paraId="2E6D1B4D" w14:textId="7D4A4E01" w:rsidR="00615E2D" w:rsidRDefault="00C83E46">
            <w:pPr>
              <w:pStyle w:val="P68B1DB1-Normal15"/>
              <w:shd w:val="clear" w:color="auto" w:fill="C6EFCE"/>
              <w:spacing w:after="0" w:line="240" w:lineRule="auto"/>
              <w:jc w:val="both"/>
              <w:textAlignment w:val="baseline"/>
              <w:rPr>
                <w:noProof/>
              </w:rPr>
            </w:pPr>
            <w:r>
              <w:rPr>
                <w:noProof/>
              </w:rPr>
              <w:t>Revidira se i Zakon o porezu na dohodak kako bi se promijenile naknade u naravi za sustave službenih automobila na temelju emisija CO2 osobnih automobila. Izmjenom se utvrđuje razlika u sustavu naknada u naravi između vozila s nultim emisijama i drugih vrsta vozila, pri čemu vozila s nultim emisijama dobivaju najpovoljniji tretman. Izmjenom se osigurava slična razina poticaja i za zaposlenike i za poslodavce.</w:t>
            </w:r>
          </w:p>
        </w:tc>
      </w:tr>
      <w:tr w:rsidR="00615E2D" w14:paraId="23FD25F7" w14:textId="77777777">
        <w:trPr>
          <w:trHeight w:val="309"/>
          <w:jc w:val="center"/>
        </w:trPr>
        <w:tc>
          <w:tcPr>
            <w:tcW w:w="664" w:type="dxa"/>
            <w:tcBorders>
              <w:top w:val="single" w:sz="4" w:space="0" w:color="auto"/>
              <w:left w:val="single" w:sz="4" w:space="0" w:color="auto"/>
              <w:bottom w:val="single" w:sz="4" w:space="0" w:color="auto"/>
              <w:right w:val="single" w:sz="4" w:space="0" w:color="auto"/>
            </w:tcBorders>
            <w:shd w:val="clear" w:color="auto" w:fill="C6EFCE"/>
            <w:vAlign w:val="center"/>
          </w:tcPr>
          <w:p w14:paraId="3E52E56C" w14:textId="7542B8AB" w:rsidR="00615E2D" w:rsidRDefault="00C83E46">
            <w:pPr>
              <w:pStyle w:val="P68B1DB1-Normal15"/>
              <w:spacing w:before="0" w:after="0" w:line="240" w:lineRule="auto"/>
              <w:jc w:val="center"/>
              <w:rPr>
                <w:noProof/>
              </w:rPr>
            </w:pPr>
            <w:r>
              <w:rPr>
                <w:noProof/>
              </w:rPr>
              <w:t>333</w:t>
            </w:r>
          </w:p>
        </w:tc>
        <w:tc>
          <w:tcPr>
            <w:tcW w:w="1657" w:type="dxa"/>
            <w:tcBorders>
              <w:top w:val="single" w:sz="4" w:space="0" w:color="auto"/>
              <w:left w:val="single" w:sz="4" w:space="0" w:color="auto"/>
              <w:bottom w:val="single" w:sz="4" w:space="0" w:color="auto"/>
              <w:right w:val="single" w:sz="4" w:space="0" w:color="auto"/>
            </w:tcBorders>
            <w:shd w:val="clear" w:color="auto" w:fill="C6EFCE"/>
            <w:vAlign w:val="center"/>
          </w:tcPr>
          <w:p w14:paraId="0D382D90" w14:textId="41A62968" w:rsidR="00615E2D" w:rsidRDefault="00C83E46">
            <w:pPr>
              <w:pStyle w:val="P68B1DB1-Normal15"/>
              <w:spacing w:before="0" w:after="0" w:line="240" w:lineRule="auto"/>
              <w:rPr>
                <w:noProof/>
              </w:rPr>
            </w:pPr>
            <w:r>
              <w:rPr>
                <w:noProof/>
              </w:rPr>
              <w:t>Reforma 3.: Poboljšanje regulatornog okvira za vodik iz obnovljivih izvora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F38B22C" w14:textId="1E8F48DC" w:rsidR="00615E2D" w:rsidRDefault="00C83E46">
            <w:pPr>
              <w:pStyle w:val="P68B1DB1-Normal15"/>
              <w:spacing w:before="0" w:after="0" w:line="240" w:lineRule="auto"/>
              <w:rPr>
                <w:noProof/>
              </w:rPr>
            </w:pPr>
            <w:r>
              <w:rPr>
                <w:noProof/>
              </w:rPr>
              <w:t>Prekretnica</w:t>
            </w:r>
          </w:p>
        </w:tc>
        <w:tc>
          <w:tcPr>
            <w:tcW w:w="1576" w:type="dxa"/>
            <w:tcBorders>
              <w:top w:val="single" w:sz="4" w:space="0" w:color="auto"/>
              <w:left w:val="single" w:sz="4" w:space="0" w:color="auto"/>
              <w:bottom w:val="single" w:sz="4" w:space="0" w:color="auto"/>
              <w:right w:val="single" w:sz="4" w:space="0" w:color="auto"/>
            </w:tcBorders>
            <w:shd w:val="clear" w:color="auto" w:fill="C6EFCE"/>
            <w:vAlign w:val="center"/>
          </w:tcPr>
          <w:p w14:paraId="7D18190C" w14:textId="3C1E02DD" w:rsidR="00615E2D" w:rsidRDefault="00C83E46">
            <w:pPr>
              <w:pStyle w:val="P68B1DB1-Normal15"/>
              <w:spacing w:before="0" w:after="0" w:line="240" w:lineRule="auto"/>
              <w:rPr>
                <w:noProof/>
              </w:rPr>
            </w:pPr>
            <w:r>
              <w:rPr>
                <w:noProof/>
              </w:rPr>
              <w:t>Revizija češke strategije za vodik</w:t>
            </w:r>
          </w:p>
        </w:tc>
        <w:tc>
          <w:tcPr>
            <w:tcW w:w="1493" w:type="dxa"/>
            <w:tcBorders>
              <w:top w:val="single" w:sz="4" w:space="0" w:color="auto"/>
              <w:left w:val="single" w:sz="4" w:space="0" w:color="auto"/>
              <w:bottom w:val="single" w:sz="4" w:space="0" w:color="auto"/>
              <w:right w:val="single" w:sz="4" w:space="0" w:color="auto"/>
            </w:tcBorders>
            <w:shd w:val="clear" w:color="auto" w:fill="C6EFCE"/>
            <w:vAlign w:val="center"/>
          </w:tcPr>
          <w:p w14:paraId="2085E41D" w14:textId="42496FE1" w:rsidR="00615E2D" w:rsidRDefault="00C83E46">
            <w:pPr>
              <w:pStyle w:val="P68B1DB1-Normal15"/>
              <w:spacing w:before="0" w:after="0" w:line="240" w:lineRule="auto"/>
              <w:rPr>
                <w:noProof/>
              </w:rPr>
            </w:pPr>
            <w:r>
              <w:rPr>
                <w:noProof/>
              </w:rPr>
              <w:t>Donošenje od strane Vlade</w:t>
            </w:r>
          </w:p>
        </w:tc>
        <w:tc>
          <w:tcPr>
            <w:tcW w:w="1010" w:type="dxa"/>
            <w:tcBorders>
              <w:top w:val="single" w:sz="4" w:space="0" w:color="auto"/>
              <w:left w:val="single" w:sz="4" w:space="0" w:color="auto"/>
              <w:bottom w:val="single" w:sz="4" w:space="0" w:color="auto"/>
              <w:right w:val="single" w:sz="4" w:space="0" w:color="auto"/>
            </w:tcBorders>
            <w:shd w:val="clear" w:color="auto" w:fill="C6EFCE"/>
            <w:vAlign w:val="center"/>
          </w:tcPr>
          <w:p w14:paraId="4B8CDEA9" w14:textId="77777777" w:rsidR="00615E2D" w:rsidRDefault="00615E2D">
            <w:pPr>
              <w:spacing w:before="0" w:after="0" w:line="240" w:lineRule="auto"/>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7646E716" w14:textId="77777777" w:rsidR="00615E2D" w:rsidRDefault="00615E2D">
            <w:pPr>
              <w:spacing w:before="0" w:after="0" w:line="240" w:lineRule="auto"/>
              <w:jc w:val="center"/>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191C3433" w14:textId="77777777" w:rsidR="00615E2D" w:rsidRDefault="00615E2D">
            <w:pPr>
              <w:spacing w:before="0" w:after="0" w:line="240" w:lineRule="auto"/>
              <w:jc w:val="center"/>
              <w:rPr>
                <w:rFonts w:eastAsia="Times New Roman"/>
                <w:noProof/>
                <w:color w:val="004300"/>
                <w:sz w:val="18"/>
              </w:rPr>
            </w:pPr>
          </w:p>
        </w:tc>
        <w:tc>
          <w:tcPr>
            <w:tcW w:w="1021" w:type="dxa"/>
            <w:tcBorders>
              <w:top w:val="single" w:sz="4" w:space="0" w:color="auto"/>
              <w:left w:val="single" w:sz="4" w:space="0" w:color="auto"/>
              <w:bottom w:val="single" w:sz="4" w:space="0" w:color="auto"/>
              <w:right w:val="single" w:sz="4" w:space="0" w:color="auto"/>
            </w:tcBorders>
            <w:shd w:val="clear" w:color="auto" w:fill="C6EFCE"/>
            <w:vAlign w:val="center"/>
          </w:tcPr>
          <w:p w14:paraId="6A0B5015" w14:textId="1655EAE0" w:rsidR="00615E2D" w:rsidRDefault="00C83E46">
            <w:pPr>
              <w:pStyle w:val="P68B1DB1-Normal15"/>
              <w:spacing w:before="0" w:after="0" w:line="240" w:lineRule="auto"/>
              <w:jc w:val="center"/>
              <w:rPr>
                <w:noProof/>
              </w:rPr>
            </w:pPr>
            <w:r>
              <w:rPr>
                <w:noProof/>
              </w:rPr>
              <w:t>TROMJESEČJE</w:t>
            </w:r>
          </w:p>
        </w:tc>
        <w:tc>
          <w:tcPr>
            <w:tcW w:w="668" w:type="dxa"/>
            <w:tcBorders>
              <w:top w:val="single" w:sz="4" w:space="0" w:color="auto"/>
              <w:left w:val="single" w:sz="4" w:space="0" w:color="auto"/>
              <w:bottom w:val="single" w:sz="4" w:space="0" w:color="auto"/>
              <w:right w:val="single" w:sz="4" w:space="0" w:color="auto"/>
            </w:tcBorders>
            <w:shd w:val="clear" w:color="auto" w:fill="C6EFCE"/>
            <w:vAlign w:val="center"/>
          </w:tcPr>
          <w:p w14:paraId="4F0C2160" w14:textId="79204892" w:rsidR="00615E2D" w:rsidRDefault="00C83E46">
            <w:pPr>
              <w:pStyle w:val="P68B1DB1-Normal15"/>
              <w:spacing w:before="0" w:after="0" w:line="240" w:lineRule="auto"/>
              <w:jc w:val="center"/>
              <w:rPr>
                <w:noProof/>
              </w:rPr>
            </w:pPr>
            <w:r>
              <w:rPr>
                <w:noProof/>
              </w:rPr>
              <w:t>2024</w:t>
            </w:r>
          </w:p>
        </w:tc>
        <w:tc>
          <w:tcPr>
            <w:tcW w:w="4217" w:type="dxa"/>
            <w:tcBorders>
              <w:top w:val="single" w:sz="4" w:space="0" w:color="auto"/>
              <w:left w:val="single" w:sz="4" w:space="0" w:color="auto"/>
              <w:bottom w:val="single" w:sz="4" w:space="0" w:color="auto"/>
              <w:right w:val="single" w:sz="4" w:space="0" w:color="auto"/>
            </w:tcBorders>
            <w:shd w:val="clear" w:color="auto" w:fill="C6EFCE"/>
            <w:vAlign w:val="center"/>
          </w:tcPr>
          <w:p w14:paraId="4B74A399" w14:textId="623DD489" w:rsidR="00615E2D" w:rsidRDefault="00C83E46">
            <w:pPr>
              <w:pStyle w:val="P68B1DB1-Normal15"/>
              <w:shd w:val="clear" w:color="auto" w:fill="C6EFCE"/>
              <w:spacing w:after="0" w:line="240" w:lineRule="auto"/>
              <w:jc w:val="both"/>
              <w:textAlignment w:val="baseline"/>
              <w:rPr>
                <w:noProof/>
              </w:rPr>
            </w:pPr>
            <w:r>
              <w:rPr>
                <w:noProof/>
              </w:rPr>
              <w:t>Češka strategija za vodik revidira se kako bi se definirali prioriteti razvoja ekosustava koji se prvenstveno temelji na vodiku iz obnovljivih izvora u Češkoj. Revidirana strategija temelji se na analizi različitih segmenata češkog gospodarstva temeljenog na vodiku i uzima u obzir relevantne zahtjeve EU-a. Revizijom se utvrđuju namjenski ciljevi za proizvodnju i upotrebu vodika, s primarnim naglaskom na vodiku iz obnovljivih izvora.</w:t>
            </w:r>
          </w:p>
          <w:p w14:paraId="54B50264" w14:textId="62B5003F" w:rsidR="00615E2D" w:rsidRDefault="00C83E46">
            <w:pPr>
              <w:pStyle w:val="P68B1DB1-Normal15"/>
              <w:shd w:val="clear" w:color="auto" w:fill="C6EFCE"/>
              <w:spacing w:after="0" w:line="240" w:lineRule="auto"/>
              <w:jc w:val="both"/>
              <w:textAlignment w:val="baseline"/>
              <w:rPr>
                <w:noProof/>
              </w:rPr>
            </w:pPr>
            <w:r>
              <w:rPr>
                <w:noProof/>
              </w:rPr>
              <w:t>Revidiranoj strategiji za vodik prilaže se popis primarnog zakonodavstva, sekundarnog zakonodavstva, tehničkih normi i metodologija čije je donošenje ili izmjena potrebno kako bi se osigurala usklađenost s pravnim okvirom EU-a koji se odnosi na vodik, posebno s Direktivom o energiji iz obnovljivih izvora, te kako bi se osigurali povoljni uvjeti za razvoj češkog ekosustava vodika. Popis uključuje očekivane okvirne rokove za donošenje ili izmjene takvih mjera.</w:t>
            </w:r>
          </w:p>
          <w:p w14:paraId="3F29A00D" w14:textId="77777777" w:rsidR="00615E2D" w:rsidRDefault="00C83E46">
            <w:pPr>
              <w:pStyle w:val="P68B1DB1-Normal15"/>
              <w:shd w:val="clear" w:color="auto" w:fill="C6EFCE"/>
              <w:spacing w:after="0" w:line="240" w:lineRule="auto"/>
              <w:jc w:val="both"/>
              <w:textAlignment w:val="baseline"/>
              <w:rPr>
                <w:noProof/>
              </w:rPr>
            </w:pPr>
            <w:r>
              <w:rPr>
                <w:noProof/>
              </w:rPr>
              <w:t>Revizija uključuje i akcijski plan čiji je cilj definirati prioritete javnog financiranja za različite segmente ekosustava vodika i utvrditi rokove za pokretanje relevantnih poziva na financiranje.</w:t>
            </w:r>
          </w:p>
          <w:p w14:paraId="1F69415C" w14:textId="4DE26AC9" w:rsidR="00615E2D" w:rsidRDefault="00C83E46">
            <w:pPr>
              <w:pStyle w:val="P68B1DB1-Normal15"/>
              <w:shd w:val="clear" w:color="auto" w:fill="C6EFCE"/>
              <w:spacing w:after="0" w:line="240" w:lineRule="auto"/>
              <w:jc w:val="both"/>
              <w:textAlignment w:val="baseline"/>
              <w:rPr>
                <w:noProof/>
              </w:rPr>
            </w:pPr>
            <w:r>
              <w:rPr>
                <w:noProof/>
              </w:rPr>
              <w:t>Revidirana strategija za vodik uključuje i procjenu i putanju kako bi opskrbljivači vodikom i operatori postaja za opskrbu vodikom mogli opskrbljivati vodikom iz obnovljivih izvora na postajama za opskrbu vodikom u Češkoj. Konkretno, putanjom napretka postavlja se cilj da češke postaje za opskrbu vodikom kumulativno opskrbljuju količine vodika iz obnovljivih izvora u skladu s podciljevima Direktive o energiji iz obnovljivih izvora te se osigurava da postaje za opskrbu vodikom koje su primile potporu na temelju pravila o općem skupnom izuzeću od 2035. nadalje opskrbljuju vodikom iz obnovljivih izvora.</w:t>
            </w:r>
          </w:p>
        </w:tc>
      </w:tr>
      <w:tr w:rsidR="00615E2D" w14:paraId="52D27DFC" w14:textId="77777777">
        <w:trPr>
          <w:trHeight w:val="309"/>
          <w:jc w:val="center"/>
        </w:trPr>
        <w:tc>
          <w:tcPr>
            <w:tcW w:w="664" w:type="dxa"/>
            <w:tcBorders>
              <w:top w:val="single" w:sz="4" w:space="0" w:color="auto"/>
              <w:left w:val="single" w:sz="4" w:space="0" w:color="auto"/>
              <w:bottom w:val="single" w:sz="4" w:space="0" w:color="auto"/>
              <w:right w:val="single" w:sz="4" w:space="0" w:color="auto"/>
            </w:tcBorders>
            <w:shd w:val="clear" w:color="auto" w:fill="C6EFCE"/>
            <w:vAlign w:val="center"/>
          </w:tcPr>
          <w:p w14:paraId="1AE9164C" w14:textId="4DC56CF2" w:rsidR="00615E2D" w:rsidRDefault="00C83E46">
            <w:pPr>
              <w:pStyle w:val="P68B1DB1-Normal15"/>
              <w:spacing w:before="0" w:after="0" w:line="240" w:lineRule="auto"/>
              <w:jc w:val="center"/>
              <w:rPr>
                <w:noProof/>
              </w:rPr>
            </w:pPr>
            <w:r>
              <w:rPr>
                <w:noProof/>
              </w:rPr>
              <w:t>334</w:t>
            </w:r>
          </w:p>
        </w:tc>
        <w:tc>
          <w:tcPr>
            <w:tcW w:w="1657" w:type="dxa"/>
            <w:tcBorders>
              <w:top w:val="single" w:sz="4" w:space="0" w:color="auto"/>
              <w:left w:val="single" w:sz="4" w:space="0" w:color="auto"/>
              <w:bottom w:val="single" w:sz="4" w:space="0" w:color="auto"/>
              <w:right w:val="single" w:sz="4" w:space="0" w:color="auto"/>
            </w:tcBorders>
            <w:shd w:val="clear" w:color="auto" w:fill="C6EFCE"/>
            <w:vAlign w:val="center"/>
          </w:tcPr>
          <w:p w14:paraId="7B09317B" w14:textId="7038113F" w:rsidR="00615E2D" w:rsidRDefault="00C83E46">
            <w:pPr>
              <w:pStyle w:val="P68B1DB1-Normal15"/>
              <w:spacing w:before="0" w:after="0" w:line="240" w:lineRule="auto"/>
              <w:rPr>
                <w:noProof/>
              </w:rPr>
            </w:pPr>
            <w:r>
              <w:rPr>
                <w:noProof/>
              </w:rPr>
              <w:t>Reforma 3.: Poboljšanje regulatornog okvira za vodik iz obnovljivih izvora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ABC2DA7" w14:textId="31FAA2E3" w:rsidR="00615E2D" w:rsidRDefault="00C83E46">
            <w:pPr>
              <w:pStyle w:val="P68B1DB1-Normal15"/>
              <w:spacing w:before="0" w:after="0" w:line="240" w:lineRule="auto"/>
              <w:rPr>
                <w:noProof/>
              </w:rPr>
            </w:pPr>
            <w:r>
              <w:rPr>
                <w:noProof/>
              </w:rPr>
              <w:t>Prekretnica</w:t>
            </w:r>
          </w:p>
        </w:tc>
        <w:tc>
          <w:tcPr>
            <w:tcW w:w="1576" w:type="dxa"/>
            <w:tcBorders>
              <w:top w:val="single" w:sz="4" w:space="0" w:color="auto"/>
              <w:left w:val="single" w:sz="4" w:space="0" w:color="auto"/>
              <w:bottom w:val="single" w:sz="4" w:space="0" w:color="auto"/>
              <w:right w:val="single" w:sz="4" w:space="0" w:color="auto"/>
            </w:tcBorders>
            <w:shd w:val="clear" w:color="auto" w:fill="C6EFCE"/>
            <w:vAlign w:val="center"/>
          </w:tcPr>
          <w:p w14:paraId="10301DC9" w14:textId="53950D78" w:rsidR="00615E2D" w:rsidRDefault="00C83E46">
            <w:pPr>
              <w:pStyle w:val="P68B1DB1-Normal15"/>
              <w:spacing w:before="0" w:after="0" w:line="240" w:lineRule="auto"/>
              <w:rPr>
                <w:noProof/>
              </w:rPr>
            </w:pPr>
            <w:r>
              <w:rPr>
                <w:noProof/>
              </w:rPr>
              <w:t>Revizija češke strategije za vodik – mjere za promicanje uvođenja vodika</w:t>
            </w:r>
          </w:p>
        </w:tc>
        <w:tc>
          <w:tcPr>
            <w:tcW w:w="1493" w:type="dxa"/>
            <w:tcBorders>
              <w:top w:val="single" w:sz="4" w:space="0" w:color="auto"/>
              <w:left w:val="single" w:sz="4" w:space="0" w:color="auto"/>
              <w:bottom w:val="single" w:sz="4" w:space="0" w:color="auto"/>
              <w:right w:val="single" w:sz="4" w:space="0" w:color="auto"/>
            </w:tcBorders>
            <w:shd w:val="clear" w:color="auto" w:fill="C6EFCE"/>
            <w:vAlign w:val="center"/>
          </w:tcPr>
          <w:p w14:paraId="20F371C0" w14:textId="121800CF" w:rsidR="00615E2D" w:rsidRDefault="00C83E46">
            <w:pPr>
              <w:pStyle w:val="P68B1DB1-Normal15"/>
              <w:spacing w:before="0" w:after="0" w:line="240" w:lineRule="auto"/>
              <w:rPr>
                <w:noProof/>
              </w:rPr>
            </w:pPr>
            <w:r>
              <w:rPr>
                <w:noProof/>
              </w:rPr>
              <w:t>Stupanje na snagu izmjena</w:t>
            </w:r>
          </w:p>
        </w:tc>
        <w:tc>
          <w:tcPr>
            <w:tcW w:w="1010" w:type="dxa"/>
            <w:tcBorders>
              <w:top w:val="single" w:sz="4" w:space="0" w:color="auto"/>
              <w:left w:val="single" w:sz="4" w:space="0" w:color="auto"/>
              <w:bottom w:val="single" w:sz="4" w:space="0" w:color="auto"/>
              <w:right w:val="single" w:sz="4" w:space="0" w:color="auto"/>
            </w:tcBorders>
            <w:shd w:val="clear" w:color="auto" w:fill="C6EFCE"/>
            <w:vAlign w:val="center"/>
          </w:tcPr>
          <w:p w14:paraId="365FA266" w14:textId="77777777" w:rsidR="00615E2D" w:rsidRDefault="00615E2D">
            <w:pPr>
              <w:spacing w:before="0" w:after="0" w:line="240" w:lineRule="auto"/>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0DE6001E" w14:textId="77777777" w:rsidR="00615E2D" w:rsidRDefault="00615E2D">
            <w:pPr>
              <w:spacing w:before="0" w:after="0" w:line="240" w:lineRule="auto"/>
              <w:jc w:val="center"/>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4B9F494D" w14:textId="77777777" w:rsidR="00615E2D" w:rsidRDefault="00615E2D">
            <w:pPr>
              <w:spacing w:before="0" w:after="0" w:line="240" w:lineRule="auto"/>
              <w:jc w:val="center"/>
              <w:rPr>
                <w:rFonts w:eastAsia="Times New Roman"/>
                <w:noProof/>
                <w:color w:val="004300"/>
                <w:sz w:val="18"/>
              </w:rPr>
            </w:pPr>
          </w:p>
        </w:tc>
        <w:tc>
          <w:tcPr>
            <w:tcW w:w="1021" w:type="dxa"/>
            <w:tcBorders>
              <w:top w:val="single" w:sz="4" w:space="0" w:color="auto"/>
              <w:left w:val="single" w:sz="4" w:space="0" w:color="auto"/>
              <w:bottom w:val="single" w:sz="4" w:space="0" w:color="auto"/>
              <w:right w:val="single" w:sz="4" w:space="0" w:color="auto"/>
            </w:tcBorders>
            <w:shd w:val="clear" w:color="auto" w:fill="C6EFCE"/>
            <w:vAlign w:val="center"/>
          </w:tcPr>
          <w:p w14:paraId="38CBF6F9" w14:textId="3DE3C111" w:rsidR="00615E2D" w:rsidRDefault="00C83E46">
            <w:pPr>
              <w:pStyle w:val="P68B1DB1-Normal15"/>
              <w:spacing w:before="0" w:after="0" w:line="240" w:lineRule="auto"/>
              <w:jc w:val="center"/>
              <w:rPr>
                <w:noProof/>
              </w:rPr>
            </w:pPr>
            <w:r>
              <w:rPr>
                <w:noProof/>
              </w:rPr>
              <w:t>ČETVRTO TROMJESEČJE</w:t>
            </w:r>
          </w:p>
        </w:tc>
        <w:tc>
          <w:tcPr>
            <w:tcW w:w="668" w:type="dxa"/>
            <w:tcBorders>
              <w:top w:val="single" w:sz="4" w:space="0" w:color="auto"/>
              <w:left w:val="single" w:sz="4" w:space="0" w:color="auto"/>
              <w:bottom w:val="single" w:sz="4" w:space="0" w:color="auto"/>
              <w:right w:val="single" w:sz="4" w:space="0" w:color="auto"/>
            </w:tcBorders>
            <w:shd w:val="clear" w:color="auto" w:fill="C6EFCE"/>
            <w:vAlign w:val="center"/>
          </w:tcPr>
          <w:p w14:paraId="03CE8CCC" w14:textId="65728808" w:rsidR="00615E2D" w:rsidRDefault="00C83E46">
            <w:pPr>
              <w:pStyle w:val="P68B1DB1-Normal15"/>
              <w:spacing w:before="0" w:after="0" w:line="240" w:lineRule="auto"/>
              <w:jc w:val="center"/>
              <w:rPr>
                <w:noProof/>
              </w:rPr>
            </w:pPr>
            <w:r>
              <w:rPr>
                <w:noProof/>
              </w:rPr>
              <w:t>2025</w:t>
            </w:r>
          </w:p>
        </w:tc>
        <w:tc>
          <w:tcPr>
            <w:tcW w:w="4217" w:type="dxa"/>
            <w:tcBorders>
              <w:top w:val="single" w:sz="4" w:space="0" w:color="auto"/>
              <w:left w:val="single" w:sz="4" w:space="0" w:color="auto"/>
              <w:bottom w:val="single" w:sz="4" w:space="0" w:color="auto"/>
              <w:right w:val="single" w:sz="4" w:space="0" w:color="auto"/>
            </w:tcBorders>
            <w:shd w:val="clear" w:color="auto" w:fill="C6EFCE"/>
            <w:vAlign w:val="center"/>
          </w:tcPr>
          <w:p w14:paraId="37E115B1" w14:textId="38488732" w:rsidR="00615E2D" w:rsidRDefault="00C83E46">
            <w:pPr>
              <w:pStyle w:val="P68B1DB1-Normal15"/>
              <w:shd w:val="clear" w:color="auto" w:fill="C6EFCE"/>
              <w:spacing w:after="0" w:line="240" w:lineRule="auto"/>
              <w:jc w:val="both"/>
              <w:textAlignment w:val="baseline"/>
              <w:rPr>
                <w:noProof/>
              </w:rPr>
            </w:pPr>
            <w:r>
              <w:rPr>
                <w:noProof/>
              </w:rPr>
              <w:t>Od mjera uvrštenih na popis mjera u prethodnoj ključnoj etapi broj 333, Češka osigurava barem reviziju sljedećih obvezujućih mjera:</w:t>
            </w:r>
          </w:p>
          <w:p w14:paraId="4FE46651" w14:textId="77777777" w:rsidR="00615E2D" w:rsidRDefault="00C83E46">
            <w:pPr>
              <w:pStyle w:val="P68B1DB1-ListParagraph54"/>
              <w:numPr>
                <w:ilvl w:val="0"/>
                <w:numId w:val="340"/>
              </w:numPr>
              <w:shd w:val="clear" w:color="auto" w:fill="C6EFCE"/>
              <w:spacing w:after="0" w:line="240" w:lineRule="auto"/>
              <w:jc w:val="both"/>
              <w:textAlignment w:val="baseline"/>
              <w:rPr>
                <w:noProof/>
              </w:rPr>
            </w:pPr>
            <w:r>
              <w:rPr>
                <w:noProof/>
              </w:rPr>
              <w:t xml:space="preserve">Zakon o energiji (458/2000 zb.) kojim se vodik definira kao nositelj energije; </w:t>
            </w:r>
          </w:p>
          <w:p w14:paraId="046D0966" w14:textId="34482C9E" w:rsidR="00615E2D" w:rsidRDefault="00C83E46">
            <w:pPr>
              <w:pStyle w:val="P68B1DB1-ListParagraph54"/>
              <w:numPr>
                <w:ilvl w:val="0"/>
                <w:numId w:val="340"/>
              </w:numPr>
              <w:shd w:val="clear" w:color="auto" w:fill="C6EFCE"/>
              <w:spacing w:after="0" w:line="240" w:lineRule="auto"/>
              <w:jc w:val="both"/>
              <w:textAlignment w:val="baseline"/>
              <w:rPr>
                <w:noProof/>
              </w:rPr>
            </w:pPr>
            <w:r>
              <w:rPr>
                <w:noProof/>
              </w:rPr>
              <w:t>Uredba br. 108/2011 zb. o mjerenju plina i reviziji Uredbe br. 488/2021 zb. o zahtjevima za priključivanje na plinski sustav i</w:t>
            </w:r>
          </w:p>
          <w:p w14:paraId="25FC1586" w14:textId="689E4A36" w:rsidR="00615E2D" w:rsidRDefault="00C83E46">
            <w:pPr>
              <w:pStyle w:val="P68B1DB1-ListParagraph54"/>
              <w:numPr>
                <w:ilvl w:val="0"/>
                <w:numId w:val="340"/>
              </w:numPr>
              <w:shd w:val="clear" w:color="auto" w:fill="C6EFCE"/>
              <w:spacing w:after="0" w:line="240" w:lineRule="auto"/>
              <w:jc w:val="both"/>
              <w:textAlignment w:val="baseline"/>
              <w:rPr>
                <w:noProof/>
              </w:rPr>
            </w:pPr>
            <w:r>
              <w:rPr>
                <w:noProof/>
              </w:rPr>
              <w:t>Uredba br. 345/2002 zb. o utvrđivanju mjernih instrumenata za obveznu provjeru i mjernih instrumenata koji podliježu homologaciji kako bi se potaknula i olakšala uporaba vodika, posebno čistog vodika, u plinskim mrežama.</w:t>
            </w:r>
          </w:p>
        </w:tc>
      </w:tr>
      <w:tr w:rsidR="00615E2D" w14:paraId="31F52692" w14:textId="77777777">
        <w:trPr>
          <w:trHeight w:val="309"/>
          <w:jc w:val="center"/>
        </w:trPr>
        <w:tc>
          <w:tcPr>
            <w:tcW w:w="664" w:type="dxa"/>
            <w:tcBorders>
              <w:top w:val="single" w:sz="4" w:space="0" w:color="auto"/>
              <w:left w:val="single" w:sz="4" w:space="0" w:color="auto"/>
              <w:bottom w:val="single" w:sz="4" w:space="0" w:color="auto"/>
              <w:right w:val="single" w:sz="4" w:space="0" w:color="auto"/>
            </w:tcBorders>
            <w:shd w:val="clear" w:color="auto" w:fill="C6EFCE"/>
            <w:vAlign w:val="center"/>
          </w:tcPr>
          <w:p w14:paraId="4232760B" w14:textId="5FE66815" w:rsidR="00615E2D" w:rsidRDefault="00C83E46">
            <w:pPr>
              <w:pStyle w:val="P68B1DB1-Normal15"/>
              <w:spacing w:before="0" w:after="0" w:line="240" w:lineRule="auto"/>
              <w:jc w:val="center"/>
              <w:rPr>
                <w:noProof/>
              </w:rPr>
            </w:pPr>
            <w:r>
              <w:rPr>
                <w:noProof/>
              </w:rPr>
              <w:t>335</w:t>
            </w:r>
          </w:p>
        </w:tc>
        <w:tc>
          <w:tcPr>
            <w:tcW w:w="1657" w:type="dxa"/>
            <w:tcBorders>
              <w:top w:val="single" w:sz="4" w:space="0" w:color="auto"/>
              <w:left w:val="single" w:sz="4" w:space="0" w:color="auto"/>
              <w:bottom w:val="single" w:sz="4" w:space="0" w:color="auto"/>
              <w:right w:val="single" w:sz="4" w:space="0" w:color="auto"/>
            </w:tcBorders>
            <w:shd w:val="clear" w:color="auto" w:fill="C6EFCE"/>
            <w:vAlign w:val="center"/>
          </w:tcPr>
          <w:p w14:paraId="24E76987" w14:textId="24D572DA" w:rsidR="00615E2D" w:rsidRDefault="00C83E46">
            <w:pPr>
              <w:pStyle w:val="P68B1DB1-Normal15"/>
              <w:spacing w:before="0" w:after="0" w:line="240" w:lineRule="auto"/>
              <w:rPr>
                <w:noProof/>
              </w:rPr>
            </w:pPr>
            <w:r>
              <w:rPr>
                <w:noProof/>
              </w:rPr>
              <w:t>Reforma 4.: Uvjeti koji omogućuju provedbu infrastrukture za alternativna goriva s nultim emisijama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CC8183D" w14:textId="2BA3D76F" w:rsidR="00615E2D" w:rsidRDefault="00C83E46">
            <w:pPr>
              <w:pStyle w:val="P68B1DB1-Normal15"/>
              <w:spacing w:before="0" w:after="0" w:line="240" w:lineRule="auto"/>
              <w:rPr>
                <w:noProof/>
              </w:rPr>
            </w:pPr>
            <w:r>
              <w:rPr>
                <w:noProof/>
              </w:rPr>
              <w:t>Prekretnica</w:t>
            </w:r>
          </w:p>
        </w:tc>
        <w:tc>
          <w:tcPr>
            <w:tcW w:w="1576" w:type="dxa"/>
            <w:tcBorders>
              <w:top w:val="single" w:sz="4" w:space="0" w:color="auto"/>
              <w:left w:val="single" w:sz="4" w:space="0" w:color="auto"/>
              <w:bottom w:val="single" w:sz="4" w:space="0" w:color="auto"/>
              <w:right w:val="single" w:sz="4" w:space="0" w:color="auto"/>
            </w:tcBorders>
            <w:shd w:val="clear" w:color="auto" w:fill="C6EFCE"/>
            <w:vAlign w:val="center"/>
          </w:tcPr>
          <w:p w14:paraId="0356BED8" w14:textId="478C86AE" w:rsidR="00615E2D" w:rsidRDefault="00C83E46">
            <w:pPr>
              <w:pStyle w:val="P68B1DB1-Normal15"/>
              <w:spacing w:before="0" w:after="0" w:line="240" w:lineRule="auto"/>
              <w:rPr>
                <w:noProof/>
              </w:rPr>
            </w:pPr>
            <w:r>
              <w:rPr>
                <w:noProof/>
              </w:rPr>
              <w:t>Pojednostavnjenje postupka izdavanja dozvola za izgradnju postaja za punjenje električnih vozila i stanica za opskrbu vodikom</w:t>
            </w:r>
          </w:p>
        </w:tc>
        <w:tc>
          <w:tcPr>
            <w:tcW w:w="1493" w:type="dxa"/>
            <w:tcBorders>
              <w:top w:val="single" w:sz="4" w:space="0" w:color="auto"/>
              <w:left w:val="single" w:sz="4" w:space="0" w:color="auto"/>
              <w:bottom w:val="single" w:sz="4" w:space="0" w:color="auto"/>
              <w:right w:val="single" w:sz="4" w:space="0" w:color="auto"/>
            </w:tcBorders>
            <w:shd w:val="clear" w:color="auto" w:fill="C6EFCE"/>
            <w:vAlign w:val="center"/>
          </w:tcPr>
          <w:p w14:paraId="31E4206A" w14:textId="546B0E17" w:rsidR="00615E2D" w:rsidRDefault="00C83E46">
            <w:pPr>
              <w:pStyle w:val="P68B1DB1-Normal15"/>
              <w:spacing w:before="0" w:after="0" w:line="240" w:lineRule="auto"/>
              <w:rPr>
                <w:noProof/>
              </w:rPr>
            </w:pPr>
            <w:r>
              <w:rPr>
                <w:noProof/>
              </w:rPr>
              <w:t xml:space="preserve">Stupanje na snagu niza izmjena Zakona o gradnji </w:t>
            </w:r>
          </w:p>
        </w:tc>
        <w:tc>
          <w:tcPr>
            <w:tcW w:w="1010" w:type="dxa"/>
            <w:tcBorders>
              <w:top w:val="single" w:sz="4" w:space="0" w:color="auto"/>
              <w:left w:val="single" w:sz="4" w:space="0" w:color="auto"/>
              <w:bottom w:val="single" w:sz="4" w:space="0" w:color="auto"/>
              <w:right w:val="single" w:sz="4" w:space="0" w:color="auto"/>
            </w:tcBorders>
            <w:shd w:val="clear" w:color="auto" w:fill="C6EFCE"/>
            <w:vAlign w:val="center"/>
          </w:tcPr>
          <w:p w14:paraId="17BC41FA" w14:textId="77777777" w:rsidR="00615E2D" w:rsidRDefault="00615E2D">
            <w:pPr>
              <w:spacing w:before="0" w:after="0" w:line="240" w:lineRule="auto"/>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2C3BC187" w14:textId="77777777" w:rsidR="00615E2D" w:rsidRDefault="00615E2D">
            <w:pPr>
              <w:spacing w:before="0" w:after="0" w:line="240" w:lineRule="auto"/>
              <w:jc w:val="center"/>
              <w:rPr>
                <w:rFonts w:eastAsia="Times New Roman"/>
                <w:noProof/>
                <w:color w:val="004300"/>
                <w:sz w:val="18"/>
              </w:rPr>
            </w:pP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0B7C2A3E" w14:textId="77777777" w:rsidR="00615E2D" w:rsidRDefault="00615E2D">
            <w:pPr>
              <w:spacing w:before="0" w:after="0" w:line="240" w:lineRule="auto"/>
              <w:jc w:val="center"/>
              <w:rPr>
                <w:rFonts w:eastAsia="Times New Roman"/>
                <w:noProof/>
                <w:color w:val="004300"/>
                <w:sz w:val="18"/>
              </w:rPr>
            </w:pPr>
          </w:p>
        </w:tc>
        <w:tc>
          <w:tcPr>
            <w:tcW w:w="1021" w:type="dxa"/>
            <w:tcBorders>
              <w:top w:val="single" w:sz="4" w:space="0" w:color="auto"/>
              <w:left w:val="single" w:sz="4" w:space="0" w:color="auto"/>
              <w:bottom w:val="single" w:sz="4" w:space="0" w:color="auto"/>
              <w:right w:val="single" w:sz="4" w:space="0" w:color="auto"/>
            </w:tcBorders>
            <w:shd w:val="clear" w:color="auto" w:fill="C6EFCE"/>
            <w:vAlign w:val="center"/>
          </w:tcPr>
          <w:p w14:paraId="356D49F7" w14:textId="489F2A71" w:rsidR="00615E2D" w:rsidRDefault="00C83E46">
            <w:pPr>
              <w:pStyle w:val="P68B1DB1-Normal15"/>
              <w:spacing w:before="0" w:after="0" w:line="240" w:lineRule="auto"/>
              <w:jc w:val="center"/>
              <w:rPr>
                <w:noProof/>
              </w:rPr>
            </w:pPr>
            <w:r>
              <w:rPr>
                <w:noProof/>
              </w:rPr>
              <w:t>ČETVRTO TROMJESEČJE</w:t>
            </w:r>
          </w:p>
        </w:tc>
        <w:tc>
          <w:tcPr>
            <w:tcW w:w="668" w:type="dxa"/>
            <w:tcBorders>
              <w:top w:val="single" w:sz="4" w:space="0" w:color="auto"/>
              <w:left w:val="single" w:sz="4" w:space="0" w:color="auto"/>
              <w:bottom w:val="single" w:sz="4" w:space="0" w:color="auto"/>
              <w:right w:val="single" w:sz="4" w:space="0" w:color="auto"/>
            </w:tcBorders>
            <w:shd w:val="clear" w:color="auto" w:fill="C6EFCE"/>
            <w:vAlign w:val="center"/>
          </w:tcPr>
          <w:p w14:paraId="3CBB6079" w14:textId="4F6C46C1" w:rsidR="00615E2D" w:rsidRDefault="00C83E46">
            <w:pPr>
              <w:pStyle w:val="P68B1DB1-Normal15"/>
              <w:spacing w:before="0" w:after="0" w:line="240" w:lineRule="auto"/>
              <w:jc w:val="center"/>
              <w:rPr>
                <w:noProof/>
              </w:rPr>
            </w:pPr>
            <w:r>
              <w:rPr>
                <w:noProof/>
              </w:rPr>
              <w:t>2024</w:t>
            </w:r>
          </w:p>
        </w:tc>
        <w:tc>
          <w:tcPr>
            <w:tcW w:w="4217" w:type="dxa"/>
            <w:tcBorders>
              <w:top w:val="single" w:sz="4" w:space="0" w:color="auto"/>
              <w:left w:val="single" w:sz="4" w:space="0" w:color="auto"/>
              <w:bottom w:val="single" w:sz="4" w:space="0" w:color="auto"/>
              <w:right w:val="single" w:sz="4" w:space="0" w:color="auto"/>
            </w:tcBorders>
            <w:shd w:val="clear" w:color="auto" w:fill="C6EFCE"/>
            <w:vAlign w:val="center"/>
          </w:tcPr>
          <w:p w14:paraId="7B70D054" w14:textId="3C9C1D0E" w:rsidR="00615E2D" w:rsidRDefault="00C83E46">
            <w:pPr>
              <w:pStyle w:val="P68B1DB1-Normal15"/>
              <w:shd w:val="clear" w:color="auto" w:fill="C6EFCE"/>
              <w:spacing w:after="0" w:line="240" w:lineRule="auto"/>
              <w:jc w:val="both"/>
              <w:textAlignment w:val="baseline"/>
              <w:rPr>
                <w:noProof/>
              </w:rPr>
            </w:pPr>
            <w:r>
              <w:rPr>
                <w:noProof/>
              </w:rPr>
              <w:t>Stupanje na snagu izmjena Zakona o gradnji. Izmjenama se osigurava povlašteni tretman za punjače snage do 22 kW definiranjem te vrste infrastrukture kao „manje konstrukcije” i definiranjem punjača snage veće od 22 kW kao „jednostavne konstrukcije” za potrebe postupaka za građevinsku dozvolu.</w:t>
            </w:r>
          </w:p>
        </w:tc>
      </w:tr>
      <w:tr w:rsidR="00615E2D" w14:paraId="2021C801" w14:textId="77777777">
        <w:trPr>
          <w:trHeight w:val="309"/>
          <w:jc w:val="center"/>
        </w:trPr>
        <w:tc>
          <w:tcPr>
            <w:tcW w:w="664" w:type="dxa"/>
            <w:shd w:val="clear" w:color="auto" w:fill="C6EFCE"/>
            <w:vAlign w:val="center"/>
          </w:tcPr>
          <w:p w14:paraId="621AD562" w14:textId="62C11A39" w:rsidR="00615E2D" w:rsidRDefault="00C83E46">
            <w:pPr>
              <w:pStyle w:val="P68B1DB1-Normal15"/>
              <w:spacing w:before="0" w:after="0" w:line="240" w:lineRule="auto"/>
              <w:jc w:val="center"/>
              <w:rPr>
                <w:noProof/>
              </w:rPr>
            </w:pPr>
            <w:r>
              <w:rPr>
                <w:noProof/>
              </w:rPr>
              <w:t>336</w:t>
            </w:r>
          </w:p>
        </w:tc>
        <w:tc>
          <w:tcPr>
            <w:tcW w:w="1657" w:type="dxa"/>
            <w:shd w:val="clear" w:color="auto" w:fill="C6EFCE"/>
            <w:vAlign w:val="center"/>
          </w:tcPr>
          <w:p w14:paraId="3A78F382" w14:textId="5D0137F7" w:rsidR="00615E2D" w:rsidRDefault="00C83E46">
            <w:pPr>
              <w:pStyle w:val="P68B1DB1-Normal15"/>
              <w:spacing w:before="0" w:after="0" w:line="240" w:lineRule="auto"/>
              <w:rPr>
                <w:noProof/>
              </w:rPr>
            </w:pPr>
            <w:r>
              <w:rPr>
                <w:noProof/>
              </w:rPr>
              <w:t>Reforma 4.: Uvjeti koji omogućuju provedbu infrastrukture za alternativna goriva s nultim emisijama</w:t>
            </w:r>
          </w:p>
        </w:tc>
        <w:tc>
          <w:tcPr>
            <w:tcW w:w="1134" w:type="dxa"/>
            <w:shd w:val="clear" w:color="auto" w:fill="C6EFCE"/>
            <w:vAlign w:val="center"/>
          </w:tcPr>
          <w:p w14:paraId="4D229313" w14:textId="3F1307D8" w:rsidR="00615E2D" w:rsidRDefault="00C83E46">
            <w:pPr>
              <w:pStyle w:val="P68B1DB1-Normal15"/>
              <w:spacing w:before="0" w:after="0" w:line="240" w:lineRule="auto"/>
              <w:rPr>
                <w:noProof/>
              </w:rPr>
            </w:pPr>
            <w:r>
              <w:rPr>
                <w:noProof/>
              </w:rPr>
              <w:t>Prekretnica</w:t>
            </w:r>
          </w:p>
        </w:tc>
        <w:tc>
          <w:tcPr>
            <w:tcW w:w="1576" w:type="dxa"/>
            <w:shd w:val="clear" w:color="auto" w:fill="C6EFCE"/>
            <w:vAlign w:val="center"/>
          </w:tcPr>
          <w:p w14:paraId="4271195E" w14:textId="27E0FB8A" w:rsidR="00615E2D" w:rsidRDefault="00C83E46">
            <w:pPr>
              <w:pStyle w:val="P68B1DB1-Normal15"/>
              <w:spacing w:before="0" w:after="0" w:line="240" w:lineRule="auto"/>
              <w:rPr>
                <w:noProof/>
              </w:rPr>
            </w:pPr>
            <w:r>
              <w:rPr>
                <w:noProof/>
              </w:rPr>
              <w:t>Pojednostavnjenje postupka izdavanja dozvola za izgradnju postaja za punjenje električnom energijom i postaja za opskrbu vodikom – dodatne mjere</w:t>
            </w:r>
          </w:p>
        </w:tc>
        <w:tc>
          <w:tcPr>
            <w:tcW w:w="1493" w:type="dxa"/>
            <w:shd w:val="clear" w:color="auto" w:fill="C6EFCE"/>
            <w:vAlign w:val="center"/>
          </w:tcPr>
          <w:p w14:paraId="07E70058" w14:textId="40F31085" w:rsidR="00615E2D" w:rsidRDefault="00C83E46">
            <w:pPr>
              <w:pStyle w:val="P68B1DB1-Normal15"/>
              <w:spacing w:before="0" w:after="0" w:line="240" w:lineRule="auto"/>
              <w:rPr>
                <w:noProof/>
              </w:rPr>
            </w:pPr>
            <w:r>
              <w:rPr>
                <w:noProof/>
              </w:rPr>
              <w:t xml:space="preserve">Donošenje mjera i izmjene postojećih obvezujućih mjera </w:t>
            </w:r>
          </w:p>
        </w:tc>
        <w:tc>
          <w:tcPr>
            <w:tcW w:w="1010" w:type="dxa"/>
            <w:shd w:val="clear" w:color="auto" w:fill="C6EFCE"/>
            <w:vAlign w:val="center"/>
          </w:tcPr>
          <w:p w14:paraId="4404F79A" w14:textId="77777777" w:rsidR="00615E2D" w:rsidRDefault="00615E2D">
            <w:pPr>
              <w:spacing w:before="0" w:after="0" w:line="240" w:lineRule="auto"/>
              <w:rPr>
                <w:rFonts w:eastAsia="Times New Roman"/>
                <w:noProof/>
                <w:color w:val="004300"/>
                <w:sz w:val="18"/>
              </w:rPr>
            </w:pPr>
          </w:p>
        </w:tc>
        <w:tc>
          <w:tcPr>
            <w:tcW w:w="1005" w:type="dxa"/>
            <w:shd w:val="clear" w:color="auto" w:fill="C6EFCE"/>
            <w:vAlign w:val="center"/>
          </w:tcPr>
          <w:p w14:paraId="0D9B9B4D" w14:textId="77777777" w:rsidR="00615E2D" w:rsidRDefault="00615E2D">
            <w:pPr>
              <w:spacing w:before="0" w:after="0" w:line="240" w:lineRule="auto"/>
              <w:jc w:val="center"/>
              <w:rPr>
                <w:rFonts w:eastAsia="Times New Roman"/>
                <w:noProof/>
                <w:color w:val="004300"/>
                <w:sz w:val="18"/>
              </w:rPr>
            </w:pPr>
          </w:p>
        </w:tc>
        <w:tc>
          <w:tcPr>
            <w:tcW w:w="1005" w:type="dxa"/>
            <w:shd w:val="clear" w:color="auto" w:fill="C6EFCE"/>
            <w:vAlign w:val="center"/>
          </w:tcPr>
          <w:p w14:paraId="25A18FF9" w14:textId="77777777" w:rsidR="00615E2D" w:rsidRDefault="00615E2D">
            <w:pPr>
              <w:spacing w:before="0" w:after="0" w:line="240" w:lineRule="auto"/>
              <w:jc w:val="center"/>
              <w:rPr>
                <w:rFonts w:eastAsia="Times New Roman"/>
                <w:noProof/>
                <w:color w:val="004300"/>
                <w:sz w:val="18"/>
              </w:rPr>
            </w:pPr>
          </w:p>
        </w:tc>
        <w:tc>
          <w:tcPr>
            <w:tcW w:w="1021" w:type="dxa"/>
            <w:shd w:val="clear" w:color="auto" w:fill="C6EFCE"/>
            <w:vAlign w:val="center"/>
          </w:tcPr>
          <w:p w14:paraId="421D035F" w14:textId="3266C826" w:rsidR="00615E2D" w:rsidRDefault="00C83E46">
            <w:pPr>
              <w:pStyle w:val="P68B1DB1-Normal15"/>
              <w:spacing w:before="0" w:after="0" w:line="240" w:lineRule="auto"/>
              <w:jc w:val="center"/>
              <w:rPr>
                <w:noProof/>
              </w:rPr>
            </w:pPr>
            <w:r>
              <w:rPr>
                <w:noProof/>
              </w:rPr>
              <w:t>ČETVRTO TROMJESEČJE</w:t>
            </w:r>
          </w:p>
        </w:tc>
        <w:tc>
          <w:tcPr>
            <w:tcW w:w="668" w:type="dxa"/>
            <w:shd w:val="clear" w:color="auto" w:fill="C6EFCE"/>
            <w:vAlign w:val="center"/>
          </w:tcPr>
          <w:p w14:paraId="6E172B07" w14:textId="68D256F8" w:rsidR="00615E2D" w:rsidRDefault="00C83E46">
            <w:pPr>
              <w:pStyle w:val="P68B1DB1-Normal15"/>
              <w:spacing w:before="0" w:after="0" w:line="240" w:lineRule="auto"/>
              <w:jc w:val="center"/>
              <w:rPr>
                <w:noProof/>
              </w:rPr>
            </w:pPr>
            <w:r>
              <w:rPr>
                <w:noProof/>
              </w:rPr>
              <w:t>2025</w:t>
            </w:r>
          </w:p>
        </w:tc>
        <w:tc>
          <w:tcPr>
            <w:tcW w:w="4217" w:type="dxa"/>
            <w:shd w:val="clear" w:color="auto" w:fill="C6EFCE"/>
            <w:vAlign w:val="center"/>
          </w:tcPr>
          <w:p w14:paraId="09DA8B61" w14:textId="7343000C" w:rsidR="00615E2D" w:rsidRDefault="00C83E46">
            <w:pPr>
              <w:pStyle w:val="P68B1DB1-Normal15"/>
              <w:shd w:val="clear" w:color="auto" w:fill="C6EFCE"/>
              <w:spacing w:after="0" w:line="240" w:lineRule="auto"/>
              <w:jc w:val="both"/>
              <w:textAlignment w:val="baseline"/>
              <w:rPr>
                <w:noProof/>
              </w:rPr>
            </w:pPr>
            <w:r>
              <w:rPr>
                <w:noProof/>
              </w:rPr>
              <w:t>Za potrebe ove ključne etape donose se dodatne obvezujuće ili neobvezujuće mjere ili izmjene postojećih obvezujućih ili neobvezujućih mjera, što rezultira pojednostavnjenjem i olakšavanjem izgradnje, izdavanja dozvola i rada infrastrukture za punjenje i postaja za opskrbu vodikom. Dodatne mjere i revidirane postojeće mjere mogu uključivati primarno zakonodavstvo, sekundarno zakonodavstvo ili tehničke norme i metodologije. Takvo dodatno mjerenje temelji se na popisu mjera pripremljenih u okviru reforme 1.</w:t>
            </w:r>
          </w:p>
        </w:tc>
      </w:tr>
      <w:tr w:rsidR="00615E2D" w14:paraId="7C205978" w14:textId="77777777">
        <w:trPr>
          <w:trHeight w:val="309"/>
          <w:jc w:val="center"/>
        </w:trPr>
        <w:tc>
          <w:tcPr>
            <w:tcW w:w="664" w:type="dxa"/>
            <w:shd w:val="clear" w:color="auto" w:fill="C6EFCE"/>
            <w:vAlign w:val="center"/>
          </w:tcPr>
          <w:p w14:paraId="13A66BEF" w14:textId="23089659" w:rsidR="00615E2D" w:rsidRDefault="00C83E46">
            <w:pPr>
              <w:pStyle w:val="P68B1DB1-Normal15"/>
              <w:spacing w:before="0" w:after="0" w:line="240" w:lineRule="auto"/>
              <w:jc w:val="center"/>
              <w:rPr>
                <w:noProof/>
              </w:rPr>
            </w:pPr>
            <w:r>
              <w:rPr>
                <w:noProof/>
              </w:rPr>
              <w:t>337</w:t>
            </w:r>
          </w:p>
        </w:tc>
        <w:tc>
          <w:tcPr>
            <w:tcW w:w="1657" w:type="dxa"/>
            <w:shd w:val="clear" w:color="auto" w:fill="C6EFCE"/>
            <w:vAlign w:val="center"/>
          </w:tcPr>
          <w:p w14:paraId="72877235" w14:textId="04E621CC" w:rsidR="00615E2D" w:rsidRDefault="00C83E46">
            <w:pPr>
              <w:pStyle w:val="P68B1DB1-Normal15"/>
              <w:spacing w:before="0" w:after="0" w:line="240" w:lineRule="auto"/>
              <w:rPr>
                <w:noProof/>
              </w:rPr>
            </w:pPr>
            <w:r>
              <w:rPr>
                <w:noProof/>
              </w:rPr>
              <w:t>Reforma br. 5: Poticanje mobilnosti s nultom stopom emisija promjenama vinjete za autoceste</w:t>
            </w:r>
          </w:p>
        </w:tc>
        <w:tc>
          <w:tcPr>
            <w:tcW w:w="1134" w:type="dxa"/>
            <w:shd w:val="clear" w:color="auto" w:fill="C6EFCE"/>
            <w:vAlign w:val="center"/>
          </w:tcPr>
          <w:p w14:paraId="513558E8" w14:textId="4E11251D" w:rsidR="00615E2D" w:rsidRDefault="00C83E46">
            <w:pPr>
              <w:pStyle w:val="P68B1DB1-Normal15"/>
              <w:spacing w:before="0" w:after="0" w:line="240" w:lineRule="auto"/>
              <w:rPr>
                <w:noProof/>
              </w:rPr>
            </w:pPr>
            <w:r>
              <w:rPr>
                <w:noProof/>
              </w:rPr>
              <w:t>Prekretnica</w:t>
            </w:r>
          </w:p>
        </w:tc>
        <w:tc>
          <w:tcPr>
            <w:tcW w:w="1576" w:type="dxa"/>
            <w:shd w:val="clear" w:color="auto" w:fill="C6EFCE"/>
            <w:vAlign w:val="center"/>
          </w:tcPr>
          <w:p w14:paraId="06A0ADA7" w14:textId="699A7D50" w:rsidR="00615E2D" w:rsidRDefault="00C83E46">
            <w:pPr>
              <w:pStyle w:val="P68B1DB1-Normal15"/>
              <w:spacing w:before="0" w:after="0" w:line="240" w:lineRule="auto"/>
              <w:rPr>
                <w:noProof/>
              </w:rPr>
            </w:pPr>
            <w:r>
              <w:rPr>
                <w:noProof/>
              </w:rPr>
              <w:t xml:space="preserve">Revizija troškova vinjeta na autocestama </w:t>
            </w:r>
          </w:p>
        </w:tc>
        <w:tc>
          <w:tcPr>
            <w:tcW w:w="1493" w:type="dxa"/>
            <w:shd w:val="clear" w:color="auto" w:fill="C6EFCE"/>
            <w:vAlign w:val="center"/>
          </w:tcPr>
          <w:p w14:paraId="5D328C53" w14:textId="09973373" w:rsidR="00615E2D" w:rsidRDefault="00C83E46">
            <w:pPr>
              <w:pStyle w:val="P68B1DB1-Normal15"/>
              <w:spacing w:before="0" w:after="0" w:line="240" w:lineRule="auto"/>
              <w:rPr>
                <w:noProof/>
              </w:rPr>
            </w:pPr>
            <w:r>
              <w:rPr>
                <w:noProof/>
              </w:rPr>
              <w:t xml:space="preserve">Stupanje na snagu izmjena Zakona o cestovnom prometu </w:t>
            </w:r>
          </w:p>
        </w:tc>
        <w:tc>
          <w:tcPr>
            <w:tcW w:w="1010" w:type="dxa"/>
            <w:shd w:val="clear" w:color="auto" w:fill="C6EFCE"/>
            <w:vAlign w:val="center"/>
          </w:tcPr>
          <w:p w14:paraId="773E2FE1" w14:textId="77777777" w:rsidR="00615E2D" w:rsidRDefault="00615E2D">
            <w:pPr>
              <w:spacing w:before="0" w:after="0" w:line="240" w:lineRule="auto"/>
              <w:rPr>
                <w:rFonts w:eastAsia="Times New Roman"/>
                <w:noProof/>
                <w:color w:val="004300"/>
                <w:sz w:val="18"/>
              </w:rPr>
            </w:pPr>
          </w:p>
        </w:tc>
        <w:tc>
          <w:tcPr>
            <w:tcW w:w="1005" w:type="dxa"/>
            <w:shd w:val="clear" w:color="auto" w:fill="C6EFCE"/>
            <w:vAlign w:val="center"/>
          </w:tcPr>
          <w:p w14:paraId="27BFC1E0" w14:textId="77777777" w:rsidR="00615E2D" w:rsidRDefault="00615E2D">
            <w:pPr>
              <w:spacing w:before="0" w:after="0" w:line="240" w:lineRule="auto"/>
              <w:jc w:val="center"/>
              <w:rPr>
                <w:rFonts w:eastAsia="Times New Roman"/>
                <w:noProof/>
                <w:color w:val="004300"/>
                <w:sz w:val="18"/>
              </w:rPr>
            </w:pPr>
          </w:p>
        </w:tc>
        <w:tc>
          <w:tcPr>
            <w:tcW w:w="1005" w:type="dxa"/>
            <w:shd w:val="clear" w:color="auto" w:fill="C6EFCE"/>
            <w:vAlign w:val="center"/>
          </w:tcPr>
          <w:p w14:paraId="027D8106" w14:textId="77777777" w:rsidR="00615E2D" w:rsidRDefault="00615E2D">
            <w:pPr>
              <w:spacing w:before="0" w:after="0" w:line="240" w:lineRule="auto"/>
              <w:jc w:val="center"/>
              <w:rPr>
                <w:rFonts w:eastAsia="Times New Roman"/>
                <w:noProof/>
                <w:color w:val="004300"/>
                <w:sz w:val="18"/>
              </w:rPr>
            </w:pPr>
          </w:p>
        </w:tc>
        <w:tc>
          <w:tcPr>
            <w:tcW w:w="1021" w:type="dxa"/>
            <w:shd w:val="clear" w:color="auto" w:fill="C6EFCE"/>
            <w:vAlign w:val="center"/>
          </w:tcPr>
          <w:p w14:paraId="23CB8412" w14:textId="794F93A9" w:rsidR="00615E2D" w:rsidRDefault="00C83E46">
            <w:pPr>
              <w:pStyle w:val="P68B1DB1-Normal15"/>
              <w:spacing w:before="0" w:after="0" w:line="240" w:lineRule="auto"/>
              <w:jc w:val="center"/>
              <w:rPr>
                <w:noProof/>
              </w:rPr>
            </w:pPr>
            <w:r>
              <w:rPr>
                <w:noProof/>
              </w:rPr>
              <w:t>ČETVRTO TROMJESEČJE</w:t>
            </w:r>
          </w:p>
        </w:tc>
        <w:tc>
          <w:tcPr>
            <w:tcW w:w="668" w:type="dxa"/>
            <w:shd w:val="clear" w:color="auto" w:fill="C6EFCE"/>
            <w:vAlign w:val="center"/>
          </w:tcPr>
          <w:p w14:paraId="5196658E" w14:textId="7CE0A1DE" w:rsidR="00615E2D" w:rsidRDefault="00C83E46">
            <w:pPr>
              <w:pStyle w:val="P68B1DB1-Normal15"/>
              <w:spacing w:before="0" w:after="0" w:line="240" w:lineRule="auto"/>
              <w:jc w:val="center"/>
              <w:rPr>
                <w:noProof/>
              </w:rPr>
            </w:pPr>
            <w:r>
              <w:rPr>
                <w:noProof/>
              </w:rPr>
              <w:t>2024</w:t>
            </w:r>
          </w:p>
        </w:tc>
        <w:tc>
          <w:tcPr>
            <w:tcW w:w="4217" w:type="dxa"/>
            <w:shd w:val="clear" w:color="auto" w:fill="C6EFCE"/>
            <w:vAlign w:val="center"/>
          </w:tcPr>
          <w:p w14:paraId="11C2E037" w14:textId="5177566A" w:rsidR="00615E2D" w:rsidRDefault="00C83E46">
            <w:pPr>
              <w:pStyle w:val="P68B1DB1-Normal15"/>
              <w:shd w:val="clear" w:color="auto" w:fill="C6EFCE"/>
              <w:spacing w:after="0" w:line="240" w:lineRule="auto"/>
              <w:jc w:val="both"/>
              <w:textAlignment w:val="baseline"/>
              <w:rPr>
                <w:noProof/>
              </w:rPr>
            </w:pPr>
            <w:r>
              <w:rPr>
                <w:noProof/>
              </w:rPr>
              <w:t>Stupanje na snagu izmjena Zakona o cestovnom prometu radi izmjene pristojbi za vinjete na autocestama i strukture troškova vinjete autoceste za kategorije vozila ispod 3,5 tona (M1 – osobni automobili, N1 – laka gospodarska vozila na temelju standarda UNECE-a) na temelju njihovih karakteristika u pogledu emisija CO2. Izmjenama se osigurava porezna razlika između konvencionalnih vozila i vozila s niskim emisijama ispod 50 g CO2/km i vozila s nultim emisijama tipa M1 i N1, pri čemu su vozila s nultim emisijama tih tipova izuzeta od pristojbi za vinjete za autoceste. Izmjenom se također osigurava povećanje godišnje vinjete za vozila kategorije M1 i N1 s konvencionalnim gorivom za najmanje 50 % u odnosu na polaznu vrijednost za 2022.</w:t>
            </w:r>
          </w:p>
        </w:tc>
      </w:tr>
      <w:tr w:rsidR="00615E2D" w14:paraId="498CE1FB" w14:textId="77777777">
        <w:trPr>
          <w:trHeight w:val="309"/>
          <w:jc w:val="center"/>
        </w:trPr>
        <w:tc>
          <w:tcPr>
            <w:tcW w:w="664" w:type="dxa"/>
            <w:tcBorders>
              <w:top w:val="single" w:sz="4" w:space="0" w:color="auto"/>
              <w:left w:val="single" w:sz="4" w:space="0" w:color="auto"/>
              <w:bottom w:val="single" w:sz="4" w:space="0" w:color="auto"/>
              <w:right w:val="single" w:sz="4" w:space="0" w:color="auto"/>
            </w:tcBorders>
            <w:shd w:val="clear" w:color="auto" w:fill="C6EFCE"/>
            <w:vAlign w:val="center"/>
          </w:tcPr>
          <w:p w14:paraId="697C2BF2" w14:textId="66C3D805" w:rsidR="00615E2D" w:rsidRDefault="00C83E46">
            <w:pPr>
              <w:pStyle w:val="P68B1DB1-Normal15"/>
              <w:spacing w:before="0" w:after="0" w:line="240" w:lineRule="auto"/>
              <w:jc w:val="center"/>
              <w:rPr>
                <w:noProof/>
              </w:rPr>
            </w:pPr>
            <w:r>
              <w:rPr>
                <w:noProof/>
              </w:rPr>
              <w:t>338</w:t>
            </w:r>
          </w:p>
        </w:tc>
        <w:tc>
          <w:tcPr>
            <w:tcW w:w="1657" w:type="dxa"/>
            <w:tcBorders>
              <w:top w:val="single" w:sz="4" w:space="0" w:color="auto"/>
              <w:left w:val="single" w:sz="4" w:space="0" w:color="auto"/>
              <w:bottom w:val="single" w:sz="4" w:space="0" w:color="auto"/>
              <w:right w:val="single" w:sz="4" w:space="0" w:color="auto"/>
            </w:tcBorders>
            <w:shd w:val="clear" w:color="auto" w:fill="C6EFCE"/>
            <w:vAlign w:val="center"/>
          </w:tcPr>
          <w:p w14:paraId="5BAEE12B" w14:textId="64F503AE" w:rsidR="00615E2D" w:rsidRDefault="00C83E46">
            <w:pPr>
              <w:pStyle w:val="P68B1DB1-Normal15"/>
              <w:spacing w:before="0" w:after="0" w:line="240" w:lineRule="auto"/>
              <w:rPr>
                <w:noProof/>
              </w:rPr>
            </w:pPr>
            <w:r>
              <w:rPr>
                <w:noProof/>
              </w:rPr>
              <w:t>Ulaganje 1: Proširena mjera: Potpore za kupnju vozila – vozila (električna vozila, H2, bicikli) za privatna poduzeća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F010AEE" w14:textId="6C65AF30" w:rsidR="00615E2D" w:rsidRDefault="00C83E46">
            <w:pPr>
              <w:pStyle w:val="P68B1DB1-Normal15"/>
              <w:spacing w:before="0" w:after="0" w:line="240" w:lineRule="auto"/>
              <w:rPr>
                <w:noProof/>
              </w:rPr>
            </w:pPr>
            <w:r>
              <w:rPr>
                <w:noProof/>
              </w:rPr>
              <w:t>Ciljna</w:t>
            </w:r>
          </w:p>
        </w:tc>
        <w:tc>
          <w:tcPr>
            <w:tcW w:w="1576" w:type="dxa"/>
            <w:tcBorders>
              <w:top w:val="single" w:sz="4" w:space="0" w:color="auto"/>
              <w:left w:val="single" w:sz="4" w:space="0" w:color="auto"/>
              <w:bottom w:val="single" w:sz="4" w:space="0" w:color="auto"/>
              <w:right w:val="single" w:sz="4" w:space="0" w:color="auto"/>
            </w:tcBorders>
            <w:shd w:val="clear" w:color="auto" w:fill="C6EFCE"/>
            <w:vAlign w:val="center"/>
          </w:tcPr>
          <w:p w14:paraId="460D4445" w14:textId="1ED7BC48" w:rsidR="00615E2D" w:rsidRDefault="00C83E46">
            <w:pPr>
              <w:pStyle w:val="P68B1DB1-Normal15"/>
              <w:spacing w:before="0" w:after="0" w:line="240" w:lineRule="auto"/>
              <w:rPr>
                <w:noProof/>
              </w:rPr>
            </w:pPr>
            <w:r>
              <w:rPr>
                <w:noProof/>
              </w:rPr>
              <w:t>Povećanje cilja br. 119 iz komponente 2.4.</w:t>
            </w:r>
          </w:p>
        </w:tc>
        <w:tc>
          <w:tcPr>
            <w:tcW w:w="1493" w:type="dxa"/>
            <w:tcBorders>
              <w:top w:val="single" w:sz="4" w:space="0" w:color="auto"/>
              <w:left w:val="single" w:sz="4" w:space="0" w:color="auto"/>
              <w:bottom w:val="single" w:sz="4" w:space="0" w:color="auto"/>
              <w:right w:val="single" w:sz="4" w:space="0" w:color="auto"/>
            </w:tcBorders>
            <w:shd w:val="clear" w:color="auto" w:fill="C6EFCE"/>
            <w:vAlign w:val="center"/>
          </w:tcPr>
          <w:p w14:paraId="0600F5EB" w14:textId="77777777" w:rsidR="00615E2D" w:rsidRDefault="00615E2D">
            <w:pPr>
              <w:spacing w:before="0" w:after="0" w:line="240" w:lineRule="auto"/>
              <w:rPr>
                <w:rFonts w:eastAsia="Times New Roman"/>
                <w:noProof/>
                <w:color w:val="004300"/>
                <w:sz w:val="18"/>
              </w:rPr>
            </w:pPr>
          </w:p>
        </w:tc>
        <w:tc>
          <w:tcPr>
            <w:tcW w:w="1010" w:type="dxa"/>
            <w:tcBorders>
              <w:top w:val="single" w:sz="4" w:space="0" w:color="auto"/>
              <w:left w:val="single" w:sz="4" w:space="0" w:color="auto"/>
              <w:bottom w:val="single" w:sz="4" w:space="0" w:color="auto"/>
              <w:right w:val="single" w:sz="4" w:space="0" w:color="auto"/>
            </w:tcBorders>
            <w:shd w:val="clear" w:color="auto" w:fill="C6EFCE"/>
            <w:vAlign w:val="center"/>
          </w:tcPr>
          <w:p w14:paraId="6DE6EC98" w14:textId="555ECC1B" w:rsidR="00615E2D" w:rsidRDefault="00C83E46">
            <w:pPr>
              <w:pStyle w:val="P68B1DB1-Normal15"/>
              <w:spacing w:before="0" w:after="0" w:line="240" w:lineRule="auto"/>
              <w:rPr>
                <w:noProof/>
              </w:rPr>
            </w:pPr>
            <w:r>
              <w:rPr>
                <w:noProof/>
              </w:rPr>
              <w:t xml:space="preserve">Povećanje broja </w:t>
            </w: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4F0F7436" w14:textId="30C8F942" w:rsidR="00615E2D" w:rsidRDefault="00C83E46">
            <w:pPr>
              <w:pStyle w:val="P68B1DB1-Normal15"/>
              <w:spacing w:before="0" w:after="0" w:line="240" w:lineRule="auto"/>
              <w:jc w:val="center"/>
              <w:rPr>
                <w:noProof/>
              </w:rPr>
            </w:pPr>
            <w:r>
              <w:rPr>
                <w:noProof/>
              </w:rPr>
              <w:t>2670</w:t>
            </w:r>
          </w:p>
        </w:tc>
        <w:tc>
          <w:tcPr>
            <w:tcW w:w="1005" w:type="dxa"/>
            <w:tcBorders>
              <w:top w:val="single" w:sz="4" w:space="0" w:color="auto"/>
              <w:left w:val="single" w:sz="4" w:space="0" w:color="auto"/>
              <w:bottom w:val="single" w:sz="4" w:space="0" w:color="auto"/>
              <w:right w:val="single" w:sz="4" w:space="0" w:color="auto"/>
            </w:tcBorders>
            <w:shd w:val="clear" w:color="auto" w:fill="C6EFCE"/>
            <w:vAlign w:val="center"/>
          </w:tcPr>
          <w:p w14:paraId="1EEA1229" w14:textId="290F1D76" w:rsidR="00615E2D" w:rsidRDefault="00C83E46">
            <w:pPr>
              <w:pStyle w:val="P68B1DB1-Normal15"/>
              <w:spacing w:before="0" w:after="0" w:line="240" w:lineRule="auto"/>
              <w:jc w:val="center"/>
              <w:rPr>
                <w:noProof/>
              </w:rPr>
            </w:pPr>
            <w:r>
              <w:rPr>
                <w:noProof/>
              </w:rPr>
              <w:t>4555</w:t>
            </w:r>
          </w:p>
        </w:tc>
        <w:tc>
          <w:tcPr>
            <w:tcW w:w="1021" w:type="dxa"/>
            <w:tcBorders>
              <w:top w:val="single" w:sz="4" w:space="0" w:color="auto"/>
              <w:left w:val="single" w:sz="4" w:space="0" w:color="auto"/>
              <w:bottom w:val="single" w:sz="4" w:space="0" w:color="auto"/>
              <w:right w:val="single" w:sz="4" w:space="0" w:color="auto"/>
            </w:tcBorders>
            <w:shd w:val="clear" w:color="auto" w:fill="C6EFCE"/>
            <w:vAlign w:val="center"/>
          </w:tcPr>
          <w:p w14:paraId="14C780DE" w14:textId="43EA1275" w:rsidR="00615E2D" w:rsidRDefault="00C83E46">
            <w:pPr>
              <w:pStyle w:val="P68B1DB1-Normal15"/>
              <w:spacing w:before="0" w:after="0" w:line="240" w:lineRule="auto"/>
              <w:jc w:val="center"/>
              <w:rPr>
                <w:noProof/>
              </w:rPr>
            </w:pPr>
            <w:r>
              <w:rPr>
                <w:noProof/>
              </w:rPr>
              <w:t xml:space="preserve">ČETVRTO TROMJESEČJE </w:t>
            </w:r>
          </w:p>
        </w:tc>
        <w:tc>
          <w:tcPr>
            <w:tcW w:w="668" w:type="dxa"/>
            <w:tcBorders>
              <w:top w:val="single" w:sz="4" w:space="0" w:color="auto"/>
              <w:left w:val="single" w:sz="4" w:space="0" w:color="auto"/>
              <w:bottom w:val="single" w:sz="4" w:space="0" w:color="auto"/>
              <w:right w:val="single" w:sz="4" w:space="0" w:color="auto"/>
            </w:tcBorders>
            <w:shd w:val="clear" w:color="auto" w:fill="C6EFCE"/>
            <w:vAlign w:val="center"/>
          </w:tcPr>
          <w:p w14:paraId="44A7938C" w14:textId="05D2DD23" w:rsidR="00615E2D" w:rsidRDefault="00C83E46">
            <w:pPr>
              <w:pStyle w:val="P68B1DB1-Normal15"/>
              <w:spacing w:before="0" w:after="0" w:line="240" w:lineRule="auto"/>
              <w:jc w:val="center"/>
              <w:rPr>
                <w:noProof/>
              </w:rPr>
            </w:pPr>
            <w:r>
              <w:rPr>
                <w:noProof/>
              </w:rPr>
              <w:t>2025</w:t>
            </w:r>
          </w:p>
        </w:tc>
        <w:tc>
          <w:tcPr>
            <w:tcW w:w="4217" w:type="dxa"/>
            <w:tcBorders>
              <w:top w:val="single" w:sz="4" w:space="0" w:color="auto"/>
              <w:left w:val="single" w:sz="4" w:space="0" w:color="auto"/>
              <w:bottom w:val="single" w:sz="4" w:space="0" w:color="auto"/>
              <w:right w:val="single" w:sz="4" w:space="0" w:color="auto"/>
            </w:tcBorders>
            <w:shd w:val="clear" w:color="auto" w:fill="C6EFCE"/>
            <w:vAlign w:val="center"/>
          </w:tcPr>
          <w:p w14:paraId="6BD445F6" w14:textId="13FEB4C2" w:rsidR="00615E2D" w:rsidRDefault="00C83E46">
            <w:pPr>
              <w:pStyle w:val="P68B1DB1-Normal15"/>
              <w:pageBreakBefore/>
              <w:shd w:val="clear" w:color="auto" w:fill="C6EFCE"/>
              <w:spacing w:after="0" w:line="240" w:lineRule="auto"/>
              <w:jc w:val="both"/>
              <w:textAlignment w:val="baseline"/>
              <w:rPr>
                <w:noProof/>
              </w:rPr>
            </w:pPr>
            <w:r>
              <w:rPr>
                <w:noProof/>
              </w:rPr>
              <w:t>Povećanje broja vozila s nultim emisijama za 1885 dodatnih jedinica, što dovodi do ukupno 4555 novih vozila, od čega 4055 vozila s nultim emisijama (automobili i kombi) i 500 novih teretnih e-bicikala.</w:t>
            </w:r>
          </w:p>
        </w:tc>
      </w:tr>
    </w:tbl>
    <w:p w14:paraId="2EB3144F" w14:textId="77777777" w:rsidR="00615E2D" w:rsidRDefault="00615E2D">
      <w:pPr>
        <w:keepNext/>
        <w:pBdr>
          <w:top w:val="nil"/>
          <w:left w:val="nil"/>
          <w:bottom w:val="nil"/>
          <w:right w:val="nil"/>
          <w:between w:val="nil"/>
        </w:pBdr>
        <w:tabs>
          <w:tab w:val="left" w:pos="993"/>
        </w:tabs>
        <w:spacing w:line="240" w:lineRule="auto"/>
        <w:jc w:val="both"/>
        <w:rPr>
          <w:rFonts w:eastAsia="Times New Roman"/>
          <w:b/>
          <w:noProof/>
          <w:color w:val="000000" w:themeColor="text1"/>
          <w:u w:val="single"/>
        </w:rPr>
        <w:sectPr w:rsidR="00615E2D" w:rsidSect="003F264F">
          <w:headerReference w:type="even" r:id="rId492"/>
          <w:headerReference w:type="default" r:id="rId493"/>
          <w:footerReference w:type="even" r:id="rId494"/>
          <w:footerReference w:type="default" r:id="rId495"/>
          <w:headerReference w:type="first" r:id="rId496"/>
          <w:footerReference w:type="first" r:id="rId497"/>
          <w:pgSz w:w="16839" w:h="11907" w:orient="landscape"/>
          <w:pgMar w:top="1134" w:right="1134" w:bottom="1134" w:left="1134" w:header="567" w:footer="567" w:gutter="0"/>
          <w:cols w:space="720"/>
          <w:docGrid w:linePitch="360"/>
        </w:sectPr>
      </w:pPr>
    </w:p>
    <w:p w14:paraId="5C401099" w14:textId="14F04ECF" w:rsidR="00615E2D" w:rsidRDefault="00C83E46">
      <w:pPr>
        <w:pStyle w:val="P68B1DB1-Normal7"/>
        <w:keepNext/>
        <w:tabs>
          <w:tab w:val="left" w:pos="850"/>
        </w:tabs>
        <w:spacing w:line="240" w:lineRule="auto"/>
        <w:jc w:val="both"/>
        <w:outlineLvl w:val="0"/>
        <w:rPr>
          <w:caps/>
          <w:noProof/>
        </w:rPr>
      </w:pPr>
      <w:r>
        <w:rPr>
          <w:caps/>
          <w:noProof/>
        </w:rPr>
        <w:t>JJ. Sastavnica 7.6</w:t>
      </w:r>
      <w:r>
        <w:rPr>
          <w:smallCaps/>
          <w:noProof/>
        </w:rPr>
        <w:t>. Elektrifikacija željezničkog TRANSPORT-a (REPowerEU)</w:t>
      </w:r>
    </w:p>
    <w:p w14:paraId="02008DDB" w14:textId="2C30A1A1" w:rsidR="00615E2D" w:rsidRDefault="00C83E46">
      <w:pPr>
        <w:pStyle w:val="P68B1DB1-Normal3"/>
        <w:pBdr>
          <w:top w:val="nil"/>
          <w:left w:val="nil"/>
          <w:bottom w:val="nil"/>
          <w:right w:val="nil"/>
          <w:between w:val="nil"/>
        </w:pBdr>
        <w:tabs>
          <w:tab w:val="left" w:pos="993"/>
        </w:tabs>
        <w:spacing w:line="240" w:lineRule="auto"/>
        <w:jc w:val="both"/>
        <w:rPr>
          <w:noProof/>
          <w:shd w:val="clear" w:color="auto" w:fill="E6E6E6"/>
        </w:rPr>
      </w:pPr>
      <w:r>
        <w:rPr>
          <w:noProof/>
        </w:rPr>
        <w:t>Ta komponenta češkog plana za oporavak i otpornost usmjerena je na aktualnu potrebu za prelaskom europskog prometnog sektora na održivije načine prijevoza, posebno promicanjem prelaska na željeznički prijevoz.</w:t>
      </w:r>
    </w:p>
    <w:p w14:paraId="60149148" w14:textId="63D4A839" w:rsidR="00615E2D" w:rsidRDefault="00C83E46">
      <w:pPr>
        <w:pStyle w:val="P68B1DB1-Normal3"/>
        <w:pBdr>
          <w:top w:val="nil"/>
          <w:left w:val="nil"/>
          <w:bottom w:val="nil"/>
          <w:right w:val="nil"/>
          <w:between w:val="nil"/>
        </w:pBdr>
        <w:tabs>
          <w:tab w:val="left" w:pos="993"/>
        </w:tabs>
        <w:spacing w:line="240" w:lineRule="auto"/>
        <w:jc w:val="both"/>
        <w:rPr>
          <w:noProof/>
        </w:rPr>
      </w:pPr>
      <w:r>
        <w:rPr>
          <w:noProof/>
        </w:rPr>
        <w:t>Cilj je komponente povećati elektrifikaciju</w:t>
      </w:r>
      <w:r>
        <w:rPr>
          <w:noProof/>
          <w:shd w:val="clear" w:color="auto" w:fill="E6E6E6"/>
        </w:rPr>
        <w:t xml:space="preserve"> </w:t>
      </w:r>
      <w:r>
        <w:rPr>
          <w:noProof/>
        </w:rPr>
        <w:t>čeških željezničkih mreža i namijenjena je modernizaciji čeških željezničkih mreža.</w:t>
      </w:r>
    </w:p>
    <w:p w14:paraId="444149E4" w14:textId="15487002" w:rsidR="00615E2D" w:rsidRDefault="00C83E46">
      <w:pPr>
        <w:pStyle w:val="P68B1DB1-Normal3"/>
        <w:pBdr>
          <w:top w:val="nil"/>
          <w:left w:val="nil"/>
          <w:bottom w:val="nil"/>
          <w:right w:val="nil"/>
          <w:between w:val="nil"/>
        </w:pBdr>
        <w:tabs>
          <w:tab w:val="left" w:pos="993"/>
        </w:tabs>
        <w:spacing w:line="240" w:lineRule="auto"/>
        <w:jc w:val="both"/>
        <w:rPr>
          <w:noProof/>
        </w:rPr>
      </w:pPr>
      <w:r>
        <w:rPr>
          <w:noProof/>
        </w:rPr>
        <w:t>Komponenta je povezana s provedbom preporuke za pojedinu zemlju za 2022., posebno nastojanjem da se smanji uporaba fosilnih goriva u češkom prometnom sustavu.</w:t>
      </w:r>
    </w:p>
    <w:p w14:paraId="7EEEF933" w14:textId="77777777" w:rsidR="00615E2D" w:rsidRDefault="00615E2D">
      <w:pPr>
        <w:pBdr>
          <w:top w:val="nil"/>
          <w:left w:val="nil"/>
          <w:bottom w:val="nil"/>
          <w:right w:val="nil"/>
          <w:between w:val="nil"/>
        </w:pBdr>
        <w:tabs>
          <w:tab w:val="left" w:pos="993"/>
        </w:tabs>
        <w:spacing w:line="240" w:lineRule="auto"/>
        <w:jc w:val="both"/>
        <w:rPr>
          <w:rFonts w:eastAsia="Times New Roman"/>
          <w:noProof/>
        </w:rPr>
      </w:pPr>
    </w:p>
    <w:p w14:paraId="58E1B4C2" w14:textId="102F607E" w:rsidR="00615E2D" w:rsidRDefault="00C83E46">
      <w:pPr>
        <w:pStyle w:val="P68B1DB1-Normal5"/>
        <w:spacing w:before="0" w:after="200" w:line="276" w:lineRule="auto"/>
        <w:jc w:val="both"/>
        <w:rPr>
          <w:noProof/>
          <w:shd w:val="clear" w:color="auto" w:fill="E6E6E6"/>
        </w:rPr>
      </w:pPr>
      <w:r>
        <w:rPr>
          <w:noProof/>
        </w:rPr>
        <w:t>JJ.1 Opis ulaganja za bespovratnu financijsku potporu</w:t>
      </w:r>
      <w:r>
        <w:rPr>
          <w:noProof/>
          <w:shd w:val="clear" w:color="auto" w:fill="E6E6E6"/>
        </w:rPr>
        <w:t xml:space="preserve"> </w:t>
      </w:r>
    </w:p>
    <w:p w14:paraId="0F696455" w14:textId="039D531D" w:rsidR="00615E2D" w:rsidRDefault="00C83E46">
      <w:pPr>
        <w:pStyle w:val="P68B1DB1-Normal7"/>
        <w:spacing w:before="0" w:after="200" w:line="276" w:lineRule="auto"/>
        <w:jc w:val="both"/>
        <w:rPr>
          <w:noProof/>
        </w:rPr>
      </w:pPr>
      <w:r>
        <w:rPr>
          <w:noProof/>
        </w:rPr>
        <w:t>Ulaganje 1: Elektrifikacija u regiji Brno</w:t>
      </w:r>
    </w:p>
    <w:p w14:paraId="593ACFE4" w14:textId="7D5FF4AE" w:rsidR="00615E2D" w:rsidRDefault="00C83E46">
      <w:pPr>
        <w:spacing w:before="0" w:after="200" w:line="276" w:lineRule="auto"/>
        <w:jc w:val="both"/>
        <w:rPr>
          <w:noProof/>
        </w:rPr>
      </w:pPr>
      <w:r>
        <w:rPr>
          <w:noProof/>
        </w:rPr>
        <w:t>Cilj je ulaganja dovršiti elektrifikaciju</w:t>
      </w:r>
      <w:r>
        <w:rPr>
          <w:noProof/>
          <w:shd w:val="clear" w:color="auto" w:fill="E6E6E6"/>
        </w:rPr>
        <w:t xml:space="preserve"> </w:t>
      </w:r>
      <w:r>
        <w:rPr>
          <w:noProof/>
        </w:rPr>
        <w:t>određenog projekta u regiji Brno, čime se smanjuje ovisnost o fosilnim gorivima u lokalnom prometnom sustavu. Rezultat ulaganja je dovršetak projekta „Electrification Brno-Zastávka u Brna, faza 2.” u trajanju od 9,98 km.</w:t>
      </w:r>
    </w:p>
    <w:p w14:paraId="40F49FF0" w14:textId="1565E470" w:rsidR="00615E2D" w:rsidRDefault="00C83E46">
      <w:pPr>
        <w:spacing w:before="0" w:after="200" w:line="276" w:lineRule="auto"/>
        <w:jc w:val="both"/>
        <w:rPr>
          <w:noProof/>
        </w:rPr>
        <w:sectPr w:rsidR="00615E2D" w:rsidSect="003F264F">
          <w:headerReference w:type="even" r:id="rId498"/>
          <w:headerReference w:type="default" r:id="rId499"/>
          <w:footerReference w:type="even" r:id="rId500"/>
          <w:footerReference w:type="default" r:id="rId501"/>
          <w:headerReference w:type="first" r:id="rId502"/>
          <w:footerReference w:type="first" r:id="rId503"/>
          <w:pgSz w:w="11907" w:h="16839" w:code="9"/>
          <w:pgMar w:top="1134" w:right="1134" w:bottom="1134" w:left="1134" w:header="567" w:footer="567" w:gutter="0"/>
          <w:cols w:space="720"/>
          <w:docGrid w:linePitch="360"/>
        </w:sectPr>
      </w:pPr>
      <w:r>
        <w:rPr>
          <w:noProof/>
        </w:rPr>
        <w:t>Provedba ulaganja mora biti dovršena do 30. lipnja 2026.</w:t>
      </w:r>
    </w:p>
    <w:p w14:paraId="79E13ABE" w14:textId="351D615B" w:rsidR="00615E2D" w:rsidRDefault="00C83E46">
      <w:pPr>
        <w:pStyle w:val="P68B1DB1-Normal32"/>
        <w:pBdr>
          <w:top w:val="nil"/>
          <w:left w:val="nil"/>
          <w:bottom w:val="nil"/>
          <w:right w:val="nil"/>
          <w:between w:val="nil"/>
        </w:pBdr>
        <w:tabs>
          <w:tab w:val="left" w:pos="993"/>
        </w:tabs>
        <w:spacing w:line="240" w:lineRule="auto"/>
        <w:jc w:val="both"/>
        <w:rPr>
          <w:noProof/>
          <w:color w:val="000000" w:themeColor="text1"/>
        </w:rPr>
      </w:pPr>
      <w:r>
        <w:rPr>
          <w:noProof/>
        </w:rPr>
        <w:t xml:space="preserve">J.2. Ključne etape, ciljne vrijednosti i vremenski raspored za praćenje i provedbu </w:t>
      </w:r>
      <w:r>
        <w:rPr>
          <w:noProof/>
          <w:color w:val="000000" w:themeColor="text1"/>
        </w:rPr>
        <w:t>programa bespovratne financijske potpore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9"/>
        <w:gridCol w:w="1570"/>
        <w:gridCol w:w="1099"/>
        <w:gridCol w:w="1495"/>
        <w:gridCol w:w="1738"/>
        <w:gridCol w:w="958"/>
        <w:gridCol w:w="958"/>
        <w:gridCol w:w="958"/>
        <w:gridCol w:w="990"/>
        <w:gridCol w:w="641"/>
        <w:gridCol w:w="3975"/>
      </w:tblGrid>
      <w:tr w:rsidR="00615E2D" w14:paraId="14BC584F" w14:textId="77777777">
        <w:trPr>
          <w:trHeight w:val="672"/>
          <w:tblHeader/>
          <w:jc w:val="center"/>
        </w:trPr>
        <w:tc>
          <w:tcPr>
            <w:tcW w:w="654" w:type="dxa"/>
            <w:vMerge w:val="restart"/>
            <w:shd w:val="clear" w:color="auto" w:fill="BDD7EE"/>
            <w:vAlign w:val="center"/>
            <w:hideMark/>
          </w:tcPr>
          <w:p w14:paraId="2178D80E" w14:textId="77777777" w:rsidR="00615E2D" w:rsidRDefault="00C83E46">
            <w:pPr>
              <w:pStyle w:val="P68B1DB1-Normal9"/>
              <w:spacing w:before="0" w:after="0" w:line="240" w:lineRule="auto"/>
              <w:jc w:val="center"/>
              <w:rPr>
                <w:noProof/>
              </w:rPr>
            </w:pPr>
            <w:r>
              <w:rPr>
                <w:noProof/>
              </w:rPr>
              <w:t>Sljedeće NUM.</w:t>
            </w:r>
          </w:p>
        </w:tc>
        <w:tc>
          <w:tcPr>
            <w:tcW w:w="1625" w:type="dxa"/>
            <w:vMerge w:val="restart"/>
            <w:shd w:val="clear" w:color="auto" w:fill="BDD7EE"/>
            <w:vAlign w:val="center"/>
            <w:hideMark/>
          </w:tcPr>
          <w:p w14:paraId="340564A2" w14:textId="77777777" w:rsidR="00615E2D" w:rsidRDefault="00C83E46">
            <w:pPr>
              <w:pStyle w:val="P68B1DB1-Normal9"/>
              <w:spacing w:before="0" w:after="0" w:line="240" w:lineRule="auto"/>
              <w:jc w:val="center"/>
              <w:rPr>
                <w:noProof/>
              </w:rPr>
            </w:pPr>
            <w:r>
              <w:rPr>
                <w:noProof/>
              </w:rPr>
              <w:t>Povezana mjera (reforma ili ulaganje)</w:t>
            </w:r>
          </w:p>
        </w:tc>
        <w:tc>
          <w:tcPr>
            <w:tcW w:w="1134" w:type="dxa"/>
            <w:vMerge w:val="restart"/>
            <w:shd w:val="clear" w:color="auto" w:fill="BDD7EE"/>
            <w:vAlign w:val="center"/>
            <w:hideMark/>
          </w:tcPr>
          <w:p w14:paraId="4DF262A2" w14:textId="77777777" w:rsidR="00615E2D" w:rsidRDefault="00C83E46">
            <w:pPr>
              <w:pStyle w:val="P68B1DB1-Normal9"/>
              <w:spacing w:before="0" w:after="0" w:line="240" w:lineRule="auto"/>
              <w:jc w:val="center"/>
              <w:rPr>
                <w:noProof/>
              </w:rPr>
            </w:pPr>
            <w:r>
              <w:rPr>
                <w:noProof/>
              </w:rPr>
              <w:t>Ključna etapa/ciljna vrijednost</w:t>
            </w:r>
          </w:p>
        </w:tc>
        <w:tc>
          <w:tcPr>
            <w:tcW w:w="1546" w:type="dxa"/>
            <w:vMerge w:val="restart"/>
            <w:shd w:val="clear" w:color="auto" w:fill="BDD7EE"/>
            <w:vAlign w:val="center"/>
            <w:hideMark/>
          </w:tcPr>
          <w:p w14:paraId="66BEBB23" w14:textId="77777777" w:rsidR="00615E2D" w:rsidRDefault="00C83E46">
            <w:pPr>
              <w:pStyle w:val="P68B1DB1-Normal9"/>
              <w:spacing w:before="0" w:after="0" w:line="240" w:lineRule="auto"/>
              <w:jc w:val="center"/>
              <w:rPr>
                <w:noProof/>
              </w:rPr>
            </w:pPr>
            <w:r>
              <w:rPr>
                <w:noProof/>
              </w:rPr>
              <w:t>Ime</w:t>
            </w:r>
          </w:p>
        </w:tc>
        <w:tc>
          <w:tcPr>
            <w:tcW w:w="1799" w:type="dxa"/>
            <w:vMerge w:val="restart"/>
            <w:shd w:val="clear" w:color="auto" w:fill="BDD7EE"/>
            <w:vAlign w:val="center"/>
            <w:hideMark/>
          </w:tcPr>
          <w:p w14:paraId="3E1E2932" w14:textId="77777777" w:rsidR="00615E2D" w:rsidRDefault="00C83E46">
            <w:pPr>
              <w:pStyle w:val="P68B1DB1-Normal9"/>
              <w:spacing w:before="0" w:after="0" w:line="240" w:lineRule="auto"/>
              <w:jc w:val="center"/>
              <w:rPr>
                <w:noProof/>
              </w:rPr>
            </w:pPr>
            <w:r>
              <w:rPr>
                <w:noProof/>
              </w:rPr>
              <w:t xml:space="preserve">Kvalitativni pokazatelji </w:t>
            </w:r>
            <w:r>
              <w:rPr>
                <w:noProof/>
              </w:rPr>
              <w:br/>
              <w:t>(za ključne etape)</w:t>
            </w:r>
          </w:p>
        </w:tc>
        <w:tc>
          <w:tcPr>
            <w:tcW w:w="2964" w:type="dxa"/>
            <w:gridSpan w:val="3"/>
            <w:shd w:val="clear" w:color="auto" w:fill="BDD7EE"/>
            <w:vAlign w:val="center"/>
            <w:hideMark/>
          </w:tcPr>
          <w:p w14:paraId="261F4A31" w14:textId="77777777" w:rsidR="00615E2D" w:rsidRDefault="00C83E46">
            <w:pPr>
              <w:pStyle w:val="P68B1DB1-Normal9"/>
              <w:spacing w:before="0" w:after="0" w:line="240" w:lineRule="auto"/>
              <w:jc w:val="center"/>
              <w:rPr>
                <w:noProof/>
              </w:rPr>
            </w:pPr>
            <w:r>
              <w:rPr>
                <w:noProof/>
              </w:rPr>
              <w:t xml:space="preserve">Kvantitativni pokazatelji </w:t>
            </w:r>
            <w:r>
              <w:rPr>
                <w:noProof/>
              </w:rPr>
              <w:br/>
              <w:t>(za ciljeve)</w:t>
            </w:r>
          </w:p>
        </w:tc>
        <w:tc>
          <w:tcPr>
            <w:tcW w:w="1317" w:type="dxa"/>
            <w:gridSpan w:val="2"/>
            <w:shd w:val="clear" w:color="auto" w:fill="BDD7EE"/>
            <w:vAlign w:val="center"/>
            <w:hideMark/>
          </w:tcPr>
          <w:p w14:paraId="196E0A47" w14:textId="77777777" w:rsidR="00615E2D" w:rsidRDefault="00C83E46">
            <w:pPr>
              <w:pStyle w:val="P68B1DB1-Normal9"/>
              <w:spacing w:before="0" w:after="0" w:line="240" w:lineRule="auto"/>
              <w:jc w:val="center"/>
              <w:rPr>
                <w:noProof/>
              </w:rPr>
            </w:pPr>
            <w:r>
              <w:rPr>
                <w:noProof/>
              </w:rPr>
              <w:t xml:space="preserve">Okvirni vremenski okvir za dovršetak </w:t>
            </w:r>
          </w:p>
        </w:tc>
        <w:tc>
          <w:tcPr>
            <w:tcW w:w="4128" w:type="dxa"/>
            <w:vMerge w:val="restart"/>
            <w:shd w:val="clear" w:color="auto" w:fill="BDD7EE"/>
            <w:vAlign w:val="center"/>
            <w:hideMark/>
          </w:tcPr>
          <w:p w14:paraId="2D8CFC6B" w14:textId="77777777" w:rsidR="00615E2D" w:rsidRDefault="00C83E46">
            <w:pPr>
              <w:pStyle w:val="P68B1DB1-Normal9"/>
              <w:spacing w:before="0" w:after="0" w:line="240" w:lineRule="auto"/>
              <w:jc w:val="center"/>
              <w:rPr>
                <w:noProof/>
              </w:rPr>
            </w:pPr>
            <w:r>
              <w:rPr>
                <w:noProof/>
              </w:rPr>
              <w:t>Opis svake ključne etape i ciljne vrijednosti</w:t>
            </w:r>
          </w:p>
        </w:tc>
      </w:tr>
      <w:tr w:rsidR="00615E2D" w14:paraId="3EF0AC45" w14:textId="77777777">
        <w:trPr>
          <w:trHeight w:val="458"/>
          <w:tblHeader/>
          <w:jc w:val="center"/>
        </w:trPr>
        <w:tc>
          <w:tcPr>
            <w:tcW w:w="654" w:type="dxa"/>
            <w:vMerge/>
            <w:vAlign w:val="center"/>
            <w:hideMark/>
          </w:tcPr>
          <w:p w14:paraId="18949476" w14:textId="77777777" w:rsidR="00615E2D" w:rsidRDefault="00615E2D">
            <w:pPr>
              <w:spacing w:before="0" w:after="0" w:line="240" w:lineRule="auto"/>
              <w:rPr>
                <w:rFonts w:eastAsia="Times New Roman"/>
                <w:b/>
                <w:noProof/>
                <w:sz w:val="18"/>
              </w:rPr>
            </w:pPr>
          </w:p>
        </w:tc>
        <w:tc>
          <w:tcPr>
            <w:tcW w:w="1625" w:type="dxa"/>
            <w:vMerge/>
            <w:vAlign w:val="center"/>
            <w:hideMark/>
          </w:tcPr>
          <w:p w14:paraId="17102A78" w14:textId="77777777" w:rsidR="00615E2D" w:rsidRDefault="00615E2D">
            <w:pPr>
              <w:spacing w:before="0" w:after="0" w:line="240" w:lineRule="auto"/>
              <w:rPr>
                <w:rFonts w:eastAsia="Times New Roman"/>
                <w:b/>
                <w:noProof/>
                <w:sz w:val="18"/>
              </w:rPr>
            </w:pPr>
          </w:p>
        </w:tc>
        <w:tc>
          <w:tcPr>
            <w:tcW w:w="1134" w:type="dxa"/>
            <w:vMerge/>
            <w:vAlign w:val="center"/>
            <w:hideMark/>
          </w:tcPr>
          <w:p w14:paraId="6239E887" w14:textId="77777777" w:rsidR="00615E2D" w:rsidRDefault="00615E2D">
            <w:pPr>
              <w:spacing w:before="0" w:after="0" w:line="240" w:lineRule="auto"/>
              <w:rPr>
                <w:rFonts w:eastAsia="Times New Roman"/>
                <w:b/>
                <w:noProof/>
                <w:sz w:val="18"/>
              </w:rPr>
            </w:pPr>
          </w:p>
        </w:tc>
        <w:tc>
          <w:tcPr>
            <w:tcW w:w="1546" w:type="dxa"/>
            <w:vMerge/>
            <w:vAlign w:val="center"/>
            <w:hideMark/>
          </w:tcPr>
          <w:p w14:paraId="629A5FF4" w14:textId="77777777" w:rsidR="00615E2D" w:rsidRDefault="00615E2D">
            <w:pPr>
              <w:spacing w:before="0" w:after="0" w:line="240" w:lineRule="auto"/>
              <w:rPr>
                <w:rFonts w:eastAsia="Times New Roman"/>
                <w:b/>
                <w:noProof/>
                <w:sz w:val="18"/>
              </w:rPr>
            </w:pPr>
          </w:p>
        </w:tc>
        <w:tc>
          <w:tcPr>
            <w:tcW w:w="1799" w:type="dxa"/>
            <w:vMerge/>
            <w:vAlign w:val="center"/>
            <w:hideMark/>
          </w:tcPr>
          <w:p w14:paraId="575FF678" w14:textId="77777777" w:rsidR="00615E2D" w:rsidRDefault="00615E2D">
            <w:pPr>
              <w:spacing w:before="0" w:after="0" w:line="240" w:lineRule="auto"/>
              <w:rPr>
                <w:rFonts w:eastAsia="Times New Roman"/>
                <w:b/>
                <w:noProof/>
                <w:sz w:val="18"/>
              </w:rPr>
            </w:pPr>
          </w:p>
        </w:tc>
        <w:tc>
          <w:tcPr>
            <w:tcW w:w="988" w:type="dxa"/>
            <w:shd w:val="clear" w:color="auto" w:fill="BDD7EE"/>
            <w:vAlign w:val="center"/>
            <w:hideMark/>
          </w:tcPr>
          <w:p w14:paraId="177F49D7" w14:textId="77777777" w:rsidR="00615E2D" w:rsidRDefault="00C83E46">
            <w:pPr>
              <w:pStyle w:val="P68B1DB1-Normal9"/>
              <w:spacing w:before="0" w:after="0" w:line="240" w:lineRule="auto"/>
              <w:jc w:val="center"/>
              <w:rPr>
                <w:noProof/>
              </w:rPr>
            </w:pPr>
            <w:r>
              <w:rPr>
                <w:noProof/>
              </w:rPr>
              <w:t>Jedinica mjere</w:t>
            </w:r>
          </w:p>
        </w:tc>
        <w:tc>
          <w:tcPr>
            <w:tcW w:w="988" w:type="dxa"/>
            <w:shd w:val="clear" w:color="auto" w:fill="BDD7EE"/>
            <w:vAlign w:val="center"/>
            <w:hideMark/>
          </w:tcPr>
          <w:p w14:paraId="09407455" w14:textId="77777777" w:rsidR="00615E2D" w:rsidRDefault="00C83E46">
            <w:pPr>
              <w:pStyle w:val="P68B1DB1-Normal9"/>
              <w:spacing w:before="0" w:after="0" w:line="240" w:lineRule="auto"/>
              <w:jc w:val="center"/>
              <w:rPr>
                <w:noProof/>
              </w:rPr>
            </w:pPr>
            <w:r>
              <w:rPr>
                <w:noProof/>
              </w:rPr>
              <w:t xml:space="preserve">Osnovna vrijednost </w:t>
            </w:r>
          </w:p>
        </w:tc>
        <w:tc>
          <w:tcPr>
            <w:tcW w:w="988" w:type="dxa"/>
            <w:shd w:val="clear" w:color="auto" w:fill="BDD7EE"/>
            <w:vAlign w:val="center"/>
            <w:hideMark/>
          </w:tcPr>
          <w:p w14:paraId="08BB8F57" w14:textId="77777777" w:rsidR="00615E2D" w:rsidRDefault="00C83E46">
            <w:pPr>
              <w:pStyle w:val="P68B1DB1-Normal9"/>
              <w:spacing w:before="0" w:after="0" w:line="240" w:lineRule="auto"/>
              <w:jc w:val="center"/>
              <w:rPr>
                <w:noProof/>
              </w:rPr>
            </w:pPr>
            <w:r>
              <w:rPr>
                <w:noProof/>
              </w:rPr>
              <w:t xml:space="preserve">Cilj </w:t>
            </w:r>
          </w:p>
        </w:tc>
        <w:tc>
          <w:tcPr>
            <w:tcW w:w="1021" w:type="dxa"/>
            <w:shd w:val="clear" w:color="auto" w:fill="BDD7EE"/>
            <w:vAlign w:val="center"/>
            <w:hideMark/>
          </w:tcPr>
          <w:p w14:paraId="1E76A166" w14:textId="77777777" w:rsidR="00615E2D" w:rsidRDefault="00C83E46">
            <w:pPr>
              <w:pStyle w:val="P68B1DB1-Normal9"/>
              <w:spacing w:before="0" w:after="0" w:line="240" w:lineRule="auto"/>
              <w:jc w:val="center"/>
              <w:rPr>
                <w:noProof/>
              </w:rPr>
            </w:pPr>
            <w:r>
              <w:rPr>
                <w:noProof/>
              </w:rPr>
              <w:t>Tromjesečje</w:t>
            </w:r>
          </w:p>
        </w:tc>
        <w:tc>
          <w:tcPr>
            <w:tcW w:w="658" w:type="dxa"/>
            <w:shd w:val="clear" w:color="auto" w:fill="BDD7EE"/>
            <w:vAlign w:val="center"/>
            <w:hideMark/>
          </w:tcPr>
          <w:p w14:paraId="481A80A6" w14:textId="77777777" w:rsidR="00615E2D" w:rsidRDefault="00C83E46">
            <w:pPr>
              <w:pStyle w:val="P68B1DB1-Normal9"/>
              <w:spacing w:before="0" w:after="0" w:line="240" w:lineRule="auto"/>
              <w:jc w:val="center"/>
              <w:rPr>
                <w:noProof/>
              </w:rPr>
            </w:pPr>
            <w:r>
              <w:rPr>
                <w:noProof/>
              </w:rPr>
              <w:t>Godina</w:t>
            </w:r>
          </w:p>
        </w:tc>
        <w:tc>
          <w:tcPr>
            <w:tcW w:w="4128" w:type="dxa"/>
            <w:vMerge/>
            <w:vAlign w:val="center"/>
            <w:hideMark/>
          </w:tcPr>
          <w:p w14:paraId="3BC63BCB" w14:textId="77777777" w:rsidR="00615E2D" w:rsidRDefault="00615E2D">
            <w:pPr>
              <w:spacing w:before="0" w:after="0" w:line="240" w:lineRule="auto"/>
              <w:rPr>
                <w:rFonts w:eastAsia="Times New Roman"/>
                <w:b/>
                <w:noProof/>
                <w:sz w:val="18"/>
              </w:rPr>
            </w:pPr>
          </w:p>
        </w:tc>
      </w:tr>
      <w:tr w:rsidR="00615E2D" w14:paraId="55E4F5DB" w14:textId="77777777">
        <w:trPr>
          <w:trHeight w:val="309"/>
          <w:jc w:val="center"/>
        </w:trPr>
        <w:tc>
          <w:tcPr>
            <w:tcW w:w="654" w:type="dxa"/>
            <w:shd w:val="clear" w:color="auto" w:fill="C6EFCE"/>
            <w:vAlign w:val="center"/>
            <w:hideMark/>
          </w:tcPr>
          <w:p w14:paraId="320D9E85" w14:textId="72D79EB6" w:rsidR="00615E2D" w:rsidRDefault="00C83E46">
            <w:pPr>
              <w:pStyle w:val="P68B1DB1-Normal15"/>
              <w:spacing w:before="0" w:after="0" w:line="240" w:lineRule="auto"/>
              <w:jc w:val="center"/>
              <w:rPr>
                <w:noProof/>
              </w:rPr>
            </w:pPr>
            <w:r>
              <w:rPr>
                <w:noProof/>
              </w:rPr>
              <w:t>339</w:t>
            </w:r>
          </w:p>
        </w:tc>
        <w:tc>
          <w:tcPr>
            <w:tcW w:w="1625" w:type="dxa"/>
            <w:shd w:val="clear" w:color="auto" w:fill="C6EFCE"/>
            <w:vAlign w:val="center"/>
            <w:hideMark/>
          </w:tcPr>
          <w:p w14:paraId="4F872AC8" w14:textId="458A2752" w:rsidR="00615E2D" w:rsidRDefault="00C83E46">
            <w:pPr>
              <w:pStyle w:val="P68B1DB1-Normal15"/>
              <w:spacing w:before="0" w:after="0" w:line="240" w:lineRule="auto"/>
              <w:rPr>
                <w:noProof/>
              </w:rPr>
            </w:pPr>
            <w:r>
              <w:rPr>
                <w:noProof/>
              </w:rPr>
              <w:t>Ulaganje 1: Elektrifikacija regije Brno</w:t>
            </w:r>
          </w:p>
        </w:tc>
        <w:tc>
          <w:tcPr>
            <w:tcW w:w="1134" w:type="dxa"/>
            <w:shd w:val="clear" w:color="auto" w:fill="C6EFCE"/>
            <w:vAlign w:val="center"/>
            <w:hideMark/>
          </w:tcPr>
          <w:p w14:paraId="0F812C07" w14:textId="6111130A" w:rsidR="00615E2D" w:rsidRDefault="00C83E46">
            <w:pPr>
              <w:pStyle w:val="P68B1DB1-Normal15"/>
              <w:spacing w:before="0" w:after="0" w:line="240" w:lineRule="auto"/>
              <w:rPr>
                <w:noProof/>
              </w:rPr>
            </w:pPr>
            <w:r>
              <w:rPr>
                <w:noProof/>
              </w:rPr>
              <w:t>Ciljna</w:t>
            </w:r>
          </w:p>
        </w:tc>
        <w:tc>
          <w:tcPr>
            <w:tcW w:w="1546" w:type="dxa"/>
            <w:shd w:val="clear" w:color="auto" w:fill="C6EFCE"/>
            <w:vAlign w:val="center"/>
            <w:hideMark/>
          </w:tcPr>
          <w:p w14:paraId="6982B533" w14:textId="1075A290" w:rsidR="00615E2D" w:rsidRDefault="00C83E46">
            <w:pPr>
              <w:pStyle w:val="P68B1DB1-Normal15"/>
              <w:spacing w:before="0" w:after="0" w:line="240" w:lineRule="auto"/>
              <w:rPr>
                <w:noProof/>
              </w:rPr>
            </w:pPr>
            <w:r>
              <w:rPr>
                <w:noProof/>
              </w:rPr>
              <w:t>Završetak projekta elektrifikacije željeznice „elektrifikacija Brno-Zastávke u Brni, faza 2.”</w:t>
            </w:r>
          </w:p>
        </w:tc>
        <w:tc>
          <w:tcPr>
            <w:tcW w:w="1799" w:type="dxa"/>
            <w:shd w:val="clear" w:color="auto" w:fill="C6EFCE"/>
            <w:vAlign w:val="center"/>
            <w:hideMark/>
          </w:tcPr>
          <w:p w14:paraId="566E4941" w14:textId="0BEA1A73" w:rsidR="00615E2D" w:rsidRDefault="00615E2D">
            <w:pPr>
              <w:spacing w:before="0" w:after="0" w:line="240" w:lineRule="auto"/>
              <w:rPr>
                <w:rFonts w:eastAsia="Times New Roman"/>
                <w:noProof/>
                <w:color w:val="004300"/>
                <w:sz w:val="18"/>
              </w:rPr>
            </w:pPr>
          </w:p>
        </w:tc>
        <w:tc>
          <w:tcPr>
            <w:tcW w:w="988" w:type="dxa"/>
            <w:shd w:val="clear" w:color="auto" w:fill="C6EFCE"/>
            <w:vAlign w:val="center"/>
          </w:tcPr>
          <w:p w14:paraId="5FFD39BF" w14:textId="620C1411" w:rsidR="00615E2D" w:rsidRDefault="00C83E46">
            <w:pPr>
              <w:pStyle w:val="P68B1DB1-Normal15"/>
              <w:spacing w:before="0" w:after="0" w:line="240" w:lineRule="auto"/>
              <w:rPr>
                <w:noProof/>
              </w:rPr>
            </w:pPr>
            <w:r>
              <w:rPr>
                <w:noProof/>
              </w:rPr>
              <w:t>Kilometara</w:t>
            </w:r>
          </w:p>
        </w:tc>
        <w:tc>
          <w:tcPr>
            <w:tcW w:w="988" w:type="dxa"/>
            <w:shd w:val="clear" w:color="auto" w:fill="C6EFCE"/>
            <w:vAlign w:val="center"/>
          </w:tcPr>
          <w:p w14:paraId="109D4D40" w14:textId="7C5CAD30" w:rsidR="00615E2D" w:rsidRDefault="00C83E46">
            <w:pPr>
              <w:pStyle w:val="P68B1DB1-Normal15"/>
              <w:spacing w:before="0" w:after="0" w:line="240" w:lineRule="auto"/>
              <w:jc w:val="center"/>
              <w:rPr>
                <w:noProof/>
              </w:rPr>
            </w:pPr>
            <w:r>
              <w:rPr>
                <w:noProof/>
              </w:rPr>
              <w:t>0</w:t>
            </w:r>
          </w:p>
        </w:tc>
        <w:tc>
          <w:tcPr>
            <w:tcW w:w="988" w:type="dxa"/>
            <w:shd w:val="clear" w:color="auto" w:fill="C6EFCE"/>
            <w:vAlign w:val="center"/>
          </w:tcPr>
          <w:p w14:paraId="7DA94333" w14:textId="0A6D00AE" w:rsidR="00615E2D" w:rsidRDefault="00C83E46">
            <w:pPr>
              <w:pStyle w:val="P68B1DB1-Normal15"/>
              <w:spacing w:before="0" w:after="0" w:line="240" w:lineRule="auto"/>
              <w:jc w:val="center"/>
              <w:rPr>
                <w:noProof/>
              </w:rPr>
            </w:pPr>
            <w:r>
              <w:rPr>
                <w:noProof/>
              </w:rPr>
              <w:t>9.98</w:t>
            </w:r>
          </w:p>
        </w:tc>
        <w:tc>
          <w:tcPr>
            <w:tcW w:w="1021" w:type="dxa"/>
            <w:shd w:val="clear" w:color="auto" w:fill="C6EFCE"/>
            <w:vAlign w:val="center"/>
            <w:hideMark/>
          </w:tcPr>
          <w:p w14:paraId="6183E925" w14:textId="6019B7EC" w:rsidR="00615E2D" w:rsidRDefault="00C83E46">
            <w:pPr>
              <w:pStyle w:val="P68B1DB1-Normal15"/>
              <w:spacing w:before="0" w:after="0" w:line="240" w:lineRule="auto"/>
              <w:jc w:val="center"/>
              <w:rPr>
                <w:noProof/>
              </w:rPr>
            </w:pPr>
            <w:r>
              <w:rPr>
                <w:noProof/>
              </w:rPr>
              <w:t>TROMJESEČJE</w:t>
            </w:r>
          </w:p>
        </w:tc>
        <w:tc>
          <w:tcPr>
            <w:tcW w:w="658" w:type="dxa"/>
            <w:shd w:val="clear" w:color="auto" w:fill="C6EFCE"/>
            <w:vAlign w:val="center"/>
            <w:hideMark/>
          </w:tcPr>
          <w:p w14:paraId="1C9426C1" w14:textId="1E2AB6EC" w:rsidR="00615E2D" w:rsidRDefault="00C83E46">
            <w:pPr>
              <w:pStyle w:val="P68B1DB1-Normal15"/>
              <w:spacing w:before="0" w:after="0" w:line="240" w:lineRule="auto"/>
              <w:jc w:val="center"/>
              <w:rPr>
                <w:noProof/>
              </w:rPr>
            </w:pPr>
            <w:r>
              <w:rPr>
                <w:noProof/>
              </w:rPr>
              <w:t>2026</w:t>
            </w:r>
          </w:p>
        </w:tc>
        <w:tc>
          <w:tcPr>
            <w:tcW w:w="4128" w:type="dxa"/>
            <w:shd w:val="clear" w:color="auto" w:fill="C6EFCE"/>
            <w:vAlign w:val="center"/>
            <w:hideMark/>
          </w:tcPr>
          <w:p w14:paraId="7A9F8CAE" w14:textId="62544A49" w:rsidR="00615E2D" w:rsidRDefault="00C83E46">
            <w:pPr>
              <w:pStyle w:val="P68B1DB1-Normal15"/>
              <w:spacing w:before="0" w:after="0" w:line="240" w:lineRule="auto"/>
              <w:rPr>
                <w:noProof/>
              </w:rPr>
            </w:pPr>
            <w:r>
              <w:rPr>
                <w:noProof/>
              </w:rPr>
              <w:t>Završetak projekta elektrifikacije Brno Zastávka u Brni, faza 2. Rezultat projekta je ukupno 9,98 kilometara elektrificirane željezničke pruge.</w:t>
            </w:r>
          </w:p>
        </w:tc>
      </w:tr>
    </w:tbl>
    <w:p w14:paraId="7DE9364B" w14:textId="77777777" w:rsidR="00615E2D" w:rsidRDefault="00615E2D">
      <w:pPr>
        <w:pBdr>
          <w:top w:val="nil"/>
          <w:left w:val="nil"/>
          <w:bottom w:val="nil"/>
          <w:right w:val="nil"/>
          <w:between w:val="nil"/>
        </w:pBdr>
        <w:tabs>
          <w:tab w:val="left" w:pos="993"/>
        </w:tabs>
        <w:spacing w:line="240" w:lineRule="auto"/>
        <w:jc w:val="both"/>
        <w:rPr>
          <w:rFonts w:eastAsia="Times New Roman"/>
          <w:b/>
          <w:noProof/>
          <w:color w:val="000000" w:themeColor="text1"/>
          <w:u w:val="single"/>
        </w:rPr>
      </w:pPr>
    </w:p>
    <w:p w14:paraId="089776CB" w14:textId="77777777" w:rsidR="00615E2D" w:rsidRDefault="00615E2D">
      <w:pPr>
        <w:pBdr>
          <w:top w:val="nil"/>
          <w:left w:val="nil"/>
          <w:bottom w:val="nil"/>
          <w:right w:val="nil"/>
          <w:between w:val="nil"/>
        </w:pBdr>
        <w:tabs>
          <w:tab w:val="left" w:pos="993"/>
        </w:tabs>
        <w:spacing w:line="240" w:lineRule="auto"/>
        <w:jc w:val="both"/>
        <w:rPr>
          <w:rFonts w:eastAsia="Times New Roman"/>
          <w:b/>
          <w:noProof/>
          <w:color w:val="000000" w:themeColor="text1"/>
          <w:u w:val="single"/>
        </w:rPr>
      </w:pPr>
    </w:p>
    <w:p w14:paraId="54722B82" w14:textId="50219B2B" w:rsidR="00615E2D" w:rsidRDefault="00615E2D">
      <w:pPr>
        <w:spacing w:before="0" w:after="0" w:line="240" w:lineRule="auto"/>
        <w:rPr>
          <w:rFonts w:eastAsia="Times New Roman"/>
          <w:b/>
          <w:noProof/>
          <w:color w:val="000000" w:themeColor="text1"/>
        </w:rPr>
        <w:sectPr w:rsidR="00615E2D" w:rsidSect="003F264F">
          <w:headerReference w:type="even" r:id="rId504"/>
          <w:headerReference w:type="default" r:id="rId505"/>
          <w:footerReference w:type="even" r:id="rId506"/>
          <w:footerReference w:type="default" r:id="rId507"/>
          <w:headerReference w:type="first" r:id="rId508"/>
          <w:footerReference w:type="first" r:id="rId509"/>
          <w:pgSz w:w="16839" w:h="11907" w:orient="landscape" w:code="9"/>
          <w:pgMar w:top="1134" w:right="1134" w:bottom="1134" w:left="1134" w:header="567" w:footer="567" w:gutter="0"/>
          <w:cols w:space="720"/>
          <w:docGrid w:linePitch="360"/>
        </w:sectPr>
      </w:pPr>
    </w:p>
    <w:p w14:paraId="34BD6B11" w14:textId="20164AE8" w:rsidR="00615E2D" w:rsidRDefault="00C83E46">
      <w:pPr>
        <w:pStyle w:val="P68B1DB1-Normal7"/>
        <w:keepNext/>
        <w:tabs>
          <w:tab w:val="left" w:pos="850"/>
        </w:tabs>
        <w:spacing w:line="240" w:lineRule="auto"/>
        <w:jc w:val="both"/>
        <w:outlineLvl w:val="0"/>
        <w:rPr>
          <w:smallCaps/>
          <w:noProof/>
        </w:rPr>
      </w:pPr>
      <w:r>
        <w:rPr>
          <w:caps/>
          <w:noProof/>
        </w:rPr>
        <w:t>KK. Sastavnica 7.7.</w:t>
      </w:r>
      <w:r>
        <w:rPr>
          <w:smallCaps/>
          <w:noProof/>
        </w:rPr>
        <w:t xml:space="preserve"> Pojednostavnjenje postupaka izdavanja okolišnih dozvola i definiranje područja za razvoj obnovljivih izvora energije (REPOWER EU)</w:t>
      </w:r>
    </w:p>
    <w:p w14:paraId="38132943" w14:textId="42F56010"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Cilj je komponente pojednostavniti postupak izdavanja okolišnih dozvola za projekte u području energije iz obnovljivih izvora i ubrzati uvođenje obnovljivih izvora energije stvaranjem posebnih područja u kojima se pojednostavnjuju i pojednostavnjuju administrativni postupci i postupci izdavanja dozvola.</w:t>
      </w:r>
    </w:p>
    <w:p w14:paraId="69D7D0B9" w14:textId="1A8C6BC8" w:rsidR="00615E2D" w:rsidRDefault="00C83E46">
      <w:pPr>
        <w:pStyle w:val="P68B1DB1-Normal4"/>
        <w:pBdr>
          <w:top w:val="nil"/>
          <w:left w:val="nil"/>
          <w:bottom w:val="nil"/>
          <w:right w:val="nil"/>
          <w:between w:val="nil"/>
        </w:pBdr>
        <w:tabs>
          <w:tab w:val="left" w:pos="993"/>
        </w:tabs>
        <w:spacing w:line="240" w:lineRule="auto"/>
        <w:jc w:val="both"/>
        <w:rPr>
          <w:noProof/>
          <w:color w:val="000000" w:themeColor="text1"/>
        </w:rPr>
      </w:pPr>
      <w:r>
        <w:rPr>
          <w:noProof/>
        </w:rPr>
        <w:t>Komponentom se podupire odgovor na preporuku za pojedinu zemlju da se smanji ukupna ovisnost o fosilnim gorivima i njihova potrošnja ubrzavanjem uvođenja obnovljivih izvora energije, među ostalim daljnjim pojednostavnjenjem postupaka izdavanja dozvola i olakšavanjem pristupa mreži (CSR 4, 2022.).</w:t>
      </w:r>
    </w:p>
    <w:p w14:paraId="5DE04F5D" w14:textId="77777777" w:rsidR="00615E2D" w:rsidRDefault="00615E2D">
      <w:pPr>
        <w:pBdr>
          <w:top w:val="nil"/>
          <w:left w:val="nil"/>
          <w:bottom w:val="nil"/>
          <w:right w:val="nil"/>
          <w:between w:val="nil"/>
        </w:pBdr>
        <w:tabs>
          <w:tab w:val="left" w:pos="993"/>
        </w:tabs>
        <w:spacing w:line="240" w:lineRule="auto"/>
        <w:jc w:val="both"/>
        <w:rPr>
          <w:rFonts w:eastAsia="Times New Roman"/>
          <w:noProof/>
          <w:color w:val="000000" w:themeColor="text1"/>
        </w:rPr>
      </w:pPr>
    </w:p>
    <w:p w14:paraId="5B7168D6" w14:textId="48A14268" w:rsidR="00615E2D" w:rsidRDefault="00C83E46">
      <w:pPr>
        <w:pStyle w:val="P68B1DB1-Normal32"/>
        <w:spacing w:line="240" w:lineRule="auto"/>
        <w:jc w:val="both"/>
        <w:rPr>
          <w:noProof/>
        </w:rPr>
      </w:pPr>
      <w:r>
        <w:rPr>
          <w:noProof/>
        </w:rPr>
        <w:t>KK.1. Opis reformi i ulaganja za zajam</w:t>
      </w:r>
    </w:p>
    <w:p w14:paraId="1C82DF10" w14:textId="23AE5B72" w:rsidR="00615E2D" w:rsidRDefault="00C83E46">
      <w:pPr>
        <w:pStyle w:val="P68B1DB1-Normal7"/>
        <w:spacing w:line="240" w:lineRule="auto"/>
        <w:jc w:val="both"/>
        <w:rPr>
          <w:noProof/>
        </w:rPr>
      </w:pPr>
      <w:r>
        <w:rPr>
          <w:noProof/>
        </w:rPr>
        <w:t>Reforma 1.: Jedinstveno mišljenje o okolišu</w:t>
      </w:r>
    </w:p>
    <w:p w14:paraId="0DE9200D" w14:textId="5DDB1F76" w:rsidR="00615E2D" w:rsidRDefault="00C83E46">
      <w:pPr>
        <w:pStyle w:val="paragraph"/>
        <w:spacing w:before="0" w:beforeAutospacing="0" w:after="0" w:afterAutospacing="0"/>
        <w:jc w:val="both"/>
        <w:textAlignment w:val="baseline"/>
        <w:rPr>
          <w:rFonts w:ascii="Segoe UI" w:hAnsi="Segoe UI" w:cs="Segoe UI"/>
          <w:noProof/>
          <w:color w:val="000000" w:themeColor="text1"/>
        </w:rPr>
      </w:pPr>
      <w:r>
        <w:rPr>
          <w:rStyle w:val="normaltextrun"/>
          <w:noProof/>
          <w:color w:val="000000" w:themeColor="text1"/>
        </w:rPr>
        <w:t>Cilj je mjere uvesti jedinstveno mišljenje o okolišu i poduprijeti njegovu provedbu u češkoj upravi. Reformom jedinstvenog mišljenja</w:t>
      </w:r>
      <w:r>
        <w:rPr>
          <w:rStyle w:val="normaltextrun"/>
          <w:strike/>
          <w:noProof/>
          <w:color w:val="000000" w:themeColor="text1"/>
        </w:rPr>
        <w:t xml:space="preserve"> </w:t>
      </w:r>
      <w:r>
        <w:rPr>
          <w:rStyle w:val="normaltextrun"/>
          <w:noProof/>
          <w:color w:val="000000" w:themeColor="text1"/>
        </w:rPr>
        <w:t>o okolišu nastoji se pojednostavniti i racionalizirati postupak izdavanja okolišnih dozvola, među ostalim za projekte u području energije iz obnovljivih izvora, uzimajući u obzir okolišne interese očuvanja prirode i krajobraza te zahtjeve u skladu s pravom EU-a, kao i druge međunarodne pravne propise o sudjelovanju javnosti i pristupu pravosuđu u pitanjima okoliša. </w:t>
      </w:r>
    </w:p>
    <w:p w14:paraId="4CE7E882" w14:textId="53780BC3" w:rsidR="00615E2D" w:rsidRDefault="00615E2D">
      <w:pPr>
        <w:pStyle w:val="paragraph"/>
        <w:spacing w:before="0" w:beforeAutospacing="0" w:after="0" w:afterAutospacing="0"/>
        <w:jc w:val="both"/>
        <w:rPr>
          <w:rStyle w:val="eop"/>
          <w:noProof/>
          <w:color w:val="000000" w:themeColor="text1"/>
        </w:rPr>
      </w:pPr>
    </w:p>
    <w:p w14:paraId="029B5C63" w14:textId="08D03DBE" w:rsidR="00615E2D" w:rsidRDefault="00C83E46">
      <w:pPr>
        <w:pStyle w:val="paragraph"/>
        <w:spacing w:before="0" w:beforeAutospacing="0" w:after="0" w:afterAutospacing="0"/>
        <w:jc w:val="both"/>
        <w:textAlignment w:val="baseline"/>
        <w:rPr>
          <w:rFonts w:ascii="Segoe UI" w:hAnsi="Segoe UI" w:cs="Segoe UI"/>
          <w:noProof/>
          <w:color w:val="000000" w:themeColor="text1"/>
        </w:rPr>
      </w:pPr>
      <w:r>
        <w:rPr>
          <w:rStyle w:val="normaltextrun"/>
          <w:noProof/>
          <w:color w:val="000000" w:themeColor="text1"/>
        </w:rPr>
        <w:t>Reformom će se uspostaviti jedinstveni postupak koji obuhvaća različite izjave o okolišu izdane u okviru sektorskog zakonodavstva o okolišu za projekte obuhvaćene Zakonom o gradnji i, ako to zatraži podnositelj zahtjeva za projekt, i za projekte koji podliježu procjeni utjecaja na okoliš u skladu sa Zakonom o procjeni utjecaja na okoliš (br. 100/2001 zb.). Očekuje se da će reforma dovesti do kraćih postupaka procjene utjecaja na okoliš za projekte obnovljive energije, uključujući one koji su obuhvaćeni potpunim obveznim postupkom procjene ili provjere. </w:t>
      </w:r>
    </w:p>
    <w:p w14:paraId="4BDBA94B" w14:textId="0017AB3B" w:rsidR="00615E2D" w:rsidRDefault="00615E2D">
      <w:pPr>
        <w:pStyle w:val="paragraph"/>
        <w:spacing w:before="0" w:beforeAutospacing="0" w:after="0" w:afterAutospacing="0"/>
        <w:jc w:val="both"/>
        <w:rPr>
          <w:rStyle w:val="eop"/>
          <w:noProof/>
          <w:color w:val="000000" w:themeColor="text1"/>
        </w:rPr>
      </w:pPr>
    </w:p>
    <w:p w14:paraId="40DDE856" w14:textId="75536B0C" w:rsidR="00615E2D" w:rsidRDefault="00C83E46">
      <w:pPr>
        <w:pStyle w:val="paragraph"/>
        <w:spacing w:before="0" w:beforeAutospacing="0" w:after="0" w:afterAutospacing="0"/>
        <w:jc w:val="both"/>
        <w:textAlignment w:val="baseline"/>
        <w:rPr>
          <w:noProof/>
        </w:rPr>
      </w:pPr>
      <w:r>
        <w:rPr>
          <w:rStyle w:val="normaltextrun"/>
          <w:noProof/>
          <w:color w:val="000000" w:themeColor="text1"/>
        </w:rPr>
        <w:t>Potpora provedbi sastoji se od</w:t>
      </w:r>
      <w:r>
        <w:rPr>
          <w:rStyle w:val="normaltextrun"/>
          <w:strike/>
          <w:noProof/>
          <w:color w:val="000000" w:themeColor="text1"/>
        </w:rPr>
        <w:t xml:space="preserve"> </w:t>
      </w:r>
      <w:r>
        <w:rPr>
          <w:rStyle w:val="normaltextrun"/>
          <w:noProof/>
          <w:color w:val="000000" w:themeColor="text1"/>
        </w:rPr>
        <w:t>zapošljavanja dodatnog osoblja za izradu i provedbu obvezujućih metodoloških smjernica za potporu upravnim tijelima na koja utječe uvođenje jedinstvenog mišljenja o okolišu (npr. regionalna tijela, općine). Osim toga, Jedinstveno mišljenje o okolišu za projekte koji podliježu procjeni utjecaja na okoliš stavlja se na raspolaganje putem nacionalnog informacijskog sustava procjene utjecaja na okoliš/strateške procjene utjecaja na okoliš.</w:t>
      </w:r>
    </w:p>
    <w:p w14:paraId="5CF1F478" w14:textId="37528059" w:rsidR="00615E2D" w:rsidRDefault="00C83E46">
      <w:pPr>
        <w:tabs>
          <w:tab w:val="left" w:pos="993"/>
        </w:tabs>
        <w:spacing w:line="240" w:lineRule="auto"/>
        <w:jc w:val="both"/>
        <w:textAlignment w:val="baseline"/>
        <w:rPr>
          <w:noProof/>
          <w:color w:val="000000"/>
          <w:shd w:val="clear" w:color="auto" w:fill="FFFFFF"/>
        </w:rPr>
      </w:pPr>
      <w:r>
        <w:rPr>
          <w:rStyle w:val="normaltextrun"/>
          <w:noProof/>
          <w:color w:val="000000"/>
          <w:shd w:val="clear" w:color="auto" w:fill="FFFFFF"/>
        </w:rPr>
        <w:t>Mjera se provodi do prosinca 2024. </w:t>
      </w:r>
    </w:p>
    <w:p w14:paraId="1BBE3592" w14:textId="3D6343DB" w:rsidR="00615E2D" w:rsidRDefault="00C83E46">
      <w:pPr>
        <w:pStyle w:val="P68B1DB1-Normal7"/>
        <w:spacing w:line="240" w:lineRule="auto"/>
        <w:jc w:val="both"/>
        <w:rPr>
          <w:noProof/>
        </w:rPr>
      </w:pPr>
      <w:r>
        <w:rPr>
          <w:noProof/>
        </w:rPr>
        <w:t>Reforma br. 2: Područja za ubrzanje proizvodnje energije iz obnovljivih izvora</w:t>
      </w:r>
    </w:p>
    <w:p w14:paraId="6B19D25E" w14:textId="420C17CB" w:rsidR="00615E2D" w:rsidRDefault="00C83E46">
      <w:pPr>
        <w:spacing w:line="240" w:lineRule="auto"/>
        <w:jc w:val="both"/>
        <w:rPr>
          <w:noProof/>
        </w:rPr>
      </w:pPr>
      <w:r>
        <w:rPr>
          <w:noProof/>
        </w:rPr>
        <w:t xml:space="preserve">Cilj je mjere poduprijeti ubrzano uvođenje energije vjetra i solarne energije na određenim lokacijama koje se nazivaju područjima ubrzane proizvodnje energije iz obnovljivih izvora, s ukupnim kapacitetom od najmanje 2 500 MW.  </w:t>
      </w:r>
    </w:p>
    <w:p w14:paraId="58A8400E" w14:textId="2D445D76" w:rsidR="00615E2D" w:rsidRDefault="00C83E46">
      <w:pPr>
        <w:spacing w:line="240" w:lineRule="auto"/>
        <w:jc w:val="both"/>
        <w:rPr>
          <w:noProof/>
        </w:rPr>
      </w:pPr>
      <w:r>
        <w:rPr>
          <w:noProof/>
        </w:rPr>
        <w:t>Reformom se regijama i općinama omogućuje da odrede područja za ubrzanje proizvodnje energije iz obnovljivih izvora za tehnologije solarne energije i energije vjetra. Svako područje uključuje ciljeve instaliranog kapaciteta (MW) za energiju vjetra i solarnu energiju. Određivanje područja za ubrzanje proizvodnje energije iz obnovljivih izvora provodi se do trećeg tromjesečja 2025. u regijama i općinama.</w:t>
      </w:r>
    </w:p>
    <w:p w14:paraId="317065F8" w14:textId="04C00983" w:rsidR="00615E2D" w:rsidRDefault="00C83E46">
      <w:pPr>
        <w:spacing w:line="240" w:lineRule="auto"/>
        <w:jc w:val="both"/>
        <w:rPr>
          <w:noProof/>
        </w:rPr>
      </w:pPr>
      <w:r>
        <w:rPr>
          <w:noProof/>
        </w:rPr>
        <w:t xml:space="preserve">Područja ubrzane proizvodnje energije iz obnovljivih izvora odabiru se u skladu s jedinstvenom metodologijom, slijedeći kriterije ciljeva kao što su gustoća energije vjetra, brzina vjetra, sunčevo zračenje i mali utjecaj na okoliš. Reformom se utvrđuju posebni postupci izdavanja dozvola koji se primjenjuju na projekte u području energije iz obnovljivih izvora u područjima ubrzavanja, što rezultira jednostavnijim postupcima i kraćim rokovima. Strateška procjena utjecaja na okoliš provodi se na razini područja, pri čemu se projekti izuzimaju od provođenja pojedinačne procjene utjecaja na okoliš, osim u slučajevima u kojima postoji rizik da određeni projekt negativno utječe na okoliš. Projekti koji se nalaze u područjima ubrzane proizvodnje energije iz obnovljivih izvora imaju koristi od ubrzanog postupka izdavanja dozvola. Kako bi se osiguralo sudjelovanje pogođenog stanovništva u projektima obnovljive energije, očekuje se da će reforma biti popraćena mjerama za prihvaćanje projekata kao što su lokalni referendumi, financijsko sudjelovanje, podjela gospodarskih koristi, mehanizmi za rješavanje sukoba i mjere ranog uključivanja. Ministarstvo okoliša regijama pruža pomoć i komunikacijske aktivnosti informiranja o područjima ubrzavanja. </w:t>
      </w:r>
    </w:p>
    <w:p w14:paraId="6203F26C" w14:textId="32C23396" w:rsidR="00615E2D" w:rsidRDefault="00C83E46">
      <w:pPr>
        <w:tabs>
          <w:tab w:val="left" w:pos="993"/>
        </w:tabs>
        <w:spacing w:line="240" w:lineRule="auto"/>
        <w:jc w:val="both"/>
        <w:textAlignment w:val="baseline"/>
        <w:rPr>
          <w:rStyle w:val="normaltextrun"/>
          <w:noProof/>
          <w:color w:val="000000"/>
          <w:shd w:val="clear" w:color="auto" w:fill="FFFFFF"/>
        </w:rPr>
      </w:pPr>
      <w:r>
        <w:rPr>
          <w:rStyle w:val="normaltextrun"/>
          <w:noProof/>
          <w:color w:val="000000"/>
          <w:shd w:val="clear" w:color="auto" w:fill="FFFFFF"/>
        </w:rPr>
        <w:t xml:space="preserve">Jačaju se administrativni kapaciteti za provedbu reforme Ministarstva okoliša Češke Republike (3,5 EPRV-a) i Agencije za očuvanje prirode Češke (1 EPRV) te se financiraju u okviru Mehanizma za oporavak i otpornost. </w:t>
      </w:r>
    </w:p>
    <w:p w14:paraId="32AEDAD0" w14:textId="00A63EB3" w:rsidR="00615E2D" w:rsidRDefault="00C83E46">
      <w:pPr>
        <w:tabs>
          <w:tab w:val="left" w:pos="993"/>
        </w:tabs>
        <w:spacing w:line="240" w:lineRule="auto"/>
        <w:jc w:val="both"/>
        <w:textAlignment w:val="baseline"/>
        <w:rPr>
          <w:rStyle w:val="normaltextrun"/>
          <w:noProof/>
          <w:color w:val="000000"/>
          <w:shd w:val="clear" w:color="auto" w:fill="FFFFFF"/>
        </w:rPr>
      </w:pPr>
      <w:r>
        <w:rPr>
          <w:rStyle w:val="normaltextrun"/>
          <w:noProof/>
          <w:color w:val="000000"/>
          <w:shd w:val="clear" w:color="auto" w:fill="FFFFFF"/>
        </w:rPr>
        <w:t>Reforma mora biti dovršena do 30. rujna 2025.</w:t>
      </w:r>
    </w:p>
    <w:p w14:paraId="3CCFD83E" w14:textId="4C780043" w:rsidR="00615E2D" w:rsidRDefault="00C83E46">
      <w:pPr>
        <w:tabs>
          <w:tab w:val="left" w:pos="993"/>
        </w:tabs>
        <w:spacing w:line="240" w:lineRule="auto"/>
        <w:jc w:val="both"/>
        <w:textAlignment w:val="baseline"/>
        <w:rPr>
          <w:rFonts w:eastAsia="Times New Roman"/>
          <w:b/>
          <w:noProof/>
          <w:color w:val="000000" w:themeColor="text1"/>
          <w:u w:val="single"/>
        </w:rPr>
        <w:sectPr w:rsidR="00615E2D" w:rsidSect="003F264F">
          <w:headerReference w:type="even" r:id="rId510"/>
          <w:headerReference w:type="default" r:id="rId511"/>
          <w:footerReference w:type="even" r:id="rId512"/>
          <w:footerReference w:type="default" r:id="rId513"/>
          <w:headerReference w:type="first" r:id="rId514"/>
          <w:footerReference w:type="first" r:id="rId515"/>
          <w:pgSz w:w="11907" w:h="16839"/>
          <w:pgMar w:top="1134" w:right="1134" w:bottom="1134" w:left="1134" w:header="567" w:footer="567" w:gutter="0"/>
          <w:cols w:space="720"/>
          <w:docGrid w:linePitch="360"/>
        </w:sectPr>
      </w:pPr>
      <w:r>
        <w:rPr>
          <w:rFonts w:ascii="Calibri" w:eastAsia="Times New Roman" w:hAnsi="Calibri" w:cs="Segoe UI"/>
          <w:noProof/>
        </w:rPr>
        <w:t> </w:t>
      </w:r>
    </w:p>
    <w:p w14:paraId="7516395B" w14:textId="5775F83D" w:rsidR="00615E2D" w:rsidRDefault="00C83E46">
      <w:pPr>
        <w:pStyle w:val="P68B1DB1-Normal33"/>
        <w:tabs>
          <w:tab w:val="left" w:pos="993"/>
        </w:tabs>
        <w:spacing w:line="240" w:lineRule="auto"/>
        <w:jc w:val="both"/>
        <w:textAlignment w:val="baseline"/>
        <w:rPr>
          <w:noProof/>
        </w:rPr>
      </w:pPr>
      <w:r>
        <w:rPr>
          <w:noProof/>
        </w:rPr>
        <w:t>KK.2. Ključne etape, ciljne vrijednosti, pokazatelji i vremenski raspored za praćenje i provedbu zajma</w:t>
      </w:r>
    </w:p>
    <w:tbl>
      <w:tblPr>
        <w:tblW w:w="144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303"/>
        <w:gridCol w:w="1128"/>
        <w:gridCol w:w="1507"/>
        <w:gridCol w:w="1304"/>
        <w:gridCol w:w="939"/>
        <w:gridCol w:w="992"/>
        <w:gridCol w:w="992"/>
        <w:gridCol w:w="1002"/>
        <w:gridCol w:w="720"/>
        <w:gridCol w:w="3943"/>
      </w:tblGrid>
      <w:tr w:rsidR="00615E2D" w14:paraId="27B10EAC" w14:textId="77777777">
        <w:trPr>
          <w:trHeight w:val="120"/>
          <w:tblHeader/>
        </w:trPr>
        <w:tc>
          <w:tcPr>
            <w:tcW w:w="635" w:type="dxa"/>
            <w:vMerge w:val="restart"/>
            <w:shd w:val="clear" w:color="auto" w:fill="BDD7EE"/>
            <w:tcMar>
              <w:left w:w="105" w:type="dxa"/>
              <w:right w:w="105" w:type="dxa"/>
            </w:tcMar>
            <w:vAlign w:val="center"/>
          </w:tcPr>
          <w:p w14:paraId="52DED056" w14:textId="77777777" w:rsidR="00615E2D" w:rsidRDefault="00C83E46">
            <w:pPr>
              <w:pStyle w:val="P68B1DB1-Normal30"/>
              <w:spacing w:line="240" w:lineRule="auto"/>
              <w:jc w:val="center"/>
              <w:rPr>
                <w:noProof/>
              </w:rPr>
            </w:pPr>
            <w:r>
              <w:rPr>
                <w:noProof/>
              </w:rPr>
              <w:t>Sljedeće NUM.</w:t>
            </w:r>
          </w:p>
        </w:tc>
        <w:tc>
          <w:tcPr>
            <w:tcW w:w="1312" w:type="dxa"/>
            <w:vMerge w:val="restart"/>
            <w:shd w:val="clear" w:color="auto" w:fill="BDD7EE"/>
            <w:tcMar>
              <w:left w:w="105" w:type="dxa"/>
              <w:right w:w="105" w:type="dxa"/>
            </w:tcMar>
            <w:vAlign w:val="center"/>
          </w:tcPr>
          <w:p w14:paraId="48EB55D9" w14:textId="77777777" w:rsidR="00615E2D" w:rsidRDefault="00C83E46">
            <w:pPr>
              <w:pStyle w:val="P68B1DB1-Normal30"/>
              <w:spacing w:line="240" w:lineRule="auto"/>
              <w:jc w:val="center"/>
              <w:rPr>
                <w:noProof/>
              </w:rPr>
            </w:pPr>
            <w:r>
              <w:rPr>
                <w:noProof/>
              </w:rPr>
              <w:t xml:space="preserve">Povezana mjera (reforma ili ulaganje) </w:t>
            </w:r>
          </w:p>
        </w:tc>
        <w:tc>
          <w:tcPr>
            <w:tcW w:w="1134" w:type="dxa"/>
            <w:vMerge w:val="restart"/>
            <w:shd w:val="clear" w:color="auto" w:fill="BDD7EE"/>
            <w:tcMar>
              <w:left w:w="105" w:type="dxa"/>
              <w:right w:w="105" w:type="dxa"/>
            </w:tcMar>
            <w:vAlign w:val="center"/>
          </w:tcPr>
          <w:p w14:paraId="0749412C" w14:textId="77777777" w:rsidR="00615E2D" w:rsidRDefault="00C83E46">
            <w:pPr>
              <w:pStyle w:val="P68B1DB1-Normal30"/>
              <w:spacing w:line="240" w:lineRule="auto"/>
              <w:jc w:val="center"/>
              <w:rPr>
                <w:noProof/>
              </w:rPr>
            </w:pPr>
            <w:r>
              <w:rPr>
                <w:noProof/>
              </w:rPr>
              <w:t xml:space="preserve">Ključna etapa/ciljna vrijednost </w:t>
            </w:r>
          </w:p>
        </w:tc>
        <w:tc>
          <w:tcPr>
            <w:tcW w:w="1516" w:type="dxa"/>
            <w:vMerge w:val="restart"/>
            <w:shd w:val="clear" w:color="auto" w:fill="BDD7EE"/>
            <w:tcMar>
              <w:left w:w="105" w:type="dxa"/>
              <w:right w:w="105" w:type="dxa"/>
            </w:tcMar>
            <w:vAlign w:val="center"/>
          </w:tcPr>
          <w:p w14:paraId="2055F892" w14:textId="77777777" w:rsidR="00615E2D" w:rsidRDefault="00C83E46">
            <w:pPr>
              <w:pStyle w:val="P68B1DB1-Normal30"/>
              <w:spacing w:line="240" w:lineRule="auto"/>
              <w:jc w:val="center"/>
              <w:rPr>
                <w:noProof/>
              </w:rPr>
            </w:pPr>
            <w:r>
              <w:rPr>
                <w:noProof/>
              </w:rPr>
              <w:t xml:space="preserve">Ime </w:t>
            </w:r>
          </w:p>
        </w:tc>
        <w:tc>
          <w:tcPr>
            <w:tcW w:w="1312" w:type="dxa"/>
            <w:vMerge w:val="restart"/>
            <w:shd w:val="clear" w:color="auto" w:fill="BDD7EE"/>
            <w:tcMar>
              <w:left w:w="105" w:type="dxa"/>
              <w:right w:w="105" w:type="dxa"/>
            </w:tcMar>
            <w:vAlign w:val="center"/>
          </w:tcPr>
          <w:p w14:paraId="1D2DCCBD" w14:textId="77777777" w:rsidR="00615E2D" w:rsidRDefault="00C83E46">
            <w:pPr>
              <w:pStyle w:val="P68B1DB1-Normal12"/>
              <w:spacing w:line="240" w:lineRule="auto"/>
              <w:jc w:val="center"/>
              <w:rPr>
                <w:rFonts w:eastAsia="Times New Roman"/>
                <w:noProof/>
                <w:color w:val="000000" w:themeColor="text1"/>
              </w:rPr>
            </w:pPr>
            <w:r>
              <w:rPr>
                <w:rFonts w:eastAsia="Times New Roman"/>
                <w:b/>
                <w:noProof/>
                <w:color w:val="000000" w:themeColor="text1"/>
              </w:rPr>
              <w:t>Kvalitativni pokazatelji</w:t>
            </w:r>
            <w:r>
              <w:rPr>
                <w:noProof/>
              </w:rPr>
              <w:br/>
            </w:r>
            <w:r>
              <w:rPr>
                <w:rFonts w:eastAsia="Times New Roman"/>
                <w:b/>
                <w:noProof/>
                <w:color w:val="000000" w:themeColor="text1"/>
              </w:rPr>
              <w:t xml:space="preserve">   (za ključne etape) </w:t>
            </w:r>
          </w:p>
        </w:tc>
        <w:tc>
          <w:tcPr>
            <w:tcW w:w="2938" w:type="dxa"/>
            <w:gridSpan w:val="3"/>
            <w:shd w:val="clear" w:color="auto" w:fill="BDD7EE"/>
            <w:tcMar>
              <w:left w:w="105" w:type="dxa"/>
              <w:right w:w="105" w:type="dxa"/>
            </w:tcMar>
            <w:vAlign w:val="center"/>
          </w:tcPr>
          <w:p w14:paraId="01141E05" w14:textId="77777777" w:rsidR="00615E2D" w:rsidRDefault="00C83E46">
            <w:pPr>
              <w:pStyle w:val="P68B1DB1-Normal12"/>
              <w:spacing w:line="240" w:lineRule="auto"/>
              <w:jc w:val="center"/>
              <w:rPr>
                <w:rFonts w:eastAsia="Times New Roman"/>
                <w:noProof/>
                <w:color w:val="000000" w:themeColor="text1"/>
              </w:rPr>
            </w:pPr>
            <w:r>
              <w:rPr>
                <w:rFonts w:eastAsia="Times New Roman"/>
                <w:b/>
                <w:noProof/>
                <w:color w:val="000000" w:themeColor="text1"/>
              </w:rPr>
              <w:t>Kvantitativni pokazatelji</w:t>
            </w:r>
            <w:r>
              <w:rPr>
                <w:noProof/>
              </w:rPr>
              <w:br/>
            </w:r>
            <w:r>
              <w:rPr>
                <w:rFonts w:eastAsia="Times New Roman"/>
                <w:b/>
                <w:noProof/>
                <w:color w:val="000000" w:themeColor="text1"/>
              </w:rPr>
              <w:t xml:space="preserve">   (za ciljeve)</w:t>
            </w:r>
          </w:p>
        </w:tc>
        <w:tc>
          <w:tcPr>
            <w:tcW w:w="1730" w:type="dxa"/>
            <w:gridSpan w:val="2"/>
            <w:shd w:val="clear" w:color="auto" w:fill="BDD7EE"/>
            <w:tcMar>
              <w:left w:w="105" w:type="dxa"/>
              <w:right w:w="105" w:type="dxa"/>
            </w:tcMar>
            <w:vAlign w:val="center"/>
          </w:tcPr>
          <w:p w14:paraId="7BD0517F" w14:textId="77777777" w:rsidR="00615E2D" w:rsidRDefault="00C83E46">
            <w:pPr>
              <w:pStyle w:val="P68B1DB1-Normal30"/>
              <w:spacing w:line="240" w:lineRule="auto"/>
              <w:jc w:val="center"/>
              <w:rPr>
                <w:noProof/>
              </w:rPr>
            </w:pPr>
            <w:r>
              <w:rPr>
                <w:noProof/>
              </w:rPr>
              <w:t xml:space="preserve">Okvirni vremenski okvir za dovršetak </w:t>
            </w:r>
          </w:p>
        </w:tc>
        <w:tc>
          <w:tcPr>
            <w:tcW w:w="3969" w:type="dxa"/>
            <w:vMerge w:val="restart"/>
            <w:shd w:val="clear" w:color="auto" w:fill="BDD7EE"/>
            <w:tcMar>
              <w:left w:w="105" w:type="dxa"/>
              <w:right w:w="105" w:type="dxa"/>
            </w:tcMar>
            <w:vAlign w:val="center"/>
          </w:tcPr>
          <w:p w14:paraId="01D37160" w14:textId="77777777" w:rsidR="00615E2D" w:rsidRDefault="00C83E46">
            <w:pPr>
              <w:pStyle w:val="P68B1DB1-Normal30"/>
              <w:spacing w:line="240" w:lineRule="auto"/>
              <w:jc w:val="center"/>
              <w:rPr>
                <w:noProof/>
              </w:rPr>
            </w:pPr>
            <w:r>
              <w:rPr>
                <w:noProof/>
              </w:rPr>
              <w:t>Opis i jasna definicija svake ključne etape i ciljne vrijednosti</w:t>
            </w:r>
          </w:p>
        </w:tc>
      </w:tr>
      <w:tr w:rsidR="00615E2D" w14:paraId="68876D22" w14:textId="77777777">
        <w:trPr>
          <w:trHeight w:val="210"/>
          <w:tblHeader/>
        </w:trPr>
        <w:tc>
          <w:tcPr>
            <w:tcW w:w="635" w:type="dxa"/>
            <w:vMerge/>
            <w:vAlign w:val="center"/>
          </w:tcPr>
          <w:p w14:paraId="4E8CA910" w14:textId="77777777" w:rsidR="00615E2D" w:rsidRDefault="00615E2D">
            <w:pPr>
              <w:spacing w:line="240" w:lineRule="auto"/>
              <w:rPr>
                <w:noProof/>
                <w:sz w:val="18"/>
              </w:rPr>
            </w:pPr>
          </w:p>
        </w:tc>
        <w:tc>
          <w:tcPr>
            <w:tcW w:w="1312" w:type="dxa"/>
            <w:vMerge/>
            <w:vAlign w:val="center"/>
          </w:tcPr>
          <w:p w14:paraId="053EADB9" w14:textId="77777777" w:rsidR="00615E2D" w:rsidRDefault="00615E2D">
            <w:pPr>
              <w:spacing w:line="240" w:lineRule="auto"/>
              <w:rPr>
                <w:noProof/>
                <w:sz w:val="18"/>
              </w:rPr>
            </w:pPr>
          </w:p>
        </w:tc>
        <w:tc>
          <w:tcPr>
            <w:tcW w:w="1134" w:type="dxa"/>
            <w:vMerge/>
            <w:vAlign w:val="center"/>
          </w:tcPr>
          <w:p w14:paraId="509B3CB1" w14:textId="77777777" w:rsidR="00615E2D" w:rsidRDefault="00615E2D">
            <w:pPr>
              <w:spacing w:line="240" w:lineRule="auto"/>
              <w:rPr>
                <w:noProof/>
                <w:sz w:val="18"/>
              </w:rPr>
            </w:pPr>
          </w:p>
        </w:tc>
        <w:tc>
          <w:tcPr>
            <w:tcW w:w="1516" w:type="dxa"/>
            <w:vMerge/>
            <w:vAlign w:val="center"/>
          </w:tcPr>
          <w:p w14:paraId="6E742BC3" w14:textId="77777777" w:rsidR="00615E2D" w:rsidRDefault="00615E2D">
            <w:pPr>
              <w:spacing w:line="240" w:lineRule="auto"/>
              <w:rPr>
                <w:noProof/>
                <w:sz w:val="18"/>
              </w:rPr>
            </w:pPr>
          </w:p>
        </w:tc>
        <w:tc>
          <w:tcPr>
            <w:tcW w:w="1312" w:type="dxa"/>
            <w:vMerge/>
            <w:vAlign w:val="center"/>
          </w:tcPr>
          <w:p w14:paraId="79BFD365" w14:textId="77777777" w:rsidR="00615E2D" w:rsidRDefault="00615E2D">
            <w:pPr>
              <w:spacing w:line="240" w:lineRule="auto"/>
              <w:rPr>
                <w:noProof/>
                <w:sz w:val="18"/>
              </w:rPr>
            </w:pPr>
          </w:p>
        </w:tc>
        <w:tc>
          <w:tcPr>
            <w:tcW w:w="944" w:type="dxa"/>
            <w:shd w:val="clear" w:color="auto" w:fill="BDD7EE"/>
            <w:tcMar>
              <w:left w:w="105" w:type="dxa"/>
              <w:right w:w="105" w:type="dxa"/>
            </w:tcMar>
            <w:vAlign w:val="center"/>
          </w:tcPr>
          <w:p w14:paraId="4F1DB7C3" w14:textId="77777777" w:rsidR="00615E2D" w:rsidRDefault="00C83E46">
            <w:pPr>
              <w:pStyle w:val="P68B1DB1-Normal30"/>
              <w:spacing w:line="240" w:lineRule="auto"/>
              <w:jc w:val="center"/>
              <w:rPr>
                <w:noProof/>
              </w:rPr>
            </w:pPr>
            <w:r>
              <w:rPr>
                <w:noProof/>
              </w:rPr>
              <w:t>Jedinica mjere</w:t>
            </w:r>
          </w:p>
        </w:tc>
        <w:tc>
          <w:tcPr>
            <w:tcW w:w="997" w:type="dxa"/>
            <w:shd w:val="clear" w:color="auto" w:fill="BDD7EE"/>
            <w:tcMar>
              <w:left w:w="105" w:type="dxa"/>
              <w:right w:w="105" w:type="dxa"/>
            </w:tcMar>
            <w:vAlign w:val="center"/>
          </w:tcPr>
          <w:p w14:paraId="421F873C" w14:textId="77777777" w:rsidR="00615E2D" w:rsidRDefault="00C83E46">
            <w:pPr>
              <w:pStyle w:val="P68B1DB1-Normal30"/>
              <w:spacing w:line="240" w:lineRule="auto"/>
              <w:jc w:val="center"/>
              <w:rPr>
                <w:noProof/>
              </w:rPr>
            </w:pPr>
            <w:r>
              <w:rPr>
                <w:noProof/>
              </w:rPr>
              <w:t>Osnovna vrijednost</w:t>
            </w:r>
          </w:p>
        </w:tc>
        <w:tc>
          <w:tcPr>
            <w:tcW w:w="997" w:type="dxa"/>
            <w:shd w:val="clear" w:color="auto" w:fill="BDD7EE"/>
            <w:tcMar>
              <w:left w:w="105" w:type="dxa"/>
              <w:right w:w="105" w:type="dxa"/>
            </w:tcMar>
            <w:vAlign w:val="center"/>
          </w:tcPr>
          <w:p w14:paraId="4E93E901" w14:textId="77777777" w:rsidR="00615E2D" w:rsidRDefault="00C83E46">
            <w:pPr>
              <w:pStyle w:val="P68B1DB1-Normal30"/>
              <w:spacing w:line="240" w:lineRule="auto"/>
              <w:jc w:val="center"/>
              <w:rPr>
                <w:noProof/>
              </w:rPr>
            </w:pPr>
            <w:r>
              <w:rPr>
                <w:noProof/>
              </w:rPr>
              <w:t>Cilj</w:t>
            </w:r>
          </w:p>
        </w:tc>
        <w:tc>
          <w:tcPr>
            <w:tcW w:w="1007" w:type="dxa"/>
            <w:shd w:val="clear" w:color="auto" w:fill="BDD7EE"/>
            <w:tcMar>
              <w:left w:w="105" w:type="dxa"/>
              <w:right w:w="105" w:type="dxa"/>
            </w:tcMar>
            <w:vAlign w:val="center"/>
          </w:tcPr>
          <w:p w14:paraId="1B5EADE6" w14:textId="77777777" w:rsidR="00615E2D" w:rsidRDefault="00C83E46">
            <w:pPr>
              <w:pStyle w:val="P68B1DB1-Normal30"/>
              <w:spacing w:line="240" w:lineRule="auto"/>
              <w:jc w:val="center"/>
              <w:rPr>
                <w:noProof/>
              </w:rPr>
            </w:pPr>
            <w:r>
              <w:rPr>
                <w:noProof/>
              </w:rPr>
              <w:t>Tromjesečje</w:t>
            </w:r>
          </w:p>
        </w:tc>
        <w:tc>
          <w:tcPr>
            <w:tcW w:w="723" w:type="dxa"/>
            <w:shd w:val="clear" w:color="auto" w:fill="BDD7EE"/>
            <w:tcMar>
              <w:left w:w="105" w:type="dxa"/>
              <w:right w:w="105" w:type="dxa"/>
            </w:tcMar>
            <w:vAlign w:val="center"/>
          </w:tcPr>
          <w:p w14:paraId="1A41FE90" w14:textId="77777777" w:rsidR="00615E2D" w:rsidRDefault="00C83E46">
            <w:pPr>
              <w:pStyle w:val="P68B1DB1-Normal30"/>
              <w:spacing w:line="240" w:lineRule="auto"/>
              <w:jc w:val="center"/>
              <w:rPr>
                <w:noProof/>
              </w:rPr>
            </w:pPr>
            <w:r>
              <w:rPr>
                <w:noProof/>
              </w:rPr>
              <w:t>Godina</w:t>
            </w:r>
          </w:p>
        </w:tc>
        <w:tc>
          <w:tcPr>
            <w:tcW w:w="3969" w:type="dxa"/>
            <w:vMerge/>
            <w:vAlign w:val="center"/>
          </w:tcPr>
          <w:p w14:paraId="70CFA204" w14:textId="77777777" w:rsidR="00615E2D" w:rsidRDefault="00615E2D">
            <w:pPr>
              <w:spacing w:line="240" w:lineRule="auto"/>
              <w:rPr>
                <w:noProof/>
                <w:sz w:val="18"/>
              </w:rPr>
            </w:pPr>
          </w:p>
        </w:tc>
      </w:tr>
      <w:tr w:rsidR="00615E2D" w14:paraId="0C50F593" w14:textId="77777777">
        <w:trPr>
          <w:trHeight w:val="2145"/>
        </w:trPr>
        <w:tc>
          <w:tcPr>
            <w:tcW w:w="635"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2E72B0F5" w14:textId="4190E5F8" w:rsidR="00615E2D" w:rsidRDefault="00C83E46">
            <w:pPr>
              <w:pStyle w:val="P68B1DB1-Normal15"/>
              <w:spacing w:before="0" w:after="0" w:line="240" w:lineRule="auto"/>
              <w:jc w:val="center"/>
              <w:rPr>
                <w:noProof/>
              </w:rPr>
            </w:pPr>
            <w:r>
              <w:rPr>
                <w:noProof/>
              </w:rPr>
              <w:t>340</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3681034" w14:textId="77777777" w:rsidR="00615E2D" w:rsidRDefault="00C83E46">
            <w:pPr>
              <w:pStyle w:val="P68B1DB1-Normal11"/>
              <w:spacing w:before="0" w:after="0" w:line="240" w:lineRule="auto"/>
              <w:jc w:val="both"/>
              <w:textAlignment w:val="baseline"/>
              <w:rPr>
                <w:noProof/>
              </w:rPr>
            </w:pPr>
            <w:r>
              <w:rPr>
                <w:noProof/>
              </w:rPr>
              <w:t>Reforma 1.:</w:t>
            </w:r>
          </w:p>
          <w:p w14:paraId="00FB674C" w14:textId="1A426080" w:rsidR="00615E2D" w:rsidRDefault="00C83E46">
            <w:pPr>
              <w:pStyle w:val="P68B1DB1-Normal11"/>
              <w:spacing w:line="240" w:lineRule="auto"/>
              <w:rPr>
                <w:noProof/>
                <w:highlight w:val="yellow"/>
              </w:rPr>
            </w:pPr>
            <w:r>
              <w:rPr>
                <w:noProof/>
              </w:rPr>
              <w:t>Jedinstveno mišljenje o okolišu  </w:t>
            </w:r>
          </w:p>
        </w:tc>
        <w:tc>
          <w:tcPr>
            <w:tcW w:w="113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7B67C3E" w14:textId="74719437" w:rsidR="00615E2D" w:rsidRDefault="00C83E46">
            <w:pPr>
              <w:pStyle w:val="P68B1DB1-Normal11"/>
              <w:spacing w:line="240" w:lineRule="auto"/>
              <w:rPr>
                <w:noProof/>
                <w:color w:val="000000" w:themeColor="text1"/>
              </w:rPr>
            </w:pPr>
            <w:r>
              <w:rPr>
                <w:noProof/>
              </w:rPr>
              <w:t>Prekretnica </w:t>
            </w:r>
          </w:p>
        </w:tc>
        <w:tc>
          <w:tcPr>
            <w:tcW w:w="1516"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3EC921C1" w14:textId="4CCC92AF" w:rsidR="00615E2D" w:rsidRDefault="00C83E46">
            <w:pPr>
              <w:pStyle w:val="P68B1DB1-Normal11"/>
              <w:spacing w:line="240" w:lineRule="auto"/>
              <w:rPr>
                <w:noProof/>
              </w:rPr>
            </w:pPr>
            <w:r>
              <w:rPr>
                <w:noProof/>
              </w:rPr>
              <w:t>Stupanje na snagu jedinstvenog mišljenja o okolišu </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520B624" w14:textId="5F241326" w:rsidR="00615E2D" w:rsidRDefault="00C83E46">
            <w:pPr>
              <w:pStyle w:val="P68B1DB1-Normal11"/>
              <w:spacing w:line="240" w:lineRule="auto"/>
              <w:rPr>
                <w:noProof/>
                <w:color w:val="000000" w:themeColor="text1"/>
              </w:rPr>
            </w:pPr>
            <w:r>
              <w:rPr>
                <w:noProof/>
              </w:rPr>
              <w:t> Zakonska odredba o stupanju na snagu zakona </w:t>
            </w:r>
          </w:p>
        </w:tc>
        <w:tc>
          <w:tcPr>
            <w:tcW w:w="94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2F8526E" w14:textId="334E3C15" w:rsidR="00615E2D" w:rsidRDefault="00C83E46">
            <w:pPr>
              <w:pStyle w:val="P68B1DB1-Normal11"/>
              <w:spacing w:line="240" w:lineRule="auto"/>
              <w:rPr>
                <w:noProof/>
              </w:rPr>
            </w:pPr>
            <w:r>
              <w:rPr>
                <w:noProof/>
              </w:rPr>
              <w:t>  </w:t>
            </w: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5B7F0726" w14:textId="1AD2B6B0" w:rsidR="00615E2D" w:rsidRDefault="00C83E46">
            <w:pPr>
              <w:pStyle w:val="P68B1DB1-Normal11"/>
              <w:spacing w:line="240" w:lineRule="auto"/>
              <w:jc w:val="center"/>
              <w:rPr>
                <w:noProof/>
              </w:rPr>
            </w:pPr>
            <w:r>
              <w:rPr>
                <w:noProof/>
              </w:rPr>
              <w:t>  </w:t>
            </w: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334217B2" w14:textId="30373270" w:rsidR="00615E2D" w:rsidRDefault="00C83E46">
            <w:pPr>
              <w:pStyle w:val="P68B1DB1-Normal11"/>
              <w:spacing w:line="240" w:lineRule="auto"/>
              <w:jc w:val="center"/>
              <w:rPr>
                <w:noProof/>
              </w:rPr>
            </w:pPr>
            <w:r>
              <w:rPr>
                <w:noProof/>
              </w:rPr>
              <w:t>  </w:t>
            </w:r>
          </w:p>
        </w:tc>
        <w:tc>
          <w:tcPr>
            <w:tcW w:w="100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993C7CE" w14:textId="7B320CF0" w:rsidR="00615E2D" w:rsidRDefault="00C83E46">
            <w:pPr>
              <w:pStyle w:val="P68B1DB1-Normal11"/>
              <w:spacing w:line="240" w:lineRule="auto"/>
              <w:rPr>
                <w:noProof/>
              </w:rPr>
            </w:pPr>
            <w:r>
              <w:rPr>
                <w:noProof/>
              </w:rPr>
              <w:t>TROMJESEČJE</w:t>
            </w:r>
          </w:p>
        </w:tc>
        <w:tc>
          <w:tcPr>
            <w:tcW w:w="723"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564EFE6" w14:textId="6CD45778" w:rsidR="00615E2D" w:rsidRDefault="00C83E46">
            <w:pPr>
              <w:pStyle w:val="P68B1DB1-Normal11"/>
              <w:spacing w:line="240" w:lineRule="auto"/>
              <w:rPr>
                <w:noProof/>
              </w:rPr>
            </w:pPr>
            <w:r>
              <w:rPr>
                <w:noProof/>
              </w:rPr>
              <w:t>2023 </w:t>
            </w:r>
          </w:p>
        </w:tc>
        <w:tc>
          <w:tcPr>
            <w:tcW w:w="3969"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2D31F269" w14:textId="5CB934EC" w:rsidR="00615E2D" w:rsidRDefault="00C83E46">
            <w:pPr>
              <w:pStyle w:val="P68B1DB1-Normal11"/>
              <w:spacing w:before="0" w:after="0" w:line="240" w:lineRule="auto"/>
              <w:textAlignment w:val="baseline"/>
              <w:rPr>
                <w:noProof/>
              </w:rPr>
            </w:pPr>
            <w:r>
              <w:rPr>
                <w:noProof/>
              </w:rPr>
              <w:t>Stupanje na snagu zakonodavstva o jedinstvenom mišljenju o okolišu. U Mišljenju se postupak okolišne dozvole objedinjuje u obvezujuće jedinstveno mišljenje za sve zahvate odobrene na temelju Zakona o gradnji i projekte za koje je provedena procjena utjecaja na okoliš, ako to zatraži podnositelj zahtjeva. Zakon se primjenjuje od 1. siječnja 2024. za posebnu građevinu definiranu Zakonom o gradnji, a od J. srpnja 2024. za druge vrste zgrada. </w:t>
            </w:r>
          </w:p>
          <w:p w14:paraId="702D7CE9" w14:textId="77777777" w:rsidR="00615E2D" w:rsidRDefault="00C83E46">
            <w:pPr>
              <w:pStyle w:val="P68B1DB1-Normal11"/>
              <w:spacing w:before="0" w:after="0" w:line="240" w:lineRule="auto"/>
              <w:textAlignment w:val="baseline"/>
              <w:rPr>
                <w:noProof/>
              </w:rPr>
            </w:pPr>
            <w:r>
              <w:rPr>
                <w:noProof/>
              </w:rPr>
              <w:t>  </w:t>
            </w:r>
          </w:p>
          <w:p w14:paraId="1C1DDD86" w14:textId="4830289C" w:rsidR="00615E2D" w:rsidRDefault="00C83E46">
            <w:pPr>
              <w:pStyle w:val="P68B1DB1-Normal11"/>
              <w:spacing w:before="0" w:after="0" w:line="240" w:lineRule="auto"/>
              <w:textAlignment w:val="baseline"/>
              <w:rPr>
                <w:noProof/>
              </w:rPr>
            </w:pPr>
            <w:r>
              <w:rPr>
                <w:noProof/>
              </w:rPr>
              <w:t>Zakonodavstvom se predviđa imenovanje jedinstvenih tijela zaduženih za davanje mišljenja u skladu s različitim slučajevima (npr. regionalna tijela, općinska tijela s proširenom nadležnošću ili Ministarstvo okoliša).</w:t>
            </w:r>
          </w:p>
          <w:p w14:paraId="40C8204B" w14:textId="7A92D191" w:rsidR="00615E2D" w:rsidRDefault="00615E2D">
            <w:pPr>
              <w:spacing w:before="0" w:after="0" w:line="240" w:lineRule="auto"/>
              <w:textAlignment w:val="baseline"/>
              <w:rPr>
                <w:rFonts w:eastAsia="Times New Roman"/>
                <w:noProof/>
                <w:color w:val="006100"/>
                <w:sz w:val="18"/>
              </w:rPr>
            </w:pPr>
          </w:p>
          <w:p w14:paraId="588BA314" w14:textId="77777777" w:rsidR="00615E2D" w:rsidRDefault="00C83E46">
            <w:pPr>
              <w:pStyle w:val="P68B1DB1-Normal11"/>
              <w:spacing w:before="0" w:after="0" w:line="240" w:lineRule="auto"/>
              <w:textAlignment w:val="baseline"/>
              <w:rPr>
                <w:noProof/>
              </w:rPr>
            </w:pPr>
            <w:r>
              <w:rPr>
                <w:noProof/>
              </w:rPr>
              <w:t>  </w:t>
            </w:r>
          </w:p>
          <w:p w14:paraId="0C53F7AA" w14:textId="13C3A44D" w:rsidR="00615E2D" w:rsidRDefault="00C83E46">
            <w:pPr>
              <w:pStyle w:val="P68B1DB1-Normal11"/>
              <w:spacing w:before="0" w:after="0" w:line="240" w:lineRule="auto"/>
              <w:textAlignment w:val="baseline"/>
              <w:rPr>
                <w:noProof/>
              </w:rPr>
            </w:pPr>
            <w:r>
              <w:rPr>
                <w:noProof/>
              </w:rPr>
              <w:t xml:space="preserve">Njome se također predviđa da za projekte koji podliježu procjeni utjecaja na okoliš jedinstveno mišljenje o okolišu bude dostupno u elektroničkom obliku u nacionalnom informacijskom sustavu procjene utjecaja na okoliš/strateške procjene utjecaja na okoliš. </w:t>
            </w:r>
          </w:p>
        </w:tc>
      </w:tr>
      <w:tr w:rsidR="00615E2D" w14:paraId="66EDF36C" w14:textId="77777777">
        <w:trPr>
          <w:trHeight w:val="2145"/>
        </w:trPr>
        <w:tc>
          <w:tcPr>
            <w:tcW w:w="635"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8FB2469" w14:textId="43E74039" w:rsidR="00615E2D" w:rsidRDefault="00C83E46">
            <w:pPr>
              <w:pStyle w:val="P68B1DB1-Normal15"/>
              <w:spacing w:before="0" w:after="0" w:line="240" w:lineRule="auto"/>
              <w:jc w:val="center"/>
              <w:rPr>
                <w:noProof/>
              </w:rPr>
            </w:pPr>
            <w:r>
              <w:rPr>
                <w:noProof/>
              </w:rPr>
              <w:t>341</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22B1C183" w14:textId="77777777" w:rsidR="00615E2D" w:rsidRDefault="00C83E46">
            <w:pPr>
              <w:pStyle w:val="P68B1DB1-Normal11"/>
              <w:spacing w:before="0" w:after="0" w:line="240" w:lineRule="auto"/>
              <w:jc w:val="both"/>
              <w:textAlignment w:val="baseline"/>
              <w:rPr>
                <w:noProof/>
              </w:rPr>
            </w:pPr>
            <w:r>
              <w:rPr>
                <w:noProof/>
              </w:rPr>
              <w:t>Reforma 1.:</w:t>
            </w:r>
          </w:p>
          <w:p w14:paraId="55B0D2D2" w14:textId="185981CE" w:rsidR="00615E2D" w:rsidRDefault="00C83E46">
            <w:pPr>
              <w:pStyle w:val="P68B1DB1-Normal11"/>
              <w:spacing w:before="0" w:after="0" w:line="240" w:lineRule="auto"/>
              <w:jc w:val="both"/>
              <w:textAlignment w:val="baseline"/>
              <w:rPr>
                <w:noProof/>
              </w:rPr>
            </w:pPr>
            <w:r>
              <w:rPr>
                <w:noProof/>
              </w:rPr>
              <w:t>Jedinstveno mišljenje o okolišu </w:t>
            </w:r>
          </w:p>
        </w:tc>
        <w:tc>
          <w:tcPr>
            <w:tcW w:w="113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B9493BC" w14:textId="3CD56CB1" w:rsidR="00615E2D" w:rsidRDefault="00C83E46">
            <w:pPr>
              <w:pStyle w:val="P68B1DB1-Normal11"/>
              <w:spacing w:line="240" w:lineRule="auto"/>
              <w:rPr>
                <w:noProof/>
              </w:rPr>
            </w:pPr>
            <w:r>
              <w:rPr>
                <w:noProof/>
              </w:rPr>
              <w:t>Ciljna  </w:t>
            </w:r>
          </w:p>
        </w:tc>
        <w:tc>
          <w:tcPr>
            <w:tcW w:w="1516"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DF47E26" w14:textId="62B78642" w:rsidR="00615E2D" w:rsidRDefault="00C83E46">
            <w:pPr>
              <w:pStyle w:val="P68B1DB1-Normal11"/>
              <w:spacing w:line="240" w:lineRule="auto"/>
              <w:rPr>
                <w:noProof/>
              </w:rPr>
            </w:pPr>
            <w:r>
              <w:rPr>
                <w:noProof/>
              </w:rPr>
              <w:t>Tehnička pomoć za ubrzavanje i poboljšanje kvalitete postupaka izdavanja okolišnih dozvola   </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7982C2D" w14:textId="35A68884" w:rsidR="00615E2D" w:rsidRDefault="00C83E46">
            <w:pPr>
              <w:pStyle w:val="P68B1DB1-Normal11"/>
              <w:spacing w:line="240" w:lineRule="auto"/>
              <w:rPr>
                <w:noProof/>
              </w:rPr>
            </w:pPr>
            <w:r>
              <w:rPr>
                <w:noProof/>
              </w:rPr>
              <w:t> </w:t>
            </w:r>
          </w:p>
        </w:tc>
        <w:tc>
          <w:tcPr>
            <w:tcW w:w="94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23E3B947" w14:textId="47D4090D" w:rsidR="00615E2D" w:rsidRDefault="00C83E46">
            <w:pPr>
              <w:pStyle w:val="P68B1DB1-Normal11"/>
              <w:spacing w:line="240" w:lineRule="auto"/>
              <w:rPr>
                <w:noProof/>
              </w:rPr>
            </w:pPr>
            <w:r>
              <w:rPr>
                <w:noProof/>
              </w:rPr>
              <w:t>Broj zaposlenika</w:t>
            </w: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247A73D" w14:textId="545FED18" w:rsidR="00615E2D" w:rsidRDefault="00C83E46">
            <w:pPr>
              <w:pStyle w:val="P68B1DB1-Normal11"/>
              <w:spacing w:line="240" w:lineRule="auto"/>
              <w:jc w:val="center"/>
              <w:rPr>
                <w:noProof/>
              </w:rPr>
            </w:pPr>
            <w:r>
              <w:rPr>
                <w:noProof/>
              </w:rPr>
              <w:t>0  </w:t>
            </w: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1E7D62E" w14:textId="7F179C57" w:rsidR="00615E2D" w:rsidRDefault="00C83E46">
            <w:pPr>
              <w:pStyle w:val="P68B1DB1-Normal11"/>
              <w:spacing w:line="240" w:lineRule="auto"/>
              <w:jc w:val="center"/>
              <w:rPr>
                <w:noProof/>
              </w:rPr>
            </w:pPr>
            <w:r>
              <w:rPr>
                <w:noProof/>
              </w:rPr>
              <w:t>36 </w:t>
            </w:r>
          </w:p>
        </w:tc>
        <w:tc>
          <w:tcPr>
            <w:tcW w:w="100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61088D6" w14:textId="47D5A1A7" w:rsidR="00615E2D" w:rsidRDefault="00C83E46">
            <w:pPr>
              <w:pStyle w:val="P68B1DB1-Normal11"/>
              <w:spacing w:line="240" w:lineRule="auto"/>
              <w:rPr>
                <w:noProof/>
              </w:rPr>
            </w:pPr>
            <w:r>
              <w:rPr>
                <w:noProof/>
              </w:rPr>
              <w:t>ČETVRTO TROMJESEČJE  </w:t>
            </w:r>
          </w:p>
        </w:tc>
        <w:tc>
          <w:tcPr>
            <w:tcW w:w="723"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35E69AF" w14:textId="69A75ACF" w:rsidR="00615E2D" w:rsidRDefault="00C83E46">
            <w:pPr>
              <w:pStyle w:val="P68B1DB1-Normal11"/>
              <w:spacing w:line="240" w:lineRule="auto"/>
              <w:rPr>
                <w:noProof/>
              </w:rPr>
            </w:pPr>
            <w:r>
              <w:rPr>
                <w:noProof/>
              </w:rPr>
              <w:t>2023  </w:t>
            </w:r>
          </w:p>
        </w:tc>
        <w:tc>
          <w:tcPr>
            <w:tcW w:w="3969"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80946CE" w14:textId="54539A8E" w:rsidR="00615E2D" w:rsidRDefault="00C83E46">
            <w:pPr>
              <w:pStyle w:val="P68B1DB1-Normal11"/>
              <w:spacing w:before="0" w:after="0" w:line="240" w:lineRule="auto"/>
              <w:jc w:val="both"/>
              <w:textAlignment w:val="baseline"/>
              <w:rPr>
                <w:noProof/>
              </w:rPr>
            </w:pPr>
            <w:r>
              <w:rPr>
                <w:noProof/>
              </w:rPr>
              <w:t>Za provedbu reforme jedinstvenog mišljenja o okolišu zapošljava se 36 zaposlenika s punim radnim vremenom.  </w:t>
            </w:r>
          </w:p>
        </w:tc>
      </w:tr>
      <w:tr w:rsidR="00615E2D" w14:paraId="7F3F852E" w14:textId="77777777">
        <w:trPr>
          <w:trHeight w:val="2145"/>
        </w:trPr>
        <w:tc>
          <w:tcPr>
            <w:tcW w:w="635"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1166D9E" w14:textId="607C2A2D" w:rsidR="00615E2D" w:rsidRDefault="00C83E46">
            <w:pPr>
              <w:pStyle w:val="P68B1DB1-Normal15"/>
              <w:spacing w:before="0" w:after="0" w:line="240" w:lineRule="auto"/>
              <w:jc w:val="center"/>
              <w:rPr>
                <w:noProof/>
              </w:rPr>
            </w:pPr>
            <w:r>
              <w:rPr>
                <w:noProof/>
              </w:rPr>
              <w:t>342</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4783E83" w14:textId="265D0DE2" w:rsidR="00615E2D" w:rsidRDefault="00C83E46">
            <w:pPr>
              <w:pStyle w:val="P68B1DB1-Normal11"/>
              <w:spacing w:before="0" w:after="0" w:line="240" w:lineRule="auto"/>
              <w:textAlignment w:val="baseline"/>
              <w:rPr>
                <w:noProof/>
              </w:rPr>
            </w:pPr>
            <w:r>
              <w:rPr>
                <w:noProof/>
              </w:rPr>
              <w:t>Reforma 1.:  Jedinstveno mišljenje o okolišu</w:t>
            </w:r>
          </w:p>
        </w:tc>
        <w:tc>
          <w:tcPr>
            <w:tcW w:w="113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402E1AA" w14:textId="5AEA57D7" w:rsidR="00615E2D" w:rsidRDefault="00C83E46">
            <w:pPr>
              <w:pStyle w:val="P68B1DB1-Normal11"/>
              <w:spacing w:line="240" w:lineRule="auto"/>
              <w:rPr>
                <w:noProof/>
              </w:rPr>
            </w:pPr>
            <w:r>
              <w:rPr>
                <w:noProof/>
              </w:rPr>
              <w:t>Prekretnica</w:t>
            </w:r>
          </w:p>
        </w:tc>
        <w:tc>
          <w:tcPr>
            <w:tcW w:w="1516"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D97E177" w14:textId="6B38AA8B" w:rsidR="00615E2D" w:rsidRDefault="00C83E46">
            <w:pPr>
              <w:pStyle w:val="P68B1DB1-Normal11"/>
              <w:spacing w:line="240" w:lineRule="auto"/>
              <w:rPr>
                <w:noProof/>
              </w:rPr>
            </w:pPr>
            <w:r>
              <w:rPr>
                <w:noProof/>
              </w:rPr>
              <w:t xml:space="preserve">Ministarstvo okoliša objavljuje metodologije i predloške  </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52501A17" w14:textId="6D7EB344" w:rsidR="00615E2D" w:rsidRDefault="00C83E46">
            <w:pPr>
              <w:pStyle w:val="P68B1DB1-Normal11"/>
              <w:spacing w:line="240" w:lineRule="auto"/>
              <w:jc w:val="both"/>
              <w:rPr>
                <w:noProof/>
              </w:rPr>
            </w:pPr>
            <w:r>
              <w:rPr>
                <w:noProof/>
              </w:rPr>
              <w:t>Objava smjernica</w:t>
            </w:r>
          </w:p>
          <w:p w14:paraId="56B18099" w14:textId="6605B5CD" w:rsidR="00615E2D" w:rsidRDefault="00615E2D">
            <w:pPr>
              <w:spacing w:line="240" w:lineRule="auto"/>
              <w:rPr>
                <w:rFonts w:eastAsia="Times New Roman"/>
                <w:noProof/>
                <w:color w:val="006100"/>
                <w:sz w:val="18"/>
              </w:rPr>
            </w:pPr>
          </w:p>
        </w:tc>
        <w:tc>
          <w:tcPr>
            <w:tcW w:w="94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29F5CC6" w14:textId="56C3C487" w:rsidR="00615E2D" w:rsidRDefault="00C83E46">
            <w:pPr>
              <w:pStyle w:val="P68B1DB1-Normal11"/>
              <w:spacing w:line="240" w:lineRule="auto"/>
              <w:rPr>
                <w:noProof/>
              </w:rPr>
            </w:pPr>
            <w:r>
              <w:rPr>
                <w:noProof/>
              </w:rPr>
              <w:t xml:space="preserve"> </w:t>
            </w: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66B7070C" w14:textId="2F5765A8" w:rsidR="00615E2D" w:rsidRDefault="00C83E46">
            <w:pPr>
              <w:pStyle w:val="P68B1DB1-Normal11"/>
              <w:spacing w:line="240" w:lineRule="auto"/>
              <w:jc w:val="center"/>
              <w:rPr>
                <w:noProof/>
              </w:rPr>
            </w:pPr>
            <w:r>
              <w:rPr>
                <w:noProof/>
              </w:rPr>
              <w:t xml:space="preserve"> </w:t>
            </w: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6963F96" w14:textId="46E3A61D" w:rsidR="00615E2D" w:rsidRDefault="00C83E46">
            <w:pPr>
              <w:pStyle w:val="P68B1DB1-Normal11"/>
              <w:spacing w:line="240" w:lineRule="auto"/>
              <w:jc w:val="center"/>
              <w:rPr>
                <w:noProof/>
              </w:rPr>
            </w:pPr>
            <w:r>
              <w:rPr>
                <w:noProof/>
              </w:rPr>
              <w:t xml:space="preserve"> </w:t>
            </w:r>
          </w:p>
        </w:tc>
        <w:tc>
          <w:tcPr>
            <w:tcW w:w="100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D122A5F" w14:textId="26687656" w:rsidR="00615E2D" w:rsidRDefault="00C83E46">
            <w:pPr>
              <w:pStyle w:val="P68B1DB1-Normal11"/>
              <w:spacing w:line="240" w:lineRule="auto"/>
              <w:rPr>
                <w:noProof/>
              </w:rPr>
            </w:pPr>
            <w:r>
              <w:rPr>
                <w:noProof/>
              </w:rPr>
              <w:t>ČETVRTO TROMJESEČJE</w:t>
            </w:r>
          </w:p>
        </w:tc>
        <w:tc>
          <w:tcPr>
            <w:tcW w:w="723"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5CF03FEC" w14:textId="109085E1" w:rsidR="00615E2D" w:rsidRDefault="00C83E46">
            <w:pPr>
              <w:pStyle w:val="P68B1DB1-Normal11"/>
              <w:spacing w:line="240" w:lineRule="auto"/>
              <w:rPr>
                <w:noProof/>
              </w:rPr>
            </w:pPr>
            <w:r>
              <w:rPr>
                <w:noProof/>
              </w:rPr>
              <w:t>2024</w:t>
            </w:r>
          </w:p>
        </w:tc>
        <w:tc>
          <w:tcPr>
            <w:tcW w:w="3969"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36CCAE7" w14:textId="77777777" w:rsidR="00615E2D" w:rsidRDefault="00C83E46">
            <w:pPr>
              <w:pStyle w:val="P68B1DB1-Normal10"/>
              <w:spacing w:after="0" w:line="240" w:lineRule="auto"/>
              <w:jc w:val="both"/>
              <w:rPr>
                <w:strike/>
                <w:noProof/>
                <w:color w:val="498205"/>
              </w:rPr>
            </w:pPr>
            <w:r>
              <w:rPr>
                <w:noProof/>
                <w:color w:val="006100"/>
              </w:rPr>
              <w:t>Ministarstvo zaštite okoliša objavit će sljedeće smjernice za državnu upravu</w:t>
            </w:r>
            <w:r>
              <w:rPr>
                <w:noProof/>
                <w:color w:val="498205"/>
                <w:u w:val="single"/>
              </w:rPr>
              <w:t>:</w:t>
            </w:r>
          </w:p>
          <w:p w14:paraId="4FB0C24E" w14:textId="77777777" w:rsidR="00615E2D" w:rsidRDefault="00C83E46">
            <w:pPr>
              <w:pStyle w:val="P68B1DB1-Normal11"/>
              <w:spacing w:after="0" w:line="240" w:lineRule="auto"/>
              <w:jc w:val="both"/>
              <w:rPr>
                <w:noProof/>
              </w:rPr>
            </w:pPr>
            <w:r>
              <w:rPr>
                <w:noProof/>
              </w:rPr>
              <w:t>1) Metodološke upute, predlošci za postupak u kojem se obvezujuće mišljenje procjene utjecaja na okoliš kombinira sa SEO-om</w:t>
            </w:r>
          </w:p>
          <w:p w14:paraId="4B1B01A1" w14:textId="77777777" w:rsidR="00615E2D" w:rsidRDefault="00C83E46">
            <w:pPr>
              <w:pStyle w:val="P68B1DB1-Normal11"/>
              <w:spacing w:after="0" w:line="240" w:lineRule="auto"/>
              <w:jc w:val="both"/>
              <w:rPr>
                <w:noProof/>
              </w:rPr>
            </w:pPr>
            <w:r>
              <w:rPr>
                <w:noProof/>
              </w:rPr>
              <w:t>2) Metodološka uputa za postupak kada se SEO izdaje zasebno, tj. kada se Prvo provodi procjena utjecaja na okoliš, a SEO se izdaje nakon toga.</w:t>
            </w:r>
          </w:p>
          <w:p w14:paraId="661A486A" w14:textId="77777777" w:rsidR="00615E2D" w:rsidRDefault="00C83E46">
            <w:pPr>
              <w:pStyle w:val="P68B1DB1-Normal10"/>
              <w:spacing w:after="0" w:line="240" w:lineRule="auto"/>
              <w:jc w:val="both"/>
              <w:rPr>
                <w:noProof/>
                <w:color w:val="006100"/>
              </w:rPr>
            </w:pPr>
            <w:r>
              <w:rPr>
                <w:noProof/>
                <w:color w:val="006100"/>
              </w:rPr>
              <w:t>Metodološke smjernice kojima se opisuju upravljanje, strukturne promjene, raspodjela nadležnosti i usmjeravanje rada</w:t>
            </w:r>
            <w:r>
              <w:rPr>
                <w:strike/>
                <w:noProof/>
                <w:color w:val="498205"/>
              </w:rPr>
              <w:t xml:space="preserve"> </w:t>
            </w:r>
            <w:r>
              <w:rPr>
                <w:noProof/>
                <w:color w:val="006100"/>
              </w:rPr>
              <w:t>različitih državnih tijela</w:t>
            </w:r>
            <w:r>
              <w:rPr>
                <w:noProof/>
                <w:color w:val="498205"/>
                <w:u w:val="single"/>
              </w:rPr>
              <w:t>.</w:t>
            </w:r>
            <w:r>
              <w:rPr>
                <w:noProof/>
                <w:color w:val="006100"/>
              </w:rPr>
              <w:t xml:space="preserve">  </w:t>
            </w:r>
          </w:p>
          <w:p w14:paraId="07D13088" w14:textId="1958FCED" w:rsidR="00615E2D" w:rsidRDefault="00C83E46">
            <w:pPr>
              <w:pStyle w:val="P68B1DB1-Normal11"/>
              <w:spacing w:before="0" w:after="0" w:line="240" w:lineRule="auto"/>
              <w:jc w:val="both"/>
              <w:textAlignment w:val="baseline"/>
              <w:rPr>
                <w:noProof/>
              </w:rPr>
            </w:pPr>
            <w:r>
              <w:rPr>
                <w:noProof/>
              </w:rPr>
              <w:t xml:space="preserve">Metodologije uključuju i predloške dokumenata, uključujući predloške aplikacije za SEO. </w:t>
            </w:r>
          </w:p>
        </w:tc>
      </w:tr>
      <w:tr w:rsidR="00615E2D" w14:paraId="33126F74" w14:textId="77777777">
        <w:trPr>
          <w:trHeight w:val="2145"/>
        </w:trPr>
        <w:tc>
          <w:tcPr>
            <w:tcW w:w="635"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A59A472" w14:textId="3C6E4140" w:rsidR="00615E2D" w:rsidRDefault="00C83E46">
            <w:pPr>
              <w:pStyle w:val="P68B1DB1-Normal15"/>
              <w:spacing w:before="0" w:after="0" w:line="240" w:lineRule="auto"/>
              <w:jc w:val="center"/>
              <w:rPr>
                <w:noProof/>
              </w:rPr>
            </w:pPr>
            <w:r>
              <w:rPr>
                <w:noProof/>
              </w:rPr>
              <w:t>343</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2C065C38" w14:textId="111E3595" w:rsidR="00615E2D" w:rsidRDefault="00C83E46">
            <w:pPr>
              <w:pStyle w:val="P68B1DB1-Normal11"/>
              <w:spacing w:before="0" w:after="0" w:line="240" w:lineRule="auto"/>
              <w:textAlignment w:val="baseline"/>
              <w:rPr>
                <w:noProof/>
              </w:rPr>
            </w:pPr>
            <w:r>
              <w:rPr>
                <w:noProof/>
              </w:rPr>
              <w:t>Reforma br. 2: Područja za ubrzanje proizvodnje energije iz obnovljivih izvora</w:t>
            </w:r>
          </w:p>
        </w:tc>
        <w:tc>
          <w:tcPr>
            <w:tcW w:w="113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B0C89AB" w14:textId="4EFA41C9" w:rsidR="00615E2D" w:rsidRDefault="00C83E46">
            <w:pPr>
              <w:pStyle w:val="P68B1DB1-Normal11"/>
              <w:spacing w:line="240" w:lineRule="auto"/>
              <w:rPr>
                <w:noProof/>
              </w:rPr>
            </w:pPr>
            <w:r>
              <w:rPr>
                <w:noProof/>
              </w:rPr>
              <w:t>Prekretnica</w:t>
            </w:r>
          </w:p>
        </w:tc>
        <w:tc>
          <w:tcPr>
            <w:tcW w:w="1516"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B0A16DF" w14:textId="71BA9FBF" w:rsidR="00615E2D" w:rsidRDefault="00C83E46">
            <w:pPr>
              <w:pStyle w:val="P68B1DB1-Normal11"/>
              <w:spacing w:line="240" w:lineRule="auto"/>
              <w:rPr>
                <w:noProof/>
              </w:rPr>
            </w:pPr>
            <w:r>
              <w:rPr>
                <w:noProof/>
              </w:rPr>
              <w:t xml:space="preserve">Metodologija za određivanje područja ubrzane proizvodnje energije iz obnovljivih izvora </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F8F5986" w14:textId="77777777" w:rsidR="00615E2D" w:rsidRDefault="00C83E46">
            <w:pPr>
              <w:pStyle w:val="P68B1DB1-Normal11"/>
              <w:spacing w:line="240" w:lineRule="auto"/>
              <w:jc w:val="both"/>
              <w:rPr>
                <w:noProof/>
              </w:rPr>
            </w:pPr>
            <w:r>
              <w:rPr>
                <w:noProof/>
              </w:rPr>
              <w:t>Objava metodologije</w:t>
            </w:r>
          </w:p>
          <w:p w14:paraId="4D1C5A3A" w14:textId="77777777" w:rsidR="00615E2D" w:rsidRDefault="00615E2D">
            <w:pPr>
              <w:spacing w:line="240" w:lineRule="auto"/>
              <w:rPr>
                <w:rFonts w:eastAsia="Times New Roman"/>
                <w:noProof/>
                <w:color w:val="006100"/>
                <w:sz w:val="18"/>
              </w:rPr>
            </w:pPr>
          </w:p>
        </w:tc>
        <w:tc>
          <w:tcPr>
            <w:tcW w:w="94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53BE4E97" w14:textId="77777777" w:rsidR="00615E2D" w:rsidRDefault="00615E2D">
            <w:pPr>
              <w:spacing w:line="240" w:lineRule="auto"/>
              <w:rPr>
                <w:rFonts w:eastAsia="Times New Roman"/>
                <w:noProof/>
                <w:color w:val="006100"/>
                <w:sz w:val="18"/>
              </w:rPr>
            </w:pP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6D9E9CC" w14:textId="77777777" w:rsidR="00615E2D" w:rsidRDefault="00615E2D">
            <w:pPr>
              <w:spacing w:line="240" w:lineRule="auto"/>
              <w:jc w:val="center"/>
              <w:rPr>
                <w:rFonts w:eastAsia="Times New Roman"/>
                <w:noProof/>
                <w:color w:val="006100"/>
                <w:sz w:val="18"/>
              </w:rPr>
            </w:pP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30EB0303" w14:textId="77777777" w:rsidR="00615E2D" w:rsidRDefault="00615E2D">
            <w:pPr>
              <w:spacing w:line="240" w:lineRule="auto"/>
              <w:jc w:val="center"/>
              <w:rPr>
                <w:rFonts w:eastAsia="Times New Roman"/>
                <w:noProof/>
                <w:color w:val="006100"/>
                <w:sz w:val="18"/>
              </w:rPr>
            </w:pPr>
          </w:p>
        </w:tc>
        <w:tc>
          <w:tcPr>
            <w:tcW w:w="100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2DF6401" w14:textId="596A3C53" w:rsidR="00615E2D" w:rsidRDefault="00C83E46">
            <w:pPr>
              <w:pStyle w:val="P68B1DB1-Normal11"/>
              <w:spacing w:line="240" w:lineRule="auto"/>
              <w:rPr>
                <w:noProof/>
              </w:rPr>
            </w:pPr>
            <w:r>
              <w:rPr>
                <w:noProof/>
              </w:rPr>
              <w:t>ČETVRTO TROMJESEČJE</w:t>
            </w:r>
          </w:p>
        </w:tc>
        <w:tc>
          <w:tcPr>
            <w:tcW w:w="723"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F0C5302" w14:textId="5B992367" w:rsidR="00615E2D" w:rsidRDefault="00C83E46">
            <w:pPr>
              <w:pStyle w:val="P68B1DB1-Normal11"/>
              <w:spacing w:line="240" w:lineRule="auto"/>
              <w:rPr>
                <w:noProof/>
              </w:rPr>
            </w:pPr>
            <w:r>
              <w:rPr>
                <w:noProof/>
              </w:rPr>
              <w:t>2023</w:t>
            </w:r>
          </w:p>
        </w:tc>
        <w:tc>
          <w:tcPr>
            <w:tcW w:w="3969"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CF00BCC" w14:textId="30B020D4" w:rsidR="00615E2D" w:rsidRDefault="00C83E46">
            <w:pPr>
              <w:spacing w:before="0" w:after="0" w:line="240" w:lineRule="auto"/>
              <w:textAlignment w:val="baseline"/>
              <w:rPr>
                <w:rFonts w:eastAsia="Times New Roman"/>
                <w:noProof/>
                <w:color w:val="006100"/>
                <w:sz w:val="18"/>
              </w:rPr>
            </w:pPr>
            <w:r>
              <w:rPr>
                <w:rFonts w:eastAsia="Times New Roman"/>
                <w:noProof/>
                <w:color w:val="006100"/>
                <w:sz w:val="18"/>
              </w:rPr>
              <w:t xml:space="preserve">Metodologijom se utvrđuju jedinstveni kriteriji za odabir i procjenu područja prikladnih za razvoj energije vjetra i solarne energije. To uključuje područja s manjim utjecajem na okoliš, bez sukoba ili s malim sukobom s drugim interesima, područja s dovoljnim potencijalom za gustoću energije vjetra, brzinu vjetra, sunčevo zračenje i dostupnost prijenosnog sustava. Financijski poticaji, mjere ublažavanja i rješenja od kojih svi imaju koristi za poboljšanje usluga ekosustava u krajobrazu dio su dokumenata priloženih metodologiji. </w:t>
            </w:r>
            <w:r>
              <w:rPr>
                <w:noProof/>
              </w:rPr>
              <w:br/>
            </w:r>
            <w:r>
              <w:rPr>
                <w:rFonts w:eastAsia="Times New Roman"/>
                <w:noProof/>
                <w:color w:val="006100"/>
                <w:sz w:val="18"/>
              </w:rPr>
              <w:t>Metodologija se utvrđuje u suradnji s relevantnim dionicima, među ostalim komunikacijom s javnošću i transparentnim dijalogom.</w:t>
            </w:r>
          </w:p>
          <w:p w14:paraId="400161BC" w14:textId="15367D36" w:rsidR="00615E2D" w:rsidRDefault="00C83E46">
            <w:pPr>
              <w:pStyle w:val="P68B1DB1-Normal11"/>
              <w:spacing w:before="0" w:after="0" w:line="240" w:lineRule="auto"/>
              <w:jc w:val="both"/>
              <w:textAlignment w:val="baseline"/>
              <w:rPr>
                <w:noProof/>
              </w:rPr>
            </w:pPr>
            <w:r>
              <w:rPr>
                <w:noProof/>
              </w:rPr>
              <w:t>Ministarstvo okoliša regijama i općinama pruža pomoć i aktivnosti informiranja o područjima ubrzavanja.</w:t>
            </w:r>
          </w:p>
          <w:p w14:paraId="66D922A1" w14:textId="77777777" w:rsidR="00615E2D" w:rsidRDefault="00615E2D">
            <w:pPr>
              <w:spacing w:after="0" w:line="240" w:lineRule="auto"/>
              <w:jc w:val="both"/>
              <w:rPr>
                <w:rFonts w:eastAsia="Times New Roman"/>
                <w:noProof/>
                <w:color w:val="006100"/>
                <w:sz w:val="18"/>
              </w:rPr>
            </w:pPr>
          </w:p>
        </w:tc>
      </w:tr>
      <w:tr w:rsidR="00615E2D" w14:paraId="08C08EAB" w14:textId="77777777">
        <w:trPr>
          <w:trHeight w:val="2145"/>
        </w:trPr>
        <w:tc>
          <w:tcPr>
            <w:tcW w:w="635"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A173B57" w14:textId="681B6830" w:rsidR="00615E2D" w:rsidRDefault="00C83E46">
            <w:pPr>
              <w:pStyle w:val="P68B1DB1-Normal15"/>
              <w:spacing w:before="0" w:after="0" w:line="240" w:lineRule="auto"/>
              <w:jc w:val="center"/>
              <w:rPr>
                <w:noProof/>
              </w:rPr>
            </w:pPr>
            <w:r>
              <w:rPr>
                <w:noProof/>
              </w:rPr>
              <w:t>344</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BB0964A" w14:textId="77777777" w:rsidR="00615E2D" w:rsidRDefault="00C83E46">
            <w:pPr>
              <w:pStyle w:val="P68B1DB1-Normal11"/>
              <w:spacing w:before="0" w:after="0" w:line="240" w:lineRule="auto"/>
              <w:jc w:val="both"/>
              <w:textAlignment w:val="baseline"/>
              <w:rPr>
                <w:noProof/>
              </w:rPr>
            </w:pPr>
            <w:r>
              <w:rPr>
                <w:noProof/>
              </w:rPr>
              <w:t>Reforma br. 2:</w:t>
            </w:r>
          </w:p>
          <w:p w14:paraId="784C646D" w14:textId="5082704B" w:rsidR="00615E2D" w:rsidRDefault="00C83E46">
            <w:pPr>
              <w:pStyle w:val="P68B1DB1-Normal11"/>
              <w:spacing w:before="0" w:after="0" w:line="240" w:lineRule="auto"/>
              <w:jc w:val="both"/>
              <w:textAlignment w:val="baseline"/>
              <w:rPr>
                <w:noProof/>
              </w:rPr>
            </w:pPr>
            <w:r>
              <w:rPr>
                <w:noProof/>
              </w:rPr>
              <w:t xml:space="preserve">Područja za ubrzanje proizvodnje energije iz obnovljivih izvora </w:t>
            </w:r>
          </w:p>
        </w:tc>
        <w:tc>
          <w:tcPr>
            <w:tcW w:w="113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25B5920D" w14:textId="371ADE2A" w:rsidR="00615E2D" w:rsidRDefault="00C83E46">
            <w:pPr>
              <w:pStyle w:val="P68B1DB1-Normal11"/>
              <w:spacing w:line="240" w:lineRule="auto"/>
              <w:rPr>
                <w:noProof/>
              </w:rPr>
            </w:pPr>
            <w:r>
              <w:rPr>
                <w:noProof/>
              </w:rPr>
              <w:t>Prekretnica</w:t>
            </w:r>
          </w:p>
        </w:tc>
        <w:tc>
          <w:tcPr>
            <w:tcW w:w="1516"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CC9C0D6" w14:textId="77777777" w:rsidR="00615E2D" w:rsidRDefault="00C83E46">
            <w:pPr>
              <w:pStyle w:val="P68B1DB1-Normal11"/>
              <w:spacing w:before="0" w:after="0" w:line="240" w:lineRule="auto"/>
              <w:jc w:val="both"/>
              <w:textAlignment w:val="baseline"/>
              <w:rPr>
                <w:noProof/>
              </w:rPr>
            </w:pPr>
            <w:r>
              <w:rPr>
                <w:noProof/>
              </w:rPr>
              <w:t>Okvir za potporu područjima ubrzane proizvodnje energije iz obnovljivih izvora</w:t>
            </w:r>
          </w:p>
          <w:p w14:paraId="41B0B84A" w14:textId="77777777" w:rsidR="00615E2D" w:rsidRDefault="00615E2D">
            <w:pPr>
              <w:spacing w:line="240" w:lineRule="auto"/>
              <w:rPr>
                <w:rFonts w:eastAsia="Times New Roman"/>
                <w:noProof/>
                <w:color w:val="006100"/>
                <w:sz w:val="18"/>
              </w:rPr>
            </w:pP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6C2ECD7B" w14:textId="4DE9C228" w:rsidR="00615E2D" w:rsidRDefault="00C83E46">
            <w:pPr>
              <w:pStyle w:val="P68B1DB1-Normal11"/>
              <w:spacing w:before="0" w:after="0" w:line="240" w:lineRule="auto"/>
              <w:jc w:val="both"/>
              <w:textAlignment w:val="baseline"/>
              <w:rPr>
                <w:noProof/>
              </w:rPr>
            </w:pPr>
            <w:r>
              <w:rPr>
                <w:noProof/>
              </w:rPr>
              <w:t>Stupanje na snagu zakonodavne izmjene Zakona o gradnji, Zakona o energiji, Zakona o obnovljivim izvorima energije, Zakona o procjeni utjecaja na okoliš i Zakona o prirodi i krajobrazu</w:t>
            </w:r>
          </w:p>
          <w:p w14:paraId="5A8DCF4F" w14:textId="40AA082E" w:rsidR="00615E2D" w:rsidRDefault="00C83E46">
            <w:pPr>
              <w:pStyle w:val="P68B1DB1-Normal11"/>
              <w:spacing w:before="0" w:after="0" w:line="240" w:lineRule="auto"/>
              <w:jc w:val="both"/>
              <w:textAlignment w:val="baseline"/>
              <w:rPr>
                <w:noProof/>
              </w:rPr>
            </w:pPr>
            <w:r>
              <w:rPr>
                <w:noProof/>
              </w:rPr>
              <w:t xml:space="preserve">Stupanje na snagu novog zakonodavstva o područjima ubrzane proizvodnje energije iz obnovljivih izvora </w:t>
            </w:r>
          </w:p>
          <w:p w14:paraId="339AD83C" w14:textId="0D570290" w:rsidR="00615E2D" w:rsidRDefault="00C83E46">
            <w:pPr>
              <w:pStyle w:val="P68B1DB1-Normal11"/>
              <w:spacing w:line="240" w:lineRule="auto"/>
              <w:rPr>
                <w:noProof/>
              </w:rPr>
            </w:pPr>
            <w:r>
              <w:rPr>
                <w:noProof/>
              </w:rPr>
              <w:t xml:space="preserve">Donošenje ažuriranih politika prostornog razvoja </w:t>
            </w:r>
          </w:p>
        </w:tc>
        <w:tc>
          <w:tcPr>
            <w:tcW w:w="94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5666381B" w14:textId="77777777" w:rsidR="00615E2D" w:rsidRDefault="00615E2D">
            <w:pPr>
              <w:spacing w:line="240" w:lineRule="auto"/>
              <w:rPr>
                <w:rFonts w:eastAsia="Times New Roman"/>
                <w:noProof/>
                <w:color w:val="006100"/>
                <w:sz w:val="18"/>
              </w:rPr>
            </w:pP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2A835A7F" w14:textId="77777777" w:rsidR="00615E2D" w:rsidRDefault="00615E2D">
            <w:pPr>
              <w:spacing w:line="240" w:lineRule="auto"/>
              <w:jc w:val="center"/>
              <w:rPr>
                <w:rFonts w:eastAsia="Times New Roman"/>
                <w:noProof/>
                <w:color w:val="006100"/>
                <w:sz w:val="18"/>
              </w:rPr>
            </w:pP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C338931" w14:textId="77777777" w:rsidR="00615E2D" w:rsidRDefault="00615E2D">
            <w:pPr>
              <w:spacing w:line="240" w:lineRule="auto"/>
              <w:jc w:val="center"/>
              <w:rPr>
                <w:rFonts w:eastAsia="Times New Roman"/>
                <w:noProof/>
                <w:color w:val="006100"/>
                <w:sz w:val="18"/>
              </w:rPr>
            </w:pPr>
          </w:p>
        </w:tc>
        <w:tc>
          <w:tcPr>
            <w:tcW w:w="100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3022C21E" w14:textId="40DF54F6" w:rsidR="00615E2D" w:rsidRDefault="00C83E46">
            <w:pPr>
              <w:pStyle w:val="P68B1DB1-Normal11"/>
              <w:spacing w:line="240" w:lineRule="auto"/>
              <w:rPr>
                <w:noProof/>
              </w:rPr>
            </w:pPr>
            <w:r>
              <w:rPr>
                <w:noProof/>
              </w:rPr>
              <w:t>ČETVRTO TROMJESEČJE</w:t>
            </w:r>
          </w:p>
        </w:tc>
        <w:tc>
          <w:tcPr>
            <w:tcW w:w="723"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07DBDE8" w14:textId="52CB313D" w:rsidR="00615E2D" w:rsidRDefault="00C83E46">
            <w:pPr>
              <w:pStyle w:val="P68B1DB1-Normal11"/>
              <w:spacing w:line="240" w:lineRule="auto"/>
              <w:rPr>
                <w:noProof/>
              </w:rPr>
            </w:pPr>
            <w:r>
              <w:rPr>
                <w:noProof/>
              </w:rPr>
              <w:t>2024</w:t>
            </w:r>
          </w:p>
        </w:tc>
        <w:tc>
          <w:tcPr>
            <w:tcW w:w="3969"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582CE320" w14:textId="019C6DAE" w:rsidR="00615E2D" w:rsidRDefault="00C83E46">
            <w:pPr>
              <w:pStyle w:val="P68B1DB1-Normal11"/>
              <w:spacing w:before="0" w:after="0" w:line="240" w:lineRule="auto"/>
              <w:jc w:val="both"/>
              <w:textAlignment w:val="baseline"/>
              <w:rPr>
                <w:noProof/>
              </w:rPr>
            </w:pPr>
            <w:r>
              <w:rPr>
                <w:noProof/>
              </w:rPr>
              <w:t xml:space="preserve">Zakonodavnim izmjenama stvara se mogućnost da regije i općine odrede područja za ubrzanje proizvodnje energije iz obnovljivih izvora za tehnologije solarne energije i energije vjetra, na temelju načela teritorijalnog razvoja i metodologije za utvrđivanje područja. Svako područje uključuje ciljeve za prostor (km²) ili instalirani kapacitet (MW) za vjetar i solarnu energiju. </w:t>
            </w:r>
          </w:p>
          <w:p w14:paraId="38C79C67" w14:textId="77777777" w:rsidR="00615E2D" w:rsidRDefault="00615E2D">
            <w:pPr>
              <w:spacing w:before="0" w:after="0" w:line="240" w:lineRule="auto"/>
              <w:jc w:val="both"/>
              <w:textAlignment w:val="baseline"/>
              <w:rPr>
                <w:rFonts w:eastAsia="Times New Roman"/>
                <w:noProof/>
                <w:color w:val="006100"/>
                <w:sz w:val="18"/>
              </w:rPr>
            </w:pPr>
          </w:p>
          <w:p w14:paraId="23BFCE55" w14:textId="33C29D94" w:rsidR="00615E2D" w:rsidRDefault="00C83E46">
            <w:pPr>
              <w:pStyle w:val="P68B1DB1-Normal11"/>
              <w:spacing w:line="240" w:lineRule="auto"/>
              <w:rPr>
                <w:noProof/>
              </w:rPr>
            </w:pPr>
            <w:r>
              <w:rPr>
                <w:noProof/>
              </w:rPr>
              <w:t>Zakonodavnim izmjenama uvode se posebni pojednostavnjeni postupci izdavanja dozvola i priključivanja na mrežu koji se primjenjuju na postrojenja za proizvodnju energije iz obnovljivih izvora unutar takvih područja za ubrzanje proizvodnje energije iz obnovljivih izvora, što rezultira jednostavnijim postupcima i kraćim rokovima. Na temelju Direktive o strateškoj procjeni utjecaja na okoliš provodi se jedinstvena procjena utjecaja na okoliš na razini područja, čime se projekti izuzimaju od provođenja pojedinačne procjene utjecaja. Ako na temelju analize koju je provelo relevantno tijelo postoje dokazi da će određeni projekt vrlo vjerojatno imati značajne negativne učinke na okoliš, za taj će se projekt morati provesti procjene utjecaja na okoliš u skladu s Direktivom o procjeni utjecaja na okoliš i Direktivom o staništima (provedene u roku od šest mjeseci). Na razini planiranja područja ubrzane proizvodnje energije iz obnovljivih izvora podliježu sudjelovanju javnosti.</w:t>
            </w:r>
          </w:p>
          <w:p w14:paraId="5A1880B8" w14:textId="77777777" w:rsidR="00615E2D" w:rsidRDefault="00615E2D">
            <w:pPr>
              <w:spacing w:before="0" w:after="0" w:line="240" w:lineRule="auto"/>
              <w:jc w:val="both"/>
              <w:textAlignment w:val="baseline"/>
              <w:rPr>
                <w:rFonts w:eastAsia="Times New Roman"/>
                <w:noProof/>
                <w:color w:val="006100"/>
                <w:sz w:val="18"/>
              </w:rPr>
            </w:pPr>
          </w:p>
          <w:p w14:paraId="4C7020AB" w14:textId="0F1FC985" w:rsidR="00615E2D" w:rsidRDefault="00C83E46">
            <w:pPr>
              <w:pStyle w:val="P68B1DB1-Normal11"/>
              <w:spacing w:before="0" w:after="0" w:line="240" w:lineRule="auto"/>
              <w:jc w:val="both"/>
              <w:textAlignment w:val="baseline"/>
              <w:rPr>
                <w:noProof/>
              </w:rPr>
            </w:pPr>
            <w:r>
              <w:rPr>
                <w:noProof/>
              </w:rPr>
              <w:t>Projekti koji se nalaze u području ubrzavanja imaju koristi od ubrzanog postupka izdavanja dozvola. Utvrđuju se obvezni obvezujući rokovi za izdavanje svih dozvola kako bi se osiguralo da postupak izdavanja dozvola ne traje dulje od jedne godine za postrojenja dulja od 150 kW i šest mjeseci za postrojenja za proizvodnju energije iz obnovljivih izvora do 150 kW.</w:t>
            </w:r>
          </w:p>
          <w:p w14:paraId="04A213E5" w14:textId="77777777" w:rsidR="00615E2D" w:rsidRDefault="00615E2D">
            <w:pPr>
              <w:spacing w:before="0" w:after="0" w:line="240" w:lineRule="auto"/>
              <w:jc w:val="both"/>
              <w:rPr>
                <w:rFonts w:eastAsia="Times New Roman"/>
                <w:noProof/>
                <w:color w:val="006100"/>
                <w:sz w:val="18"/>
              </w:rPr>
            </w:pPr>
          </w:p>
          <w:p w14:paraId="32EB5249" w14:textId="4C23FDE0" w:rsidR="00615E2D" w:rsidRDefault="00C83E46">
            <w:pPr>
              <w:pStyle w:val="P68B1DB1-Normal11"/>
              <w:spacing w:after="0" w:line="240" w:lineRule="auto"/>
              <w:jc w:val="both"/>
              <w:rPr>
                <w:noProof/>
              </w:rPr>
            </w:pPr>
            <w:r>
              <w:rPr>
                <w:noProof/>
              </w:rPr>
              <w:t>Zakonodavnim izmjenama predviđa se uvođenje mjera za prihvaćanje projekata kao što su financijsko sudjelovanje, podjela gospodarskih koristi, mehanizmi za rješavanje sukoba, mjere ranog angažmana i mjere ublažavanja utjecaja na okoliš.</w:t>
            </w:r>
          </w:p>
        </w:tc>
      </w:tr>
      <w:tr w:rsidR="00615E2D" w14:paraId="780DC2D0" w14:textId="77777777">
        <w:trPr>
          <w:trHeight w:val="2145"/>
        </w:trPr>
        <w:tc>
          <w:tcPr>
            <w:tcW w:w="635"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78640673" w14:textId="15296C61" w:rsidR="00615E2D" w:rsidRDefault="00C83E46">
            <w:pPr>
              <w:pStyle w:val="P68B1DB1-Normal15"/>
              <w:spacing w:before="0" w:after="0" w:line="240" w:lineRule="auto"/>
              <w:jc w:val="center"/>
              <w:rPr>
                <w:noProof/>
              </w:rPr>
            </w:pPr>
            <w:r>
              <w:rPr>
                <w:noProof/>
              </w:rPr>
              <w:t>345</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00F097C" w14:textId="77777777" w:rsidR="00615E2D" w:rsidRDefault="00C83E46">
            <w:pPr>
              <w:pStyle w:val="P68B1DB1-Normal11"/>
              <w:spacing w:before="0" w:after="0" w:line="240" w:lineRule="auto"/>
              <w:jc w:val="both"/>
              <w:textAlignment w:val="baseline"/>
              <w:rPr>
                <w:noProof/>
              </w:rPr>
            </w:pPr>
            <w:r>
              <w:rPr>
                <w:noProof/>
              </w:rPr>
              <w:t>Reforma br. 2:</w:t>
            </w:r>
          </w:p>
          <w:p w14:paraId="1BEBBC0E" w14:textId="77777777" w:rsidR="00615E2D" w:rsidRDefault="00C83E46">
            <w:pPr>
              <w:pStyle w:val="P68B1DB1-Normal11"/>
              <w:spacing w:before="0" w:after="0" w:line="240" w:lineRule="auto"/>
              <w:jc w:val="both"/>
              <w:textAlignment w:val="baseline"/>
              <w:rPr>
                <w:noProof/>
              </w:rPr>
            </w:pPr>
            <w:r>
              <w:rPr>
                <w:noProof/>
              </w:rPr>
              <w:t>Područja ubrzane proizvodnje energije iz obnovljivih izvora</w:t>
            </w:r>
          </w:p>
          <w:p w14:paraId="3058584C" w14:textId="1EF5356B" w:rsidR="00615E2D" w:rsidRDefault="00615E2D">
            <w:pPr>
              <w:spacing w:before="0" w:after="0" w:line="240" w:lineRule="auto"/>
              <w:jc w:val="both"/>
              <w:textAlignment w:val="baseline"/>
              <w:rPr>
                <w:rFonts w:eastAsia="Times New Roman"/>
                <w:noProof/>
                <w:color w:val="00610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48403273" w14:textId="604B7428" w:rsidR="00615E2D" w:rsidRDefault="00C83E46">
            <w:pPr>
              <w:pStyle w:val="P68B1DB1-Normal11"/>
              <w:spacing w:line="240" w:lineRule="auto"/>
              <w:rPr>
                <w:noProof/>
              </w:rPr>
            </w:pPr>
            <w:r>
              <w:rPr>
                <w:noProof/>
              </w:rPr>
              <w:t>Ciljna  </w:t>
            </w:r>
          </w:p>
        </w:tc>
        <w:tc>
          <w:tcPr>
            <w:tcW w:w="1516"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61DC539F" w14:textId="5FF85DA7" w:rsidR="00615E2D" w:rsidRDefault="00C83E46">
            <w:pPr>
              <w:pStyle w:val="P68B1DB1-Normal11"/>
              <w:spacing w:before="0" w:after="0" w:line="240" w:lineRule="auto"/>
              <w:jc w:val="both"/>
              <w:textAlignment w:val="baseline"/>
              <w:rPr>
                <w:noProof/>
              </w:rPr>
            </w:pPr>
            <w:r>
              <w:rPr>
                <w:noProof/>
              </w:rPr>
              <w:t>Određivanje područja za ubrzanje proizvodnje energije iz obnovljivih izvora za razvoj energije vjetra i solarne energije</w:t>
            </w:r>
          </w:p>
        </w:tc>
        <w:tc>
          <w:tcPr>
            <w:tcW w:w="1312"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5C80DF8A" w14:textId="1CF90B3E" w:rsidR="00615E2D" w:rsidRDefault="00C83E46">
            <w:pPr>
              <w:pStyle w:val="P68B1DB1-Normal11"/>
              <w:spacing w:before="0" w:after="0" w:line="240" w:lineRule="auto"/>
              <w:jc w:val="both"/>
              <w:textAlignment w:val="baseline"/>
              <w:rPr>
                <w:noProof/>
              </w:rPr>
            </w:pPr>
            <w:r>
              <w:rPr>
                <w:noProof/>
              </w:rPr>
              <w:t> </w:t>
            </w:r>
          </w:p>
        </w:tc>
        <w:tc>
          <w:tcPr>
            <w:tcW w:w="944"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570C96BC" w14:textId="42D837CF" w:rsidR="00615E2D" w:rsidRDefault="00C83E46">
            <w:pPr>
              <w:pStyle w:val="P68B1DB1-Normal11"/>
              <w:spacing w:line="240" w:lineRule="auto"/>
              <w:rPr>
                <w:noProof/>
              </w:rPr>
            </w:pPr>
            <w:r>
              <w:rPr>
                <w:noProof/>
              </w:rPr>
              <w:t>Broj zaposlenika</w:t>
            </w: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8FF8FD4" w14:textId="075E1B10" w:rsidR="00615E2D" w:rsidRDefault="00C83E46">
            <w:pPr>
              <w:pStyle w:val="P68B1DB1-Normal11"/>
              <w:spacing w:line="240" w:lineRule="auto"/>
              <w:jc w:val="center"/>
              <w:rPr>
                <w:noProof/>
              </w:rPr>
            </w:pPr>
            <w:r>
              <w:rPr>
                <w:noProof/>
              </w:rPr>
              <w:t>0  </w:t>
            </w:r>
          </w:p>
        </w:tc>
        <w:tc>
          <w:tcPr>
            <w:tcW w:w="99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F3D7037" w14:textId="7F10A716" w:rsidR="00615E2D" w:rsidRDefault="00C83E46">
            <w:pPr>
              <w:pStyle w:val="P68B1DB1-Normal11"/>
              <w:spacing w:line="240" w:lineRule="auto"/>
              <w:jc w:val="center"/>
              <w:rPr>
                <w:noProof/>
              </w:rPr>
            </w:pPr>
            <w:r>
              <w:rPr>
                <w:noProof/>
              </w:rPr>
              <w:t>3,5</w:t>
            </w:r>
          </w:p>
        </w:tc>
        <w:tc>
          <w:tcPr>
            <w:tcW w:w="1007"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1306AA4D" w14:textId="16E53BFF" w:rsidR="00615E2D" w:rsidRDefault="00C83E46">
            <w:pPr>
              <w:pStyle w:val="P68B1DB1-Normal11"/>
              <w:spacing w:line="240" w:lineRule="auto"/>
              <w:rPr>
                <w:noProof/>
              </w:rPr>
            </w:pPr>
            <w:r>
              <w:rPr>
                <w:noProof/>
              </w:rPr>
              <w:t>ČETVRTO TROMJESEČJE  </w:t>
            </w:r>
          </w:p>
        </w:tc>
        <w:tc>
          <w:tcPr>
            <w:tcW w:w="723"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01C007EB" w14:textId="52D88120" w:rsidR="00615E2D" w:rsidRDefault="00C83E46">
            <w:pPr>
              <w:pStyle w:val="P68B1DB1-Normal11"/>
              <w:spacing w:line="240" w:lineRule="auto"/>
              <w:rPr>
                <w:noProof/>
              </w:rPr>
            </w:pPr>
            <w:r>
              <w:rPr>
                <w:noProof/>
              </w:rPr>
              <w:t>2024  </w:t>
            </w:r>
          </w:p>
        </w:tc>
        <w:tc>
          <w:tcPr>
            <w:tcW w:w="3969" w:type="dxa"/>
            <w:tcBorders>
              <w:top w:val="single" w:sz="4" w:space="0" w:color="auto"/>
              <w:left w:val="single" w:sz="4" w:space="0" w:color="auto"/>
              <w:bottom w:val="single" w:sz="4" w:space="0" w:color="auto"/>
              <w:right w:val="single" w:sz="4" w:space="0" w:color="auto"/>
            </w:tcBorders>
            <w:shd w:val="clear" w:color="auto" w:fill="C6EFCE"/>
            <w:tcMar>
              <w:left w:w="105" w:type="dxa"/>
              <w:right w:w="105" w:type="dxa"/>
            </w:tcMar>
            <w:vAlign w:val="center"/>
          </w:tcPr>
          <w:p w14:paraId="3EFC81D6" w14:textId="2550764A" w:rsidR="00615E2D" w:rsidRDefault="00C83E46">
            <w:pPr>
              <w:pStyle w:val="P68B1DB1-Normal11"/>
              <w:spacing w:before="0" w:after="0" w:line="240" w:lineRule="auto"/>
              <w:jc w:val="both"/>
              <w:textAlignment w:val="baseline"/>
              <w:rPr>
                <w:noProof/>
              </w:rPr>
            </w:pPr>
            <w:r>
              <w:rPr>
                <w:noProof/>
              </w:rPr>
              <w:t>Za provedbu područja ubrzane uporabe energije iz obnovljivih izvora zapošljavaju se tri člana osoblja s punim radnim vremenom i pola radnog vremena.  </w:t>
            </w:r>
          </w:p>
        </w:tc>
      </w:tr>
      <w:tr w:rsidR="00615E2D" w14:paraId="73B0FD61" w14:textId="77777777">
        <w:tblPrEx>
          <w:tblBorders>
            <w:top w:val="single" w:sz="6" w:space="0" w:color="auto"/>
            <w:left w:val="single" w:sz="6" w:space="0" w:color="auto"/>
            <w:bottom w:val="single" w:sz="6" w:space="0" w:color="auto"/>
            <w:right w:val="single" w:sz="6" w:space="0" w:color="auto"/>
          </w:tblBorders>
        </w:tblPrEx>
        <w:trPr>
          <w:trHeight w:val="2145"/>
        </w:trPr>
        <w:tc>
          <w:tcPr>
            <w:tcW w:w="635"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377B0922" w14:textId="19DE7724" w:rsidR="00615E2D" w:rsidRDefault="00C83E46">
            <w:pPr>
              <w:pStyle w:val="P68B1DB1-Normal15"/>
              <w:spacing w:before="0" w:after="0" w:line="240" w:lineRule="auto"/>
              <w:jc w:val="center"/>
              <w:rPr>
                <w:noProof/>
              </w:rPr>
            </w:pPr>
            <w:r>
              <w:rPr>
                <w:noProof/>
              </w:rPr>
              <w:t>346</w:t>
            </w:r>
          </w:p>
        </w:tc>
        <w:tc>
          <w:tcPr>
            <w:tcW w:w="1312"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743C8CFA" w14:textId="77777777" w:rsidR="00615E2D" w:rsidRDefault="00C83E46">
            <w:pPr>
              <w:pStyle w:val="P68B1DB1-Normal11"/>
              <w:spacing w:before="0" w:after="0" w:line="240" w:lineRule="auto"/>
              <w:jc w:val="both"/>
              <w:textAlignment w:val="baseline"/>
              <w:rPr>
                <w:noProof/>
              </w:rPr>
            </w:pPr>
            <w:r>
              <w:rPr>
                <w:noProof/>
              </w:rPr>
              <w:t>Reforma br. 2:</w:t>
            </w:r>
          </w:p>
          <w:p w14:paraId="51F955B8" w14:textId="77777777" w:rsidR="00615E2D" w:rsidRDefault="00C83E46">
            <w:pPr>
              <w:pStyle w:val="P68B1DB1-Normal11"/>
              <w:spacing w:before="0" w:after="0" w:line="240" w:lineRule="auto"/>
              <w:jc w:val="both"/>
              <w:textAlignment w:val="baseline"/>
              <w:rPr>
                <w:noProof/>
              </w:rPr>
            </w:pPr>
            <w:r>
              <w:rPr>
                <w:noProof/>
              </w:rPr>
              <w:t>Područja ubrzane proizvodnje energije iz obnovljivih izvora</w:t>
            </w:r>
          </w:p>
          <w:p w14:paraId="061A231D" w14:textId="77777777" w:rsidR="00615E2D" w:rsidRDefault="00615E2D">
            <w:pPr>
              <w:spacing w:before="0" w:after="0" w:line="240" w:lineRule="auto"/>
              <w:jc w:val="both"/>
              <w:textAlignment w:val="baseline"/>
              <w:rPr>
                <w:rFonts w:eastAsia="Times New Roman"/>
                <w:noProof/>
                <w:color w:val="006100"/>
                <w:sz w:val="18"/>
              </w:rPr>
            </w:pPr>
          </w:p>
        </w:tc>
        <w:tc>
          <w:tcPr>
            <w:tcW w:w="113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33C1C722" w14:textId="655A5A45" w:rsidR="00615E2D" w:rsidRDefault="00C83E46">
            <w:pPr>
              <w:pStyle w:val="P68B1DB1-Normal11"/>
              <w:spacing w:line="240" w:lineRule="auto"/>
              <w:rPr>
                <w:noProof/>
              </w:rPr>
            </w:pPr>
            <w:r>
              <w:rPr>
                <w:noProof/>
              </w:rPr>
              <w:t>Ciljna</w:t>
            </w:r>
          </w:p>
        </w:tc>
        <w:tc>
          <w:tcPr>
            <w:tcW w:w="1516"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2C0134A6" w14:textId="5645EE85" w:rsidR="00615E2D" w:rsidRDefault="00C83E46">
            <w:pPr>
              <w:pStyle w:val="P68B1DB1-Normal11"/>
              <w:spacing w:line="240" w:lineRule="auto"/>
              <w:rPr>
                <w:noProof/>
              </w:rPr>
            </w:pPr>
            <w:r>
              <w:rPr>
                <w:noProof/>
              </w:rPr>
              <w:t>Određivanje područja za ubrzanje proizvodnje energije iz obnovljivih izvora za razvoj energije vjetra i solarne energije</w:t>
            </w:r>
          </w:p>
        </w:tc>
        <w:tc>
          <w:tcPr>
            <w:tcW w:w="1312"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53DC3BE8" w14:textId="07FAC6B4" w:rsidR="00615E2D" w:rsidRDefault="00615E2D">
            <w:pPr>
              <w:spacing w:before="0" w:after="0" w:line="240" w:lineRule="auto"/>
              <w:jc w:val="both"/>
              <w:rPr>
                <w:rFonts w:eastAsia="Times New Roman"/>
                <w:noProof/>
                <w:color w:val="006100"/>
                <w:sz w:val="18"/>
              </w:rPr>
            </w:pPr>
          </w:p>
          <w:p w14:paraId="454DA137" w14:textId="77777777" w:rsidR="00615E2D" w:rsidRDefault="00615E2D">
            <w:pPr>
              <w:spacing w:before="0" w:after="0" w:line="240" w:lineRule="auto"/>
              <w:jc w:val="both"/>
              <w:textAlignment w:val="baseline"/>
              <w:rPr>
                <w:rFonts w:eastAsia="Times New Roman"/>
                <w:noProof/>
                <w:color w:val="006100"/>
                <w:sz w:val="18"/>
              </w:rPr>
            </w:pPr>
          </w:p>
        </w:tc>
        <w:tc>
          <w:tcPr>
            <w:tcW w:w="944"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4E2E9DCF" w14:textId="1BCF5351" w:rsidR="00615E2D" w:rsidRDefault="00C83E46">
            <w:pPr>
              <w:pStyle w:val="P68B1DB1-Normal11"/>
              <w:spacing w:line="240" w:lineRule="auto"/>
              <w:rPr>
                <w:noProof/>
              </w:rPr>
            </w:pPr>
            <w:r>
              <w:rPr>
                <w:noProof/>
              </w:rPr>
              <w:t>MW</w:t>
            </w:r>
          </w:p>
        </w:tc>
        <w:tc>
          <w:tcPr>
            <w:tcW w:w="997"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D68FE70" w14:textId="033C7990" w:rsidR="00615E2D" w:rsidRDefault="00C83E46">
            <w:pPr>
              <w:pStyle w:val="P68B1DB1-Normal11"/>
              <w:spacing w:line="240" w:lineRule="auto"/>
              <w:jc w:val="center"/>
              <w:rPr>
                <w:noProof/>
              </w:rPr>
            </w:pPr>
            <w:r>
              <w:rPr>
                <w:noProof/>
              </w:rPr>
              <w:t>0</w:t>
            </w:r>
          </w:p>
        </w:tc>
        <w:tc>
          <w:tcPr>
            <w:tcW w:w="997"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FF612A2" w14:textId="42104C4C" w:rsidR="00615E2D" w:rsidRDefault="00C83E46">
            <w:pPr>
              <w:pStyle w:val="P68B1DB1-Normal11"/>
              <w:spacing w:line="240" w:lineRule="auto"/>
              <w:jc w:val="center"/>
              <w:rPr>
                <w:noProof/>
              </w:rPr>
            </w:pPr>
            <w:r>
              <w:rPr>
                <w:noProof/>
              </w:rPr>
              <w:t>2500</w:t>
            </w:r>
          </w:p>
        </w:tc>
        <w:tc>
          <w:tcPr>
            <w:tcW w:w="1007"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4E35CC1C" w14:textId="064BE84A" w:rsidR="00615E2D" w:rsidRDefault="00C83E46">
            <w:pPr>
              <w:pStyle w:val="P68B1DB1-Normal11"/>
              <w:spacing w:line="240" w:lineRule="auto"/>
              <w:rPr>
                <w:noProof/>
              </w:rPr>
            </w:pPr>
            <w:r>
              <w:rPr>
                <w:noProof/>
              </w:rPr>
              <w:t>TROMJESEČJE</w:t>
            </w:r>
          </w:p>
        </w:tc>
        <w:tc>
          <w:tcPr>
            <w:tcW w:w="723"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00E4205F" w14:textId="291B1FD9" w:rsidR="00615E2D" w:rsidRDefault="00C83E46">
            <w:pPr>
              <w:pStyle w:val="P68B1DB1-Normal11"/>
              <w:spacing w:line="240" w:lineRule="auto"/>
              <w:rPr>
                <w:noProof/>
              </w:rPr>
            </w:pPr>
            <w:r>
              <w:rPr>
                <w:noProof/>
              </w:rPr>
              <w:t>2025</w:t>
            </w:r>
          </w:p>
        </w:tc>
        <w:tc>
          <w:tcPr>
            <w:tcW w:w="3969" w:type="dxa"/>
            <w:tcBorders>
              <w:top w:val="single" w:sz="6" w:space="0" w:color="auto"/>
              <w:left w:val="single" w:sz="6" w:space="0" w:color="auto"/>
              <w:bottom w:val="single" w:sz="6" w:space="0" w:color="auto"/>
              <w:right w:val="single" w:sz="6" w:space="0" w:color="auto"/>
            </w:tcBorders>
            <w:shd w:val="clear" w:color="auto" w:fill="C6EFCE"/>
            <w:tcMar>
              <w:left w:w="105" w:type="dxa"/>
              <w:right w:w="105" w:type="dxa"/>
            </w:tcMar>
            <w:vAlign w:val="center"/>
          </w:tcPr>
          <w:p w14:paraId="6F82B7FB" w14:textId="65E55C32" w:rsidR="00615E2D" w:rsidRDefault="00C83E46">
            <w:pPr>
              <w:pStyle w:val="P68B1DB1-Normal11"/>
              <w:spacing w:before="0" w:after="0" w:line="240" w:lineRule="auto"/>
              <w:jc w:val="both"/>
              <w:textAlignment w:val="baseline"/>
              <w:rPr>
                <w:noProof/>
              </w:rPr>
            </w:pPr>
            <w:r>
              <w:rPr>
                <w:noProof/>
              </w:rPr>
              <w:t>Skup područja za ubrzanje proizvodnje energije iz obnovljivih izvora određuje se s ciljevima u pogledu kapaciteta energije iz obnovljivih izvora za većinu regija, a ukupni kombinirani kapacitet za proizvodnju energije vjetra i solarne energije iznosi najmanje 2 500 MW.</w:t>
            </w:r>
          </w:p>
          <w:p w14:paraId="4ABA99F4" w14:textId="04D9129F" w:rsidR="00615E2D" w:rsidRDefault="00C83E46">
            <w:pPr>
              <w:pStyle w:val="P68B1DB1-Normal11"/>
              <w:spacing w:after="0" w:line="240" w:lineRule="auto"/>
              <w:jc w:val="both"/>
              <w:rPr>
                <w:noProof/>
              </w:rPr>
            </w:pPr>
            <w:r>
              <w:rPr>
                <w:noProof/>
              </w:rPr>
              <w:t xml:space="preserve"> </w:t>
            </w:r>
          </w:p>
        </w:tc>
      </w:tr>
    </w:tbl>
    <w:p w14:paraId="30E4982D" w14:textId="694B2049" w:rsidR="00615E2D" w:rsidRDefault="00615E2D">
      <w:pPr>
        <w:tabs>
          <w:tab w:val="left" w:pos="993"/>
        </w:tabs>
        <w:spacing w:line="240" w:lineRule="auto"/>
        <w:jc w:val="both"/>
        <w:textAlignment w:val="baseline"/>
        <w:rPr>
          <w:rFonts w:eastAsia="Times New Roman"/>
          <w:b/>
          <w:noProof/>
          <w:color w:val="000000" w:themeColor="text1"/>
          <w:u w:val="single"/>
        </w:rPr>
        <w:sectPr w:rsidR="00615E2D" w:rsidSect="003F264F">
          <w:headerReference w:type="even" r:id="rId516"/>
          <w:headerReference w:type="default" r:id="rId517"/>
          <w:footerReference w:type="even" r:id="rId518"/>
          <w:footerReference w:type="default" r:id="rId519"/>
          <w:headerReference w:type="first" r:id="rId520"/>
          <w:footerReference w:type="first" r:id="rId521"/>
          <w:pgSz w:w="16839" w:h="11907" w:orient="landscape"/>
          <w:pgMar w:top="1134" w:right="1134" w:bottom="1134" w:left="1134" w:header="567" w:footer="567" w:gutter="0"/>
          <w:cols w:space="720"/>
          <w:docGrid w:linePitch="360"/>
        </w:sectPr>
      </w:pPr>
    </w:p>
    <w:p w14:paraId="03D09764" w14:textId="6E52028E" w:rsidR="00615E2D" w:rsidRDefault="00C83E46">
      <w:pPr>
        <w:pStyle w:val="P68B1DB1-Normal2"/>
        <w:keepNext/>
        <w:tabs>
          <w:tab w:val="left" w:pos="850"/>
        </w:tabs>
        <w:spacing w:line="240" w:lineRule="auto"/>
        <w:jc w:val="both"/>
        <w:outlineLvl w:val="0"/>
        <w:rPr>
          <w:noProof/>
        </w:rPr>
      </w:pPr>
      <w:r>
        <w:rPr>
          <w:noProof/>
        </w:rPr>
        <w:t xml:space="preserve">ODJELJAK 2.: FINANCIJSKA POTPORA </w:t>
      </w:r>
    </w:p>
    <w:p w14:paraId="744C9896" w14:textId="77777777" w:rsidR="00615E2D" w:rsidRDefault="00C83E46">
      <w:pPr>
        <w:pStyle w:val="P68B1DB1-Normal7"/>
        <w:tabs>
          <w:tab w:val="num" w:pos="850"/>
        </w:tabs>
        <w:spacing w:line="240" w:lineRule="auto"/>
        <w:ind w:left="850" w:hanging="850"/>
        <w:jc w:val="both"/>
        <w:rPr>
          <w:noProof/>
        </w:rPr>
      </w:pPr>
      <w:r>
        <w:rPr>
          <w:noProof/>
        </w:rPr>
        <w:t xml:space="preserve">Financijski doprinos </w:t>
      </w:r>
    </w:p>
    <w:p w14:paraId="3986BAB6" w14:textId="77777777" w:rsidR="00615E2D" w:rsidRDefault="00C83E46">
      <w:pPr>
        <w:spacing w:line="240" w:lineRule="auto"/>
        <w:ind w:left="850"/>
        <w:jc w:val="both"/>
        <w:rPr>
          <w:noProof/>
        </w:rPr>
      </w:pPr>
      <w:r>
        <w:rPr>
          <w:noProof/>
        </w:rPr>
        <w:t>Obroci iz članka 2. stavka 2. organizirani su na sljedeći način:</w:t>
      </w:r>
    </w:p>
    <w:p w14:paraId="00B5BAA7" w14:textId="77777777" w:rsidR="00615E2D" w:rsidRDefault="00615E2D">
      <w:pPr>
        <w:spacing w:line="240" w:lineRule="auto"/>
        <w:rPr>
          <w:rFonts w:ascii="Calibri" w:hAnsi="Calibri"/>
          <w:noProof/>
          <w:sz w:val="22"/>
        </w:rPr>
      </w:pPr>
    </w:p>
    <w:p w14:paraId="56C646AC" w14:textId="77777777" w:rsidR="00615E2D" w:rsidRDefault="00C83E46">
      <w:pPr>
        <w:numPr>
          <w:ilvl w:val="1"/>
          <w:numId w:val="198"/>
        </w:numPr>
        <w:spacing w:line="240" w:lineRule="auto"/>
        <w:jc w:val="both"/>
        <w:rPr>
          <w:noProof/>
        </w:rPr>
      </w:pPr>
      <w:r>
        <w:rPr>
          <w:noProof/>
        </w:rPr>
        <w:t xml:space="preserve">Prvi obrok (bespovratna potpora): </w:t>
      </w:r>
    </w:p>
    <w:tbl>
      <w:tblPr>
        <w:tblW w:w="10490" w:type="dxa"/>
        <w:tblInd w:w="-601" w:type="dxa"/>
        <w:tblLook w:val="04A0" w:firstRow="1" w:lastRow="0" w:firstColumn="1" w:lastColumn="0" w:noHBand="0" w:noVBand="1"/>
      </w:tblPr>
      <w:tblGrid>
        <w:gridCol w:w="1276"/>
        <w:gridCol w:w="3969"/>
        <w:gridCol w:w="1843"/>
        <w:gridCol w:w="3402"/>
      </w:tblGrid>
      <w:tr w:rsidR="00615E2D" w14:paraId="2B7D8B0B" w14:textId="77777777">
        <w:trPr>
          <w:trHeight w:val="825"/>
          <w:tblHeader/>
        </w:trPr>
        <w:tc>
          <w:tcPr>
            <w:tcW w:w="1276" w:type="dxa"/>
            <w:tcBorders>
              <w:top w:val="single" w:sz="8" w:space="0" w:color="auto"/>
              <w:left w:val="single" w:sz="8" w:space="0" w:color="auto"/>
              <w:bottom w:val="single" w:sz="8" w:space="0" w:color="auto"/>
              <w:right w:val="single" w:sz="8" w:space="0" w:color="auto"/>
            </w:tcBorders>
            <w:shd w:val="clear" w:color="auto" w:fill="BDD7EE"/>
            <w:vAlign w:val="center"/>
            <w:hideMark/>
          </w:tcPr>
          <w:p w14:paraId="7444805E" w14:textId="77777777" w:rsidR="00615E2D" w:rsidRDefault="00C83E46">
            <w:pPr>
              <w:pStyle w:val="P68B1DB1-Normal55"/>
              <w:spacing w:before="0" w:after="0" w:line="240" w:lineRule="auto"/>
              <w:jc w:val="center"/>
              <w:rPr>
                <w:noProof/>
              </w:rPr>
            </w:pPr>
            <w:r>
              <w:rPr>
                <w:noProof/>
              </w:rPr>
              <w:t>Redni broj</w:t>
            </w:r>
          </w:p>
        </w:tc>
        <w:tc>
          <w:tcPr>
            <w:tcW w:w="3969" w:type="dxa"/>
            <w:tcBorders>
              <w:top w:val="single" w:sz="8" w:space="0" w:color="auto"/>
              <w:left w:val="nil"/>
              <w:bottom w:val="single" w:sz="8" w:space="0" w:color="auto"/>
              <w:right w:val="single" w:sz="8" w:space="0" w:color="auto"/>
            </w:tcBorders>
            <w:shd w:val="clear" w:color="auto" w:fill="BDD7EE"/>
            <w:vAlign w:val="center"/>
            <w:hideMark/>
          </w:tcPr>
          <w:p w14:paraId="02FD8DBD" w14:textId="77777777" w:rsidR="00615E2D" w:rsidRDefault="00C83E46">
            <w:pPr>
              <w:pStyle w:val="P68B1DB1-Normal55"/>
              <w:spacing w:before="0" w:after="0" w:line="240" w:lineRule="auto"/>
              <w:jc w:val="center"/>
              <w:rPr>
                <w:noProof/>
              </w:rPr>
            </w:pPr>
            <w:r>
              <w:rPr>
                <w:noProof/>
              </w:rPr>
              <w:t>Povezana mjera (reforma ili ulaganje)</w:t>
            </w:r>
          </w:p>
        </w:tc>
        <w:tc>
          <w:tcPr>
            <w:tcW w:w="1843" w:type="dxa"/>
            <w:tcBorders>
              <w:top w:val="single" w:sz="8" w:space="0" w:color="auto"/>
              <w:left w:val="nil"/>
              <w:bottom w:val="single" w:sz="8" w:space="0" w:color="auto"/>
              <w:right w:val="single" w:sz="8" w:space="0" w:color="auto"/>
            </w:tcBorders>
            <w:shd w:val="clear" w:color="auto" w:fill="BDD7EE"/>
            <w:vAlign w:val="center"/>
            <w:hideMark/>
          </w:tcPr>
          <w:p w14:paraId="54333B3D" w14:textId="77777777" w:rsidR="00615E2D" w:rsidRDefault="00C83E46">
            <w:pPr>
              <w:pStyle w:val="P68B1DB1-Normal55"/>
              <w:spacing w:before="0" w:after="0" w:line="240" w:lineRule="auto"/>
              <w:jc w:val="center"/>
              <w:rPr>
                <w:noProof/>
              </w:rPr>
            </w:pPr>
            <w:r>
              <w:rPr>
                <w:noProof/>
              </w:rPr>
              <w:t>Ključna etapa/ciljna vrijednost</w:t>
            </w:r>
          </w:p>
        </w:tc>
        <w:tc>
          <w:tcPr>
            <w:tcW w:w="3402" w:type="dxa"/>
            <w:tcBorders>
              <w:top w:val="single" w:sz="8" w:space="0" w:color="auto"/>
              <w:left w:val="nil"/>
              <w:bottom w:val="single" w:sz="8" w:space="0" w:color="auto"/>
              <w:right w:val="single" w:sz="8" w:space="0" w:color="auto"/>
            </w:tcBorders>
            <w:shd w:val="clear" w:color="auto" w:fill="BDD7EE"/>
            <w:vAlign w:val="center"/>
            <w:hideMark/>
          </w:tcPr>
          <w:p w14:paraId="4C747A1D" w14:textId="77777777" w:rsidR="00615E2D" w:rsidRDefault="00C83E46">
            <w:pPr>
              <w:pStyle w:val="P68B1DB1-Normal55"/>
              <w:spacing w:before="0" w:after="0" w:line="240" w:lineRule="auto"/>
              <w:jc w:val="center"/>
              <w:rPr>
                <w:noProof/>
              </w:rPr>
            </w:pPr>
            <w:r>
              <w:rPr>
                <w:noProof/>
              </w:rPr>
              <w:t>Ime</w:t>
            </w:r>
          </w:p>
        </w:tc>
      </w:tr>
      <w:tr w:rsidR="00615E2D" w14:paraId="5293448D" w14:textId="77777777">
        <w:trPr>
          <w:trHeight w:val="600"/>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A4BFD0A" w14:textId="77777777" w:rsidR="00615E2D" w:rsidRDefault="00C83E46">
            <w:pPr>
              <w:pStyle w:val="P68B1DB1-Normal56"/>
              <w:spacing w:before="0" w:after="0" w:line="240" w:lineRule="auto"/>
              <w:jc w:val="center"/>
              <w:rPr>
                <w:noProof/>
              </w:rPr>
            </w:pPr>
            <w:r>
              <w:rPr>
                <w:noProof/>
              </w:rPr>
              <w:t>172</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0372C85" w14:textId="77777777" w:rsidR="00615E2D" w:rsidRDefault="00C83E46">
            <w:pPr>
              <w:pStyle w:val="P68B1DB1-Normal57"/>
              <w:spacing w:before="0" w:after="0" w:line="240" w:lineRule="auto"/>
              <w:jc w:val="center"/>
              <w:rPr>
                <w:noProof/>
              </w:rPr>
            </w:pPr>
            <w:r>
              <w:rPr>
                <w:noProof/>
              </w:rPr>
              <w:t>C 3.1: Inovacije u obrazovanju u kontekstu digitalizacije – ulaganje 2: Digitalna oprema za škole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FB3B385"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2BFAE0EA" w14:textId="21F1FCC3" w:rsidR="00615E2D" w:rsidRDefault="00C83E46">
            <w:pPr>
              <w:pStyle w:val="P68B1DB1-Normal56"/>
              <w:spacing w:before="0" w:after="0" w:line="240" w:lineRule="auto"/>
              <w:jc w:val="center"/>
              <w:rPr>
                <w:noProof/>
              </w:rPr>
            </w:pPr>
            <w:r>
              <w:rPr>
                <w:noProof/>
              </w:rPr>
              <w:t xml:space="preserve">Broj digitalnih uređaja koje škole kupuju za učenje na daljinu </w:t>
            </w:r>
          </w:p>
        </w:tc>
      </w:tr>
      <w:tr w:rsidR="00615E2D" w14:paraId="1FE611A7" w14:textId="77777777">
        <w:trPr>
          <w:trHeight w:val="600"/>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76B9C35D" w14:textId="77777777" w:rsidR="00615E2D" w:rsidRDefault="00C83E46">
            <w:pPr>
              <w:pStyle w:val="P68B1DB1-Normal57"/>
              <w:spacing w:before="0" w:after="0" w:line="240" w:lineRule="auto"/>
              <w:jc w:val="center"/>
              <w:rPr>
                <w:noProof/>
              </w:rPr>
            </w:pPr>
            <w:r>
              <w:rPr>
                <w:noProof/>
              </w:rPr>
              <w:t>72</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F88C770" w14:textId="77777777" w:rsidR="00615E2D" w:rsidRDefault="00C83E46">
            <w:pPr>
              <w:pStyle w:val="P68B1DB1-Normal57"/>
              <w:spacing w:before="0" w:after="0" w:line="240" w:lineRule="auto"/>
              <w:jc w:val="center"/>
              <w:rPr>
                <w:noProof/>
              </w:rPr>
            </w:pPr>
            <w:r>
              <w:rPr>
                <w:noProof/>
              </w:rPr>
              <w:t>C 1.6.: Ubrzanje i digitalizacija procesa izgradnje – reforma 1.: Provedba novog zakona o gradnji i zoniranje zakona u praksi</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D57E8E1"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408DEDBC" w14:textId="77777777" w:rsidR="00615E2D" w:rsidRDefault="00C83E46">
            <w:pPr>
              <w:pStyle w:val="P68B1DB1-Normal57"/>
              <w:spacing w:before="0" w:after="0" w:line="240" w:lineRule="auto"/>
              <w:jc w:val="center"/>
              <w:rPr>
                <w:noProof/>
              </w:rPr>
            </w:pPr>
            <w:r>
              <w:rPr>
                <w:noProof/>
              </w:rPr>
              <w:t xml:space="preserve">Stupanje na snagu novog zakona o gradnji </w:t>
            </w:r>
          </w:p>
        </w:tc>
      </w:tr>
      <w:tr w:rsidR="00615E2D" w14:paraId="09277140" w14:textId="77777777">
        <w:trPr>
          <w:trHeight w:val="600"/>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583FEAAA" w14:textId="77777777" w:rsidR="00615E2D" w:rsidRDefault="00C83E46">
            <w:pPr>
              <w:pStyle w:val="P68B1DB1-Normal56"/>
              <w:spacing w:before="0" w:after="0" w:line="240" w:lineRule="auto"/>
              <w:jc w:val="center"/>
              <w:rPr>
                <w:noProof/>
              </w:rPr>
            </w:pPr>
            <w:r>
              <w:rPr>
                <w:noProof/>
              </w:rPr>
              <w:t>134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71A6209" w14:textId="77777777" w:rsidR="00615E2D" w:rsidRDefault="00C83E46">
            <w:pPr>
              <w:pStyle w:val="P68B1DB1-Normal57"/>
              <w:spacing w:before="0" w:after="0" w:line="240" w:lineRule="auto"/>
              <w:jc w:val="center"/>
              <w:rPr>
                <w:noProof/>
              </w:rPr>
            </w:pPr>
            <w:r>
              <w:rPr>
                <w:noProof/>
              </w:rPr>
              <w:t>C 2.6.: Zaštita prirode i prilagodba klimatskim promjenama – ulaganje 2: Mali vodotoci i spremnici vode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A2FCAC9"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568360DA" w14:textId="77777777" w:rsidR="00615E2D" w:rsidRDefault="00C83E46">
            <w:pPr>
              <w:pStyle w:val="P68B1DB1-Normal56"/>
              <w:spacing w:before="0" w:after="0" w:line="240" w:lineRule="auto"/>
              <w:jc w:val="center"/>
              <w:rPr>
                <w:noProof/>
              </w:rPr>
            </w:pPr>
            <w:r>
              <w:rPr>
                <w:noProof/>
              </w:rPr>
              <w:t>Ministarstvo poljoprivrede dostavilo je popis projekata koji će dobiti potporu u okviru ulaganja 2</w:t>
            </w:r>
          </w:p>
        </w:tc>
      </w:tr>
      <w:tr w:rsidR="00615E2D" w14:paraId="5341B416" w14:textId="77777777">
        <w:trPr>
          <w:trHeight w:val="600"/>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493066DC" w14:textId="77777777" w:rsidR="00615E2D" w:rsidRDefault="00C83E46">
            <w:pPr>
              <w:pStyle w:val="P68B1DB1-Normal56"/>
              <w:spacing w:before="0" w:after="0" w:line="240" w:lineRule="auto"/>
              <w:jc w:val="center"/>
              <w:rPr>
                <w:noProof/>
              </w:rPr>
            </w:pPr>
            <w:r>
              <w:rPr>
                <w:noProof/>
              </w:rPr>
              <w:t>168</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60E6F21E" w14:textId="77777777" w:rsidR="00615E2D" w:rsidRDefault="00C83E46">
            <w:pPr>
              <w:pStyle w:val="P68B1DB1-Normal57"/>
              <w:spacing w:before="0" w:after="0" w:line="240" w:lineRule="auto"/>
              <w:jc w:val="center"/>
              <w:rPr>
                <w:noProof/>
              </w:rPr>
            </w:pPr>
            <w:r>
              <w:rPr>
                <w:noProof/>
              </w:rPr>
              <w:t>C 3.1: Inovacije u obrazovanju u kontekstu digitalizacije – reforma 1.: Reforma kurikuluma i jačanje obrazovanja u području IT-a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6E34DD4"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292D8B32" w14:textId="77777777" w:rsidR="00615E2D" w:rsidRDefault="00C83E46">
            <w:pPr>
              <w:pStyle w:val="P68B1DB1-Normal56"/>
              <w:spacing w:before="0" w:after="0" w:line="240" w:lineRule="auto"/>
              <w:jc w:val="center"/>
              <w:rPr>
                <w:noProof/>
              </w:rPr>
            </w:pPr>
            <w:r>
              <w:rPr>
                <w:noProof/>
              </w:rPr>
              <w:t xml:space="preserve">Odobrenje novih kurikuluma za jačanje digitalne pismenosti i računalnog razmišljanja </w:t>
            </w:r>
          </w:p>
        </w:tc>
      </w:tr>
      <w:tr w:rsidR="00615E2D" w14:paraId="64BD0988" w14:textId="77777777">
        <w:trPr>
          <w:trHeight w:val="600"/>
        </w:trPr>
        <w:tc>
          <w:tcPr>
            <w:tcW w:w="1276" w:type="dxa"/>
            <w:tcBorders>
              <w:top w:val="nil"/>
              <w:left w:val="single" w:sz="8" w:space="0" w:color="auto"/>
              <w:bottom w:val="nil"/>
              <w:right w:val="single" w:sz="8" w:space="0" w:color="000000" w:themeColor="text1"/>
            </w:tcBorders>
            <w:shd w:val="clear" w:color="auto" w:fill="C6EFCE"/>
            <w:vAlign w:val="center"/>
            <w:hideMark/>
          </w:tcPr>
          <w:p w14:paraId="1AA68F4E" w14:textId="77777777" w:rsidR="00615E2D" w:rsidRDefault="00C83E46">
            <w:pPr>
              <w:pStyle w:val="P68B1DB1-Normal56"/>
              <w:spacing w:before="0" w:after="0" w:line="240" w:lineRule="auto"/>
              <w:jc w:val="center"/>
              <w:rPr>
                <w:noProof/>
              </w:rPr>
            </w:pPr>
            <w:r>
              <w:rPr>
                <w:noProof/>
              </w:rPr>
              <w:t>51</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02D4589D" w14:textId="77777777" w:rsidR="00615E2D" w:rsidRDefault="00C83E46">
            <w:pPr>
              <w:pStyle w:val="P68B1DB1-Normal57"/>
              <w:spacing w:before="0" w:after="0" w:line="240" w:lineRule="auto"/>
              <w:jc w:val="center"/>
              <w:rPr>
                <w:noProof/>
              </w:rPr>
            </w:pPr>
            <w:r>
              <w:rPr>
                <w:noProof/>
              </w:rPr>
              <w:t>C 1.4.: Digitalno gospodarstvo i društvo, Inovativan početak i nova tehnologija – ulaganje 2: Europski opservatorij za digitalne medije (EDMO)</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27583822"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nil"/>
              <w:right w:val="single" w:sz="8" w:space="0" w:color="auto"/>
            </w:tcBorders>
            <w:shd w:val="clear" w:color="auto" w:fill="C6EFCE"/>
            <w:vAlign w:val="center"/>
            <w:hideMark/>
          </w:tcPr>
          <w:p w14:paraId="7E6E3390" w14:textId="77777777" w:rsidR="00615E2D" w:rsidRDefault="00C83E46">
            <w:pPr>
              <w:pStyle w:val="P68B1DB1-Normal56"/>
              <w:spacing w:before="0" w:after="0" w:line="240" w:lineRule="auto"/>
              <w:jc w:val="center"/>
              <w:rPr>
                <w:noProof/>
              </w:rPr>
            </w:pPr>
            <w:r>
              <w:rPr>
                <w:noProof/>
              </w:rPr>
              <w:t>Pokretanje Europskog opservatorija za digitalne medije za srednju i istočnu Europu u Češkoj (CEDMO)</w:t>
            </w:r>
          </w:p>
        </w:tc>
      </w:tr>
      <w:tr w:rsidR="00615E2D" w14:paraId="5F1D7C08" w14:textId="77777777">
        <w:trPr>
          <w:trHeight w:val="600"/>
        </w:trPr>
        <w:tc>
          <w:tcPr>
            <w:tcW w:w="1276" w:type="dxa"/>
            <w:tcBorders>
              <w:top w:val="single" w:sz="8" w:space="0" w:color="000000" w:themeColor="text1"/>
              <w:left w:val="single" w:sz="8" w:space="0" w:color="auto"/>
              <w:bottom w:val="nil"/>
              <w:right w:val="single" w:sz="8" w:space="0" w:color="000000" w:themeColor="text1"/>
            </w:tcBorders>
            <w:shd w:val="clear" w:color="auto" w:fill="C6EFCE"/>
            <w:vAlign w:val="center"/>
            <w:hideMark/>
          </w:tcPr>
          <w:p w14:paraId="432387BD" w14:textId="77777777" w:rsidR="00615E2D" w:rsidRDefault="00C83E46">
            <w:pPr>
              <w:pStyle w:val="P68B1DB1-Normal56"/>
              <w:spacing w:before="0" w:after="0" w:line="240" w:lineRule="auto"/>
              <w:jc w:val="center"/>
              <w:rPr>
                <w:noProof/>
              </w:rPr>
            </w:pPr>
            <w:r>
              <w:rPr>
                <w:noProof/>
              </w:rPr>
              <w:t>102</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51B35A0" w14:textId="00A6D376" w:rsidR="00615E2D" w:rsidRDefault="00C83E46">
            <w:pPr>
              <w:pStyle w:val="P68B1DB1-Normal57"/>
              <w:spacing w:before="0" w:after="0" w:line="240" w:lineRule="auto"/>
              <w:jc w:val="center"/>
              <w:rPr>
                <w:noProof/>
              </w:rPr>
            </w:pPr>
            <w:r>
              <w:rPr>
                <w:noProof/>
              </w:rPr>
              <w:t xml:space="preserve">C 2.2: Smanjenje potrošnje energije u javnom sektoru – ulaganje 1: Poboljšanje energetskih svojstava državnih zgrada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FE51E68"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000000" w:themeColor="text1"/>
              <w:left w:val="nil"/>
              <w:bottom w:val="nil"/>
              <w:right w:val="single" w:sz="8" w:space="0" w:color="auto"/>
            </w:tcBorders>
            <w:shd w:val="clear" w:color="auto" w:fill="C6EFCE"/>
            <w:vAlign w:val="center"/>
            <w:hideMark/>
          </w:tcPr>
          <w:p w14:paraId="53CC491B" w14:textId="77777777" w:rsidR="00615E2D" w:rsidRDefault="00C83E46">
            <w:pPr>
              <w:pStyle w:val="P68B1DB1-Normal56"/>
              <w:spacing w:before="0" w:after="0" w:line="240" w:lineRule="auto"/>
              <w:jc w:val="center"/>
              <w:rPr>
                <w:noProof/>
              </w:rPr>
            </w:pPr>
            <w:r>
              <w:rPr>
                <w:noProof/>
              </w:rPr>
              <w:t xml:space="preserve"> Donošenje predloška ugovora od strane Ministarstva industrije i trgovine za usluge povezane s metodom sklapanja ugovora o energetskom učinku s jamstvom </w:t>
            </w:r>
          </w:p>
        </w:tc>
      </w:tr>
      <w:tr w:rsidR="00615E2D" w14:paraId="456A3AFB" w14:textId="77777777">
        <w:trPr>
          <w:trHeight w:val="60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092C15FA" w14:textId="77777777" w:rsidR="00615E2D" w:rsidRDefault="00C83E46">
            <w:pPr>
              <w:pStyle w:val="P68B1DB1-Normal56"/>
              <w:spacing w:before="0" w:after="0" w:line="240" w:lineRule="auto"/>
              <w:jc w:val="center"/>
              <w:rPr>
                <w:noProof/>
              </w:rPr>
            </w:pPr>
            <w:r>
              <w:rPr>
                <w:noProof/>
              </w:rPr>
              <w:t>105</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B53CDD7" w14:textId="0A996E03" w:rsidR="00615E2D" w:rsidRDefault="00C83E46">
            <w:pPr>
              <w:pStyle w:val="P68B1DB1-Normal57"/>
              <w:spacing w:before="0" w:after="0" w:line="240" w:lineRule="auto"/>
              <w:jc w:val="center"/>
              <w:rPr>
                <w:noProof/>
              </w:rPr>
            </w:pPr>
            <w:r>
              <w:rPr>
                <w:noProof/>
              </w:rPr>
              <w:t>C 2.2: Smanjenje potrošnje energije u javnom sektoru – ulaganje 2: Poboljšanje energetske učinkovitosti sustava javne rasvjete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590CAFE2"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auto"/>
            </w:tcBorders>
            <w:shd w:val="clear" w:color="auto" w:fill="C6EFCE"/>
            <w:vAlign w:val="center"/>
            <w:hideMark/>
          </w:tcPr>
          <w:p w14:paraId="56C457D4" w14:textId="77777777" w:rsidR="00615E2D" w:rsidRDefault="00C83E46">
            <w:pPr>
              <w:pStyle w:val="P68B1DB1-Normal56"/>
              <w:spacing w:before="0" w:after="0" w:line="240" w:lineRule="auto"/>
              <w:jc w:val="center"/>
              <w:rPr>
                <w:noProof/>
              </w:rPr>
            </w:pPr>
            <w:r>
              <w:rPr>
                <w:noProof/>
              </w:rPr>
              <w:t>Ministarstvo industrije i trgovine donosi programsku dokumentaciju o mjerama za obnovu javnih sustava munje</w:t>
            </w:r>
          </w:p>
        </w:tc>
      </w:tr>
      <w:tr w:rsidR="00615E2D" w14:paraId="4F084459" w14:textId="77777777">
        <w:trPr>
          <w:trHeight w:val="1220"/>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1765764B" w14:textId="77777777" w:rsidR="00615E2D" w:rsidRDefault="00C83E46">
            <w:pPr>
              <w:pStyle w:val="P68B1DB1-Normal57"/>
              <w:spacing w:before="0" w:after="0" w:line="240" w:lineRule="auto"/>
              <w:jc w:val="center"/>
              <w:rPr>
                <w:noProof/>
              </w:rPr>
            </w:pPr>
            <w:r>
              <w:rPr>
                <w:noProof/>
              </w:rPr>
              <w:t>198</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A77DD2F" w14:textId="77777777" w:rsidR="00615E2D" w:rsidRDefault="00C83E46">
            <w:pPr>
              <w:pStyle w:val="P68B1DB1-Normal57"/>
              <w:spacing w:before="0" w:after="0" w:line="240" w:lineRule="auto"/>
              <w:jc w:val="center"/>
              <w:rPr>
                <w:noProof/>
              </w:rPr>
            </w:pPr>
            <w:r>
              <w:rPr>
                <w:noProof/>
              </w:rPr>
              <w:t>C 4.2: Novi instrumenti vlasničkog kapitala za promicanje poduzetništva i razvoja češko-moravske jamstvene i razvojne banke (ČMZRB) kao nacionalne razvojne banke – reforma 1.: Razvoj češko-moravske banke za jamstva i razvoj kao nacionalne razvojne banke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536D27EB"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1DA14607" w14:textId="77777777" w:rsidR="00615E2D" w:rsidRDefault="00C83E46">
            <w:pPr>
              <w:pStyle w:val="P68B1DB1-Normal57"/>
              <w:spacing w:before="0" w:after="0" w:line="240" w:lineRule="auto"/>
              <w:jc w:val="center"/>
              <w:rPr>
                <w:noProof/>
              </w:rPr>
            </w:pPr>
            <w:r>
              <w:rPr>
                <w:noProof/>
              </w:rPr>
              <w:t>Donošenje srednjoročne strategije češko-moravske banke za jamstva i razvoj (ČMZRB) koju su odobrili dioničari banke (koje zastupaju ministarstva industrije i trgovine, financija i lokalnog razvoja)</w:t>
            </w:r>
          </w:p>
        </w:tc>
      </w:tr>
      <w:tr w:rsidR="00615E2D" w14:paraId="5D2A1DC0" w14:textId="77777777">
        <w:trPr>
          <w:trHeight w:val="1380"/>
        </w:trPr>
        <w:tc>
          <w:tcPr>
            <w:tcW w:w="1276" w:type="dxa"/>
            <w:tcBorders>
              <w:top w:val="single" w:sz="8" w:space="0" w:color="000000" w:themeColor="text1"/>
              <w:left w:val="single" w:sz="8" w:space="0" w:color="auto"/>
              <w:bottom w:val="single" w:sz="4" w:space="0" w:color="auto"/>
              <w:right w:val="single" w:sz="8" w:space="0" w:color="000000" w:themeColor="text1"/>
            </w:tcBorders>
            <w:shd w:val="clear" w:color="auto" w:fill="C6EFCE"/>
            <w:vAlign w:val="center"/>
            <w:hideMark/>
          </w:tcPr>
          <w:p w14:paraId="0B32E0F4" w14:textId="77777777" w:rsidR="00615E2D" w:rsidRDefault="00C83E46">
            <w:pPr>
              <w:pStyle w:val="P68B1DB1-Normal57"/>
              <w:spacing w:before="0" w:after="0" w:line="240" w:lineRule="auto"/>
              <w:jc w:val="center"/>
              <w:rPr>
                <w:noProof/>
              </w:rPr>
            </w:pPr>
            <w:r>
              <w:rPr>
                <w:noProof/>
              </w:rPr>
              <w:t>199</w:t>
            </w:r>
          </w:p>
        </w:tc>
        <w:tc>
          <w:tcPr>
            <w:tcW w:w="3969"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39ECA338" w14:textId="77777777" w:rsidR="00615E2D" w:rsidRDefault="00C83E46">
            <w:pPr>
              <w:pStyle w:val="P68B1DB1-Normal57"/>
              <w:spacing w:before="0" w:after="0" w:line="240" w:lineRule="auto"/>
              <w:jc w:val="center"/>
              <w:rPr>
                <w:noProof/>
              </w:rPr>
            </w:pPr>
            <w:r>
              <w:rPr>
                <w:noProof/>
              </w:rPr>
              <w:t>C 4.2: Novi instrumenti vlasničkog kapitala za promicanje poduzetništva i razvoja češko-moravske jamstvene i razvojne banke (ČMZRB) kao nacionalne razvojne banke – reforma 1.: Razvoj češko-moravske banke za jamstva i razvoj kao nacionalne razvojne banke</w:t>
            </w:r>
          </w:p>
        </w:tc>
        <w:tc>
          <w:tcPr>
            <w:tcW w:w="1843"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463E661F"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000000" w:themeColor="text1"/>
              <w:left w:val="nil"/>
              <w:bottom w:val="single" w:sz="4" w:space="0" w:color="auto"/>
              <w:right w:val="single" w:sz="8" w:space="0" w:color="auto"/>
            </w:tcBorders>
            <w:shd w:val="clear" w:color="auto" w:fill="C6EFCE"/>
            <w:vAlign w:val="center"/>
            <w:hideMark/>
          </w:tcPr>
          <w:p w14:paraId="62E097BD" w14:textId="77777777" w:rsidR="00615E2D" w:rsidRDefault="00C83E46">
            <w:pPr>
              <w:pStyle w:val="P68B1DB1-Normal57"/>
              <w:spacing w:before="0" w:after="0" w:line="240" w:lineRule="auto"/>
              <w:jc w:val="center"/>
              <w:rPr>
                <w:noProof/>
              </w:rPr>
            </w:pPr>
            <w:r>
              <w:rPr>
                <w:noProof/>
              </w:rPr>
              <w:t xml:space="preserve">Provedba modela upravljanja za novi kvazivlasnički instrument </w:t>
            </w:r>
          </w:p>
        </w:tc>
      </w:tr>
      <w:tr w:rsidR="00615E2D" w14:paraId="126A85B8" w14:textId="77777777">
        <w:trPr>
          <w:trHeight w:val="1185"/>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hideMark/>
          </w:tcPr>
          <w:p w14:paraId="33C444C3" w14:textId="77777777" w:rsidR="00615E2D" w:rsidRDefault="00C83E46">
            <w:pPr>
              <w:pStyle w:val="P68B1DB1-Normal57"/>
              <w:spacing w:before="0" w:after="0" w:line="240" w:lineRule="auto"/>
              <w:jc w:val="center"/>
              <w:rPr>
                <w:noProof/>
              </w:rPr>
            </w:pPr>
            <w:r>
              <w:rPr>
                <w:noProof/>
              </w:rPr>
              <w:t>200</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0B8EC9E8" w14:textId="77777777" w:rsidR="00615E2D" w:rsidRDefault="00C83E46">
            <w:pPr>
              <w:pStyle w:val="P68B1DB1-Normal57"/>
              <w:spacing w:before="0" w:after="0" w:line="240" w:lineRule="auto"/>
              <w:jc w:val="center"/>
              <w:rPr>
                <w:noProof/>
              </w:rPr>
            </w:pPr>
            <w:r>
              <w:rPr>
                <w:noProof/>
              </w:rPr>
              <w:t>C 4.2: Novi vlasnički instrumenti za promicanje poduzetništva i razvoja češko-moravske jamstvene i razvojne banke (ČMZRB) kao nacionalne razvojne banke – ulaganja 1: Razvoj nove linije kvazivlasničkih instrumenata kojima se podupire poduzetništvo</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469D7B7B" w14:textId="77777777" w:rsidR="00615E2D" w:rsidRDefault="00C83E46">
            <w:pPr>
              <w:pStyle w:val="P68B1DB1-Normal57"/>
              <w:spacing w:before="0" w:after="0" w:line="240" w:lineRule="auto"/>
              <w:jc w:val="center"/>
              <w:rPr>
                <w:noProof/>
              </w:rPr>
            </w:pPr>
            <w:r>
              <w:rPr>
                <w:noProof/>
              </w:rPr>
              <w:t>Prekretnica</w:t>
            </w:r>
          </w:p>
          <w:p w14:paraId="13B12C38" w14:textId="77777777" w:rsidR="00615E2D" w:rsidRDefault="00615E2D">
            <w:pPr>
              <w:rPr>
                <w:rFonts w:eastAsia="Times New Roman"/>
                <w:noProof/>
                <w:sz w:val="20"/>
              </w:rPr>
            </w:pPr>
          </w:p>
          <w:p w14:paraId="7FE46D51" w14:textId="2296F13B" w:rsidR="00615E2D" w:rsidRDefault="00615E2D">
            <w:pPr>
              <w:rPr>
                <w:rFonts w:eastAsia="Times New Roman"/>
                <w:noProof/>
                <w:sz w:val="20"/>
              </w:rPr>
            </w:pPr>
          </w:p>
        </w:tc>
        <w:tc>
          <w:tcPr>
            <w:tcW w:w="3402" w:type="dxa"/>
            <w:tcBorders>
              <w:top w:val="single" w:sz="4" w:space="0" w:color="auto"/>
              <w:left w:val="nil"/>
              <w:bottom w:val="single" w:sz="8" w:space="0" w:color="auto"/>
              <w:right w:val="single" w:sz="8" w:space="0" w:color="auto"/>
            </w:tcBorders>
            <w:shd w:val="clear" w:color="auto" w:fill="C6EFCE"/>
            <w:vAlign w:val="center"/>
            <w:hideMark/>
          </w:tcPr>
          <w:p w14:paraId="7942CAC9" w14:textId="77777777" w:rsidR="00615E2D" w:rsidRDefault="00C83E46">
            <w:pPr>
              <w:pStyle w:val="P68B1DB1-Normal57"/>
              <w:spacing w:before="0" w:after="0" w:line="240" w:lineRule="auto"/>
              <w:jc w:val="center"/>
              <w:rPr>
                <w:noProof/>
              </w:rPr>
            </w:pPr>
            <w:r>
              <w:rPr>
                <w:noProof/>
              </w:rPr>
              <w:t>Sporazum o financiranju s češko-moravskom bankom za jamstva i razvoj kao Nacionalnom razvojnom bankom (ČMZRB)</w:t>
            </w:r>
          </w:p>
        </w:tc>
      </w:tr>
      <w:tr w:rsidR="00615E2D" w14:paraId="6D31F887" w14:textId="77777777">
        <w:trPr>
          <w:trHeight w:val="79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1B98B1B2" w14:textId="77777777" w:rsidR="00615E2D" w:rsidRDefault="00C83E46">
            <w:pPr>
              <w:pStyle w:val="P68B1DB1-Normal56"/>
              <w:spacing w:before="0" w:after="0" w:line="240" w:lineRule="auto"/>
              <w:jc w:val="center"/>
              <w:rPr>
                <w:noProof/>
              </w:rPr>
            </w:pPr>
            <w:r>
              <w:rPr>
                <w:noProof/>
              </w:rPr>
              <w:t>203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BE5C8F0" w14:textId="77777777" w:rsidR="00615E2D" w:rsidRDefault="00C83E46">
            <w:pPr>
              <w:pStyle w:val="P68B1DB1-Normal57"/>
              <w:spacing w:before="0" w:after="0" w:line="240" w:lineRule="auto"/>
              <w:jc w:val="center"/>
              <w:rPr>
                <w:noProof/>
              </w:rPr>
            </w:pPr>
            <w:r>
              <w:rPr>
                <w:noProof/>
              </w:rPr>
              <w:t>C 4.3: Reforme borbe protiv korupcije – 2. reforma: Reforma pravosuđa usmjerena na jačanje zakonodavnog okvira i transparentnosti u područjima sudova, sudaca, tužitelja i sudskih izvršitelja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95A7FC5"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2FE48794" w14:textId="77777777" w:rsidR="00615E2D" w:rsidRDefault="00C83E46">
            <w:pPr>
              <w:pStyle w:val="P68B1DB1-Normal56"/>
              <w:spacing w:before="0" w:after="0" w:line="240" w:lineRule="auto"/>
              <w:jc w:val="center"/>
              <w:rPr>
                <w:noProof/>
              </w:rPr>
            </w:pPr>
            <w:r>
              <w:rPr>
                <w:noProof/>
              </w:rPr>
              <w:t xml:space="preserve">Stupanje na snagu Zakona o sudovima i sucima </w:t>
            </w:r>
          </w:p>
        </w:tc>
      </w:tr>
      <w:tr w:rsidR="00615E2D" w14:paraId="5650AF77" w14:textId="77777777">
        <w:trPr>
          <w:trHeight w:val="990"/>
        </w:trPr>
        <w:tc>
          <w:tcPr>
            <w:tcW w:w="1276" w:type="dxa"/>
            <w:tcBorders>
              <w:top w:val="nil"/>
              <w:left w:val="single" w:sz="8" w:space="0" w:color="auto"/>
              <w:bottom w:val="single" w:sz="4" w:space="0" w:color="auto"/>
              <w:right w:val="single" w:sz="8" w:space="0" w:color="000000" w:themeColor="text1"/>
            </w:tcBorders>
            <w:shd w:val="clear" w:color="auto" w:fill="C6EFCE"/>
            <w:vAlign w:val="center"/>
            <w:hideMark/>
          </w:tcPr>
          <w:p w14:paraId="311842FD" w14:textId="77777777" w:rsidR="00615E2D" w:rsidRDefault="00C83E46">
            <w:pPr>
              <w:pStyle w:val="P68B1DB1-Normal56"/>
              <w:spacing w:before="0" w:after="0" w:line="240" w:lineRule="auto"/>
              <w:jc w:val="center"/>
              <w:rPr>
                <w:noProof/>
              </w:rPr>
            </w:pPr>
            <w:r>
              <w:rPr>
                <w:noProof/>
              </w:rPr>
              <w:t>208</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0ACEA5C7" w14:textId="77777777" w:rsidR="00615E2D" w:rsidRDefault="00C83E46">
            <w:pPr>
              <w:pStyle w:val="P68B1DB1-Normal57"/>
              <w:spacing w:before="0" w:after="0" w:line="240" w:lineRule="auto"/>
              <w:jc w:val="center"/>
              <w:rPr>
                <w:noProof/>
              </w:rPr>
            </w:pPr>
            <w:r>
              <w:rPr>
                <w:noProof/>
              </w:rPr>
              <w:t>C 4.3: Reforme borbe protiv korupcije – reforma br. 5: Kontrola i revizija</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34BA69CF"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4" w:space="0" w:color="auto"/>
              <w:right w:val="single" w:sz="8" w:space="0" w:color="auto"/>
            </w:tcBorders>
            <w:shd w:val="clear" w:color="auto" w:fill="C6EFCE"/>
            <w:vAlign w:val="center"/>
            <w:hideMark/>
          </w:tcPr>
          <w:p w14:paraId="6E79EB9C" w14:textId="77777777" w:rsidR="00615E2D" w:rsidRDefault="00C83E46">
            <w:pPr>
              <w:pStyle w:val="P68B1DB1-Normal56"/>
              <w:spacing w:before="0" w:after="0" w:line="240" w:lineRule="auto"/>
              <w:jc w:val="center"/>
              <w:rPr>
                <w:noProof/>
              </w:rPr>
            </w:pPr>
            <w:r>
              <w:rPr>
                <w:noProof/>
              </w:rPr>
              <w:t>Izrada i provedba akcijskog plana o administrativnom sustavu koordinacijskog tijela, posebno u pogledu dostatnog i sustavnog sprečavanja sukoba interesa u kontekstu Mehanizma za oporavak i otpornost.</w:t>
            </w:r>
          </w:p>
        </w:tc>
      </w:tr>
      <w:tr w:rsidR="00615E2D" w14:paraId="4A5A8E99" w14:textId="77777777">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068425E" w14:textId="77777777" w:rsidR="00615E2D" w:rsidRDefault="00C83E46">
            <w:pPr>
              <w:pStyle w:val="P68B1DB1-Normal56"/>
              <w:spacing w:before="0" w:after="0" w:line="240" w:lineRule="auto"/>
              <w:jc w:val="center"/>
              <w:rPr>
                <w:noProof/>
              </w:rPr>
            </w:pPr>
            <w:r>
              <w:rPr>
                <w:noProof/>
              </w:rPr>
              <w:t>211</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AC6FDB1" w14:textId="77777777" w:rsidR="00615E2D" w:rsidRDefault="00C83E46">
            <w:pPr>
              <w:pStyle w:val="P68B1DB1-Normal57"/>
              <w:spacing w:before="0" w:after="0" w:line="240" w:lineRule="auto"/>
              <w:jc w:val="center"/>
              <w:rPr>
                <w:noProof/>
              </w:rPr>
            </w:pPr>
            <w:r>
              <w:rPr>
                <w:noProof/>
              </w:rPr>
              <w:t>C 4.3: Reforme borbe protiv korupcije – reforma br. 5: Kontrola i revizija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EFF5EB7"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5E19694" w14:textId="77777777" w:rsidR="00615E2D" w:rsidRDefault="00C83E46">
            <w:pPr>
              <w:pStyle w:val="P68B1DB1-Normal56"/>
              <w:spacing w:before="0" w:after="0" w:line="240" w:lineRule="auto"/>
              <w:jc w:val="center"/>
              <w:rPr>
                <w:noProof/>
              </w:rPr>
            </w:pPr>
            <w:r>
              <w:rPr>
                <w:noProof/>
              </w:rPr>
              <w:t>Revizijska strategija kojom se osigurava neovisna i djelotvorna revizija provedbe Mehanizma za oporavak i otpornost</w:t>
            </w:r>
          </w:p>
        </w:tc>
      </w:tr>
      <w:tr w:rsidR="00615E2D" w14:paraId="4790D659" w14:textId="77777777">
        <w:trPr>
          <w:trHeight w:val="405"/>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hideMark/>
          </w:tcPr>
          <w:p w14:paraId="0F1D4D77" w14:textId="77777777" w:rsidR="00615E2D" w:rsidRDefault="00C83E46">
            <w:pPr>
              <w:pStyle w:val="P68B1DB1-Normal56"/>
              <w:spacing w:before="0" w:after="0" w:line="240" w:lineRule="auto"/>
              <w:jc w:val="center"/>
              <w:rPr>
                <w:noProof/>
              </w:rPr>
            </w:pPr>
            <w:r>
              <w:rPr>
                <w:noProof/>
              </w:rPr>
              <w:t>212</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hideMark/>
          </w:tcPr>
          <w:p w14:paraId="72318573" w14:textId="77777777" w:rsidR="00615E2D" w:rsidRDefault="00C83E46">
            <w:pPr>
              <w:pStyle w:val="P68B1DB1-Normal57"/>
              <w:spacing w:before="0" w:after="0" w:line="240" w:lineRule="auto"/>
              <w:jc w:val="center"/>
              <w:rPr>
                <w:noProof/>
              </w:rPr>
            </w:pPr>
            <w:r>
              <w:rPr>
                <w:noProof/>
              </w:rPr>
              <w:t>C 4.3: Reforme borbe protiv korupcije – reforma br. 5: Kontrola i revizija</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hideMark/>
          </w:tcPr>
          <w:p w14:paraId="70D987F5"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nil"/>
              <w:bottom w:val="single" w:sz="8" w:space="0" w:color="auto"/>
              <w:right w:val="single" w:sz="8" w:space="0" w:color="auto"/>
            </w:tcBorders>
            <w:shd w:val="clear" w:color="auto" w:fill="C6EFCE"/>
            <w:vAlign w:val="center"/>
            <w:hideMark/>
          </w:tcPr>
          <w:p w14:paraId="6441B385" w14:textId="77777777" w:rsidR="00615E2D" w:rsidRDefault="00C83E46">
            <w:pPr>
              <w:pStyle w:val="P68B1DB1-Normal56"/>
              <w:spacing w:before="0" w:after="0" w:line="240" w:lineRule="auto"/>
              <w:jc w:val="center"/>
              <w:rPr>
                <w:noProof/>
              </w:rPr>
            </w:pPr>
            <w:r>
              <w:rPr>
                <w:noProof/>
              </w:rPr>
              <w:t>Preispitivanje definicije stvarnog vlasništva u odnosu na sustav kontrole Mehanizma za oporavak i otpornost</w:t>
            </w:r>
          </w:p>
        </w:tc>
      </w:tr>
      <w:tr w:rsidR="00615E2D" w14:paraId="1216340F" w14:textId="77777777">
        <w:trPr>
          <w:trHeight w:val="795"/>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1A7BF6CA" w14:textId="77777777" w:rsidR="00615E2D" w:rsidRDefault="00C83E46">
            <w:pPr>
              <w:pStyle w:val="P68B1DB1-Normal57"/>
              <w:spacing w:before="0" w:after="0" w:line="240" w:lineRule="auto"/>
              <w:jc w:val="center"/>
              <w:rPr>
                <w:noProof/>
              </w:rPr>
            </w:pPr>
            <w:r>
              <w:rPr>
                <w:noProof/>
              </w:rPr>
              <w:t>223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0B770C9" w14:textId="77777777" w:rsidR="00615E2D" w:rsidRDefault="00C83E46">
            <w:pPr>
              <w:pStyle w:val="P68B1DB1-Normal57"/>
              <w:spacing w:before="0" w:after="0" w:line="240" w:lineRule="auto"/>
              <w:jc w:val="center"/>
              <w:rPr>
                <w:noProof/>
              </w:rPr>
            </w:pPr>
            <w:r>
              <w:rPr>
                <w:noProof/>
              </w:rPr>
              <w:t xml:space="preserve">C 5.1.: Izvrsno istraživanje i razvoj u zdravstvenom sektoru – ulaganja 1: Javna potpora istraživanju i razvoju za prioritetna područja medicinskih znanosti i povezanih društvenih znanosti </w:t>
            </w:r>
          </w:p>
        </w:tc>
        <w:tc>
          <w:tcPr>
            <w:tcW w:w="1843" w:type="dxa"/>
            <w:tcBorders>
              <w:top w:val="nil"/>
              <w:left w:val="nil"/>
              <w:bottom w:val="single" w:sz="8" w:space="0" w:color="auto"/>
              <w:right w:val="single" w:sz="8" w:space="0" w:color="000000" w:themeColor="text1"/>
            </w:tcBorders>
            <w:shd w:val="clear" w:color="auto" w:fill="C6EFCE"/>
            <w:vAlign w:val="center"/>
            <w:hideMark/>
          </w:tcPr>
          <w:p w14:paraId="386E9AD9"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auto"/>
              <w:right w:val="single" w:sz="8" w:space="0" w:color="auto"/>
            </w:tcBorders>
            <w:shd w:val="clear" w:color="auto" w:fill="C6EFCE"/>
            <w:vAlign w:val="center"/>
            <w:hideMark/>
          </w:tcPr>
          <w:p w14:paraId="063749C8" w14:textId="77777777" w:rsidR="00615E2D" w:rsidRDefault="00C83E46">
            <w:pPr>
              <w:pStyle w:val="P68B1DB1-Normal58"/>
              <w:spacing w:before="0" w:after="0" w:line="240" w:lineRule="auto"/>
              <w:jc w:val="center"/>
              <w:rPr>
                <w:noProof/>
              </w:rPr>
            </w:pPr>
            <w:r>
              <w:rPr>
                <w:noProof/>
              </w:rPr>
              <w:t xml:space="preserve">Pokretanje novog programa potpore istraživanju i razvoju </w:t>
            </w:r>
          </w:p>
        </w:tc>
      </w:tr>
      <w:tr w:rsidR="00615E2D" w14:paraId="76AC9AD4" w14:textId="77777777">
        <w:trPr>
          <w:trHeight w:val="990"/>
        </w:trPr>
        <w:tc>
          <w:tcPr>
            <w:tcW w:w="1276" w:type="dxa"/>
            <w:tcBorders>
              <w:top w:val="nil"/>
              <w:left w:val="single" w:sz="8" w:space="0" w:color="auto"/>
              <w:bottom w:val="nil"/>
              <w:right w:val="single" w:sz="8" w:space="0" w:color="000000" w:themeColor="text1"/>
            </w:tcBorders>
            <w:shd w:val="clear" w:color="auto" w:fill="C6EFCE"/>
            <w:vAlign w:val="center"/>
            <w:hideMark/>
          </w:tcPr>
          <w:p w14:paraId="78D7D1FA" w14:textId="77777777" w:rsidR="00615E2D" w:rsidRDefault="00C83E46">
            <w:pPr>
              <w:pStyle w:val="P68B1DB1-Normal57"/>
              <w:spacing w:before="0" w:after="0" w:line="240" w:lineRule="auto"/>
              <w:jc w:val="center"/>
              <w:rPr>
                <w:noProof/>
              </w:rPr>
            </w:pPr>
            <w:r>
              <w:rPr>
                <w:noProof/>
              </w:rPr>
              <w:t>226</w:t>
            </w:r>
          </w:p>
        </w:tc>
        <w:tc>
          <w:tcPr>
            <w:tcW w:w="3969" w:type="dxa"/>
            <w:tcBorders>
              <w:top w:val="nil"/>
              <w:left w:val="nil"/>
              <w:bottom w:val="nil"/>
              <w:right w:val="single" w:sz="8" w:space="0" w:color="000000" w:themeColor="text1"/>
            </w:tcBorders>
            <w:shd w:val="clear" w:color="auto" w:fill="C6EFCE"/>
            <w:vAlign w:val="center"/>
            <w:hideMark/>
          </w:tcPr>
          <w:p w14:paraId="0A9F5C4F" w14:textId="77777777" w:rsidR="00615E2D" w:rsidRDefault="00C83E46">
            <w:pPr>
              <w:pStyle w:val="P68B1DB1-Normal57"/>
              <w:spacing w:before="0" w:after="0" w:line="240" w:lineRule="auto"/>
              <w:jc w:val="center"/>
              <w:rPr>
                <w:noProof/>
              </w:rPr>
            </w:pPr>
            <w:r>
              <w:rPr>
                <w:noProof/>
              </w:rPr>
              <w:t>C 5.2: Potpora istraživanju i razvoju u poduzećima i uvođenje inovacija u poslovnu praksu – reforma 1.: Osnivanje nacionalne koordinacijske skupine za potporu industrijskom istraživanju</w:t>
            </w:r>
          </w:p>
        </w:tc>
        <w:tc>
          <w:tcPr>
            <w:tcW w:w="1843" w:type="dxa"/>
            <w:tcBorders>
              <w:top w:val="nil"/>
              <w:left w:val="nil"/>
              <w:bottom w:val="nil"/>
              <w:right w:val="single" w:sz="8" w:space="0" w:color="000000" w:themeColor="text1"/>
            </w:tcBorders>
            <w:shd w:val="clear" w:color="auto" w:fill="C6EFCE"/>
            <w:vAlign w:val="center"/>
            <w:hideMark/>
          </w:tcPr>
          <w:p w14:paraId="1EA4F92D"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nil"/>
              <w:right w:val="single" w:sz="8" w:space="0" w:color="auto"/>
            </w:tcBorders>
            <w:shd w:val="clear" w:color="auto" w:fill="C6EFCE"/>
            <w:vAlign w:val="center"/>
            <w:hideMark/>
          </w:tcPr>
          <w:p w14:paraId="39F7E8D9" w14:textId="77777777" w:rsidR="00615E2D" w:rsidRDefault="00C83E46">
            <w:pPr>
              <w:pStyle w:val="P68B1DB1-Normal57"/>
              <w:spacing w:before="0" w:after="0" w:line="240" w:lineRule="auto"/>
              <w:jc w:val="center"/>
              <w:rPr>
                <w:noProof/>
              </w:rPr>
            </w:pPr>
            <w:r>
              <w:rPr>
                <w:noProof/>
              </w:rPr>
              <w:t>Osnivanje nacionalne koordinacijske skupine za potporu industrijskom istraživanju</w:t>
            </w:r>
          </w:p>
        </w:tc>
      </w:tr>
      <w:tr w:rsidR="00615E2D" w14:paraId="4B634719" w14:textId="77777777">
        <w:trPr>
          <w:trHeight w:val="60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56BCBA97" w14:textId="77777777" w:rsidR="00615E2D" w:rsidRDefault="00C83E46">
            <w:pPr>
              <w:pStyle w:val="P68B1DB1-Normal56"/>
              <w:spacing w:before="0" w:after="0" w:line="240" w:lineRule="auto"/>
              <w:jc w:val="center"/>
              <w:rPr>
                <w:noProof/>
              </w:rPr>
            </w:pPr>
            <w:r>
              <w:rPr>
                <w:noProof/>
              </w:rPr>
              <w:t>236</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214F0B33" w14:textId="77777777" w:rsidR="00615E2D" w:rsidRDefault="00C83E46">
            <w:pPr>
              <w:pStyle w:val="P68B1DB1-Normal57"/>
              <w:spacing w:before="0" w:after="0" w:line="240" w:lineRule="auto"/>
              <w:jc w:val="center"/>
              <w:rPr>
                <w:noProof/>
              </w:rPr>
            </w:pPr>
            <w:r>
              <w:rPr>
                <w:noProof/>
              </w:rPr>
              <w:t xml:space="preserve">C 6.2: Nacionalni plan za jačanje onkološke prevencije i skrbi – reforma 1.: Nacionalni onkološki program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706D5CEB"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auto"/>
            </w:tcBorders>
            <w:shd w:val="clear" w:color="auto" w:fill="C6EFCE"/>
            <w:vAlign w:val="center"/>
            <w:hideMark/>
          </w:tcPr>
          <w:p w14:paraId="2E92A8D2" w14:textId="77777777" w:rsidR="00615E2D" w:rsidRDefault="00C83E46">
            <w:pPr>
              <w:pStyle w:val="P68B1DB1-Normal56"/>
              <w:spacing w:before="0" w:after="0" w:line="240" w:lineRule="auto"/>
              <w:jc w:val="center"/>
              <w:rPr>
                <w:noProof/>
              </w:rPr>
            </w:pPr>
            <w:r>
              <w:rPr>
                <w:noProof/>
              </w:rPr>
              <w:t xml:space="preserve"> Nacionalni onkološki program Češke Republike za razdoblje 2022. 2030.</w:t>
            </w:r>
          </w:p>
        </w:tc>
      </w:tr>
      <w:tr w:rsidR="00615E2D" w14:paraId="6C7E3F64" w14:textId="77777777">
        <w:trPr>
          <w:trHeight w:val="795"/>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3AAB5682" w14:textId="77777777" w:rsidR="00615E2D" w:rsidRDefault="00C83E46">
            <w:pPr>
              <w:pStyle w:val="P68B1DB1-Normal57"/>
              <w:spacing w:before="0" w:after="0" w:line="240" w:lineRule="auto"/>
              <w:jc w:val="center"/>
              <w:rPr>
                <w:noProof/>
              </w:rPr>
            </w:pPr>
            <w:r>
              <w:rPr>
                <w:noProof/>
              </w:rPr>
              <w:t>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A229D8E" w14:textId="77777777" w:rsidR="00615E2D" w:rsidRDefault="00C83E46">
            <w:pPr>
              <w:pStyle w:val="P68B1DB1-Normal57"/>
              <w:spacing w:before="0" w:after="0" w:line="240" w:lineRule="auto"/>
              <w:jc w:val="center"/>
              <w:rPr>
                <w:noProof/>
              </w:rPr>
            </w:pPr>
            <w:r>
              <w:rPr>
                <w:noProof/>
              </w:rPr>
              <w:t>C 1.1: Digitalne usluge za građane i poduzeća – 2. reforma: e-zdravstvo</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D0332BD"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auto"/>
              <w:right w:val="single" w:sz="8" w:space="0" w:color="auto"/>
            </w:tcBorders>
            <w:shd w:val="clear" w:color="auto" w:fill="C6EFCE"/>
            <w:vAlign w:val="center"/>
            <w:hideMark/>
          </w:tcPr>
          <w:p w14:paraId="7EBE7AE9" w14:textId="77777777" w:rsidR="00615E2D" w:rsidRDefault="00C83E46">
            <w:pPr>
              <w:pStyle w:val="P68B1DB1-Normal57"/>
              <w:spacing w:before="0" w:after="0" w:line="240" w:lineRule="auto"/>
              <w:jc w:val="center"/>
              <w:rPr>
                <w:noProof/>
              </w:rPr>
            </w:pPr>
            <w:r>
              <w:rPr>
                <w:noProof/>
              </w:rPr>
              <w:t>Definicija standarda interoperabilnosti u skladu s Europskim okvirom interoperabilnosti za e-zdravstvo i definiranje pravila kojima se uređuje telemedicina</w:t>
            </w:r>
          </w:p>
        </w:tc>
      </w:tr>
      <w:tr w:rsidR="00615E2D" w14:paraId="1EE9BEAE" w14:textId="77777777">
        <w:trPr>
          <w:trHeight w:val="600"/>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4252DE2F" w14:textId="77777777" w:rsidR="00615E2D" w:rsidRDefault="00C83E46">
            <w:pPr>
              <w:pStyle w:val="P68B1DB1-Normal57"/>
              <w:spacing w:before="0" w:after="0" w:line="240" w:lineRule="auto"/>
              <w:jc w:val="center"/>
              <w:rPr>
                <w:noProof/>
              </w:rPr>
            </w:pPr>
            <w:r>
              <w:rPr>
                <w:noProof/>
              </w:rPr>
              <w:t>68</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0022787C" w14:textId="77777777" w:rsidR="00615E2D" w:rsidRDefault="00C83E46">
            <w:pPr>
              <w:pStyle w:val="P68B1DB1-Normal57"/>
              <w:spacing w:before="0" w:after="0" w:line="240" w:lineRule="auto"/>
              <w:jc w:val="center"/>
              <w:rPr>
                <w:noProof/>
              </w:rPr>
            </w:pPr>
            <w:r>
              <w:rPr>
                <w:noProof/>
              </w:rPr>
              <w:t>C 1.5.: Digitalna transformacija poduzeća – reforma 1.: Stvaranje platforme za digitalizaciju gospodarstva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574E47E"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auto"/>
              <w:right w:val="single" w:sz="8" w:space="0" w:color="auto"/>
            </w:tcBorders>
            <w:shd w:val="clear" w:color="auto" w:fill="C6EFCE"/>
            <w:vAlign w:val="center"/>
            <w:hideMark/>
          </w:tcPr>
          <w:p w14:paraId="306E9F80" w14:textId="77777777" w:rsidR="00615E2D" w:rsidRDefault="00C83E46">
            <w:pPr>
              <w:pStyle w:val="P68B1DB1-Normal57"/>
              <w:spacing w:before="0" w:after="0" w:line="240" w:lineRule="auto"/>
              <w:jc w:val="center"/>
              <w:rPr>
                <w:noProof/>
              </w:rPr>
            </w:pPr>
            <w:r>
              <w:rPr>
                <w:noProof/>
              </w:rPr>
              <w:t>Stvaranje platforme za digitalizaciju gospodarstva</w:t>
            </w:r>
          </w:p>
        </w:tc>
      </w:tr>
      <w:tr w:rsidR="00615E2D" w14:paraId="2DC0ED5C" w14:textId="77777777">
        <w:trPr>
          <w:trHeight w:val="600"/>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0844D023" w14:textId="77777777" w:rsidR="00615E2D" w:rsidRDefault="00C83E46">
            <w:pPr>
              <w:pStyle w:val="P68B1DB1-Normal57"/>
              <w:spacing w:before="0" w:after="0" w:line="240" w:lineRule="auto"/>
              <w:jc w:val="center"/>
              <w:rPr>
                <w:noProof/>
              </w:rPr>
            </w:pPr>
            <w:r>
              <w:rPr>
                <w:noProof/>
              </w:rPr>
              <w:t>146</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2F187A9" w14:textId="77777777" w:rsidR="00615E2D" w:rsidRDefault="00C83E46">
            <w:pPr>
              <w:pStyle w:val="P68B1DB1-Normal57"/>
              <w:spacing w:before="0" w:after="0" w:line="240" w:lineRule="auto"/>
              <w:jc w:val="center"/>
              <w:rPr>
                <w:noProof/>
              </w:rPr>
            </w:pPr>
            <w:r>
              <w:rPr>
                <w:noProof/>
              </w:rPr>
              <w:t>C 2.7.: Kružno gospodarstvo, recikliranje i industrijska voda – 2. reforma: Dovršetak i provedba kružne strategije za Češku 2040.</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6EE3A09"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auto"/>
              <w:right w:val="single" w:sz="8" w:space="0" w:color="auto"/>
            </w:tcBorders>
            <w:shd w:val="clear" w:color="auto" w:fill="C6EFCE"/>
            <w:vAlign w:val="center"/>
            <w:hideMark/>
          </w:tcPr>
          <w:p w14:paraId="4C35245D" w14:textId="77777777" w:rsidR="00615E2D" w:rsidRDefault="00C83E46">
            <w:pPr>
              <w:pStyle w:val="P68B1DB1-Normal57"/>
              <w:spacing w:before="0" w:after="0" w:line="240" w:lineRule="auto"/>
              <w:jc w:val="center"/>
              <w:rPr>
                <w:noProof/>
              </w:rPr>
            </w:pPr>
            <w:r>
              <w:rPr>
                <w:noProof/>
              </w:rPr>
              <w:t>Dovršetak i donošenje kružne strategije za Češku 2040. u Ministarstvu okoliša</w:t>
            </w:r>
          </w:p>
        </w:tc>
      </w:tr>
      <w:tr w:rsidR="00615E2D" w14:paraId="024D847C" w14:textId="77777777">
        <w:trPr>
          <w:trHeight w:val="600"/>
        </w:trPr>
        <w:tc>
          <w:tcPr>
            <w:tcW w:w="1276" w:type="dxa"/>
            <w:tcBorders>
              <w:top w:val="nil"/>
              <w:left w:val="single" w:sz="8" w:space="0" w:color="auto"/>
              <w:bottom w:val="nil"/>
              <w:right w:val="single" w:sz="8" w:space="0" w:color="000000" w:themeColor="text1"/>
            </w:tcBorders>
            <w:shd w:val="clear" w:color="auto" w:fill="C6EFCE"/>
            <w:vAlign w:val="center"/>
            <w:hideMark/>
          </w:tcPr>
          <w:p w14:paraId="5D5EB9A3" w14:textId="77777777" w:rsidR="00615E2D" w:rsidRDefault="00C83E46">
            <w:pPr>
              <w:pStyle w:val="P68B1DB1-Normal57"/>
              <w:spacing w:before="0" w:after="0" w:line="240" w:lineRule="auto"/>
              <w:jc w:val="center"/>
              <w:rPr>
                <w:noProof/>
              </w:rPr>
            </w:pPr>
            <w:r>
              <w:rPr>
                <w:noProof/>
              </w:rPr>
              <w:t>184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16048C8A" w14:textId="77777777" w:rsidR="00615E2D" w:rsidRDefault="00C83E46">
            <w:pPr>
              <w:pStyle w:val="P68B1DB1-Normal57"/>
              <w:spacing w:before="0" w:after="0" w:line="240" w:lineRule="auto"/>
              <w:jc w:val="center"/>
              <w:rPr>
                <w:noProof/>
              </w:rPr>
            </w:pPr>
            <w:r>
              <w:rPr>
                <w:noProof/>
              </w:rPr>
              <w:t>C 3.3: Modernizacija službi za zapošljavanje i razvoj tržišta rada – reforma 1.: Razvoj politika tržišta rada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7905A4E"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nil"/>
              <w:right w:val="single" w:sz="8" w:space="0" w:color="auto"/>
            </w:tcBorders>
            <w:shd w:val="clear" w:color="auto" w:fill="C6EFCE"/>
            <w:vAlign w:val="center"/>
            <w:hideMark/>
          </w:tcPr>
          <w:p w14:paraId="07E549D1" w14:textId="77777777" w:rsidR="00615E2D" w:rsidRDefault="00C83E46">
            <w:pPr>
              <w:pStyle w:val="P68B1DB1-Normal57"/>
              <w:spacing w:before="0" w:after="0" w:line="240" w:lineRule="auto"/>
              <w:jc w:val="center"/>
              <w:rPr>
                <w:noProof/>
              </w:rPr>
            </w:pPr>
            <w:r>
              <w:rPr>
                <w:noProof/>
              </w:rPr>
              <w:t xml:space="preserve">Osnivanje tripartitnog odbora za prekvalifikaciju i usavršavanje </w:t>
            </w:r>
          </w:p>
        </w:tc>
      </w:tr>
      <w:tr w:rsidR="00615E2D" w14:paraId="7EF37B12" w14:textId="77777777">
        <w:trPr>
          <w:trHeight w:val="795"/>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72E04D4E" w14:textId="77777777" w:rsidR="00615E2D" w:rsidRDefault="00C83E46">
            <w:pPr>
              <w:pStyle w:val="P68B1DB1-Normal56"/>
              <w:spacing w:before="0" w:after="0" w:line="240" w:lineRule="auto"/>
              <w:jc w:val="center"/>
              <w:rPr>
                <w:noProof/>
              </w:rPr>
            </w:pPr>
            <w:r>
              <w:rPr>
                <w:noProof/>
              </w:rPr>
              <w:t>29</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2029563" w14:textId="77777777" w:rsidR="00615E2D" w:rsidRDefault="00C83E46">
            <w:pPr>
              <w:pStyle w:val="P68B1DB1-Normal57"/>
              <w:spacing w:before="0" w:after="0" w:line="240" w:lineRule="auto"/>
              <w:jc w:val="center"/>
              <w:rPr>
                <w:noProof/>
              </w:rPr>
            </w:pPr>
            <w:r>
              <w:rPr>
                <w:noProof/>
              </w:rPr>
              <w:t>C 1.2.: Sustavi digitalne javne uprave – ulaganje 4:</w:t>
            </w:r>
            <w:r>
              <w:rPr>
                <w:noProof/>
              </w:rPr>
              <w:br/>
              <w:t>Stvaranje uvjeta za digitalno pravosuđe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5829BEAC"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auto"/>
            </w:tcBorders>
            <w:shd w:val="clear" w:color="auto" w:fill="C6EFCE"/>
            <w:vAlign w:val="center"/>
            <w:hideMark/>
          </w:tcPr>
          <w:p w14:paraId="54849FCE" w14:textId="77777777" w:rsidR="00615E2D" w:rsidRDefault="00C83E46">
            <w:pPr>
              <w:pStyle w:val="P68B1DB1-Normal56"/>
              <w:spacing w:before="0" w:after="0" w:line="240" w:lineRule="auto"/>
              <w:jc w:val="center"/>
              <w:rPr>
                <w:noProof/>
              </w:rPr>
            </w:pPr>
            <w:r>
              <w:rPr>
                <w:noProof/>
              </w:rPr>
              <w:t>Analiza upravljanja podacima i upotrebe podataka u pravosudnom sektoru i uvođenje skladišta podataka</w:t>
            </w:r>
          </w:p>
        </w:tc>
      </w:tr>
      <w:tr w:rsidR="00615E2D" w14:paraId="739AC922" w14:textId="77777777">
        <w:trPr>
          <w:trHeight w:val="600"/>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5DC56E8D" w14:textId="77777777" w:rsidR="00615E2D" w:rsidRDefault="00C83E46">
            <w:pPr>
              <w:pStyle w:val="P68B1DB1-Normal57"/>
              <w:spacing w:before="0" w:after="0" w:line="240" w:lineRule="auto"/>
              <w:jc w:val="center"/>
              <w:rPr>
                <w:noProof/>
              </w:rPr>
            </w:pPr>
            <w:r>
              <w:rPr>
                <w:noProof/>
              </w:rPr>
              <w:t>83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A2F11BA" w14:textId="77777777" w:rsidR="00615E2D" w:rsidRDefault="00C83E46">
            <w:pPr>
              <w:pStyle w:val="P68B1DB1-Normal57"/>
              <w:spacing w:before="0" w:after="0" w:line="240" w:lineRule="auto"/>
              <w:jc w:val="center"/>
              <w:rPr>
                <w:noProof/>
              </w:rPr>
            </w:pPr>
            <w:r>
              <w:rPr>
                <w:noProof/>
              </w:rPr>
              <w:t>C 2.1.: Održivi promet – ulaganja 1: Nove tehnologije i digitalizacija željezničke infrastrukture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AC80C18"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6784FAEA" w14:textId="77777777" w:rsidR="00615E2D" w:rsidRDefault="00C83E46">
            <w:pPr>
              <w:pStyle w:val="P68B1DB1-Normal57"/>
              <w:spacing w:before="0" w:after="0" w:line="240" w:lineRule="auto"/>
              <w:jc w:val="center"/>
              <w:rPr>
                <w:noProof/>
              </w:rPr>
            </w:pPr>
            <w:r>
              <w:rPr>
                <w:noProof/>
              </w:rPr>
              <w:t>Definicija skupa projekata za ulaganje 1</w:t>
            </w:r>
          </w:p>
        </w:tc>
      </w:tr>
      <w:tr w:rsidR="00615E2D" w14:paraId="62E5A309" w14:textId="77777777">
        <w:trPr>
          <w:trHeight w:val="405"/>
        </w:trPr>
        <w:tc>
          <w:tcPr>
            <w:tcW w:w="1276" w:type="dxa"/>
            <w:tcBorders>
              <w:top w:val="single" w:sz="4" w:space="0" w:color="000000" w:themeColor="text1"/>
              <w:left w:val="single" w:sz="8" w:space="0" w:color="auto"/>
              <w:bottom w:val="single" w:sz="8" w:space="0" w:color="auto"/>
              <w:right w:val="single" w:sz="8" w:space="0" w:color="000000" w:themeColor="text1"/>
            </w:tcBorders>
            <w:shd w:val="clear" w:color="auto" w:fill="C6EFCE"/>
            <w:vAlign w:val="center"/>
            <w:hideMark/>
          </w:tcPr>
          <w:p w14:paraId="14230D4C" w14:textId="77777777" w:rsidR="00615E2D" w:rsidRDefault="00C83E46">
            <w:pPr>
              <w:pStyle w:val="P68B1DB1-Normal57"/>
              <w:spacing w:before="0" w:after="0" w:line="240" w:lineRule="auto"/>
              <w:jc w:val="center"/>
              <w:rPr>
                <w:noProof/>
              </w:rPr>
            </w:pPr>
            <w:r>
              <w:rPr>
                <w:noProof/>
              </w:rPr>
              <w:t>86</w:t>
            </w:r>
          </w:p>
        </w:tc>
        <w:tc>
          <w:tcPr>
            <w:tcW w:w="396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1FC1DE79" w14:textId="77777777" w:rsidR="00615E2D" w:rsidRDefault="00C83E46">
            <w:pPr>
              <w:pStyle w:val="P68B1DB1-Normal57"/>
              <w:spacing w:before="0" w:after="0" w:line="240" w:lineRule="auto"/>
              <w:jc w:val="center"/>
              <w:rPr>
                <w:noProof/>
              </w:rPr>
            </w:pPr>
            <w:r>
              <w:rPr>
                <w:noProof/>
              </w:rPr>
              <w:t>C 2.1.: Održivi promet – ulaganje 2: Elektrifikacija željeznica</w:t>
            </w:r>
          </w:p>
        </w:tc>
        <w:tc>
          <w:tcPr>
            <w:tcW w:w="1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6B8094D5"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000000" w:themeColor="text1"/>
              <w:left w:val="nil"/>
              <w:bottom w:val="single" w:sz="8" w:space="0" w:color="auto"/>
              <w:right w:val="single" w:sz="8" w:space="0" w:color="auto"/>
            </w:tcBorders>
            <w:shd w:val="clear" w:color="auto" w:fill="C6EFCE"/>
            <w:vAlign w:val="center"/>
            <w:hideMark/>
          </w:tcPr>
          <w:p w14:paraId="3EDA9728" w14:textId="77777777" w:rsidR="00615E2D" w:rsidRDefault="00C83E46">
            <w:pPr>
              <w:pStyle w:val="P68B1DB1-Normal57"/>
              <w:spacing w:before="0" w:after="0" w:line="240" w:lineRule="auto"/>
              <w:jc w:val="center"/>
              <w:rPr>
                <w:noProof/>
              </w:rPr>
            </w:pPr>
            <w:r>
              <w:rPr>
                <w:noProof/>
              </w:rPr>
              <w:t>Definicija skupa projekata za ulaganje 2</w:t>
            </w:r>
          </w:p>
        </w:tc>
      </w:tr>
      <w:tr w:rsidR="00615E2D" w14:paraId="7E39CE59" w14:textId="77777777">
        <w:trPr>
          <w:trHeight w:val="600"/>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1EAC7161" w14:textId="77777777" w:rsidR="00615E2D" w:rsidRDefault="00C83E46">
            <w:pPr>
              <w:pStyle w:val="P68B1DB1-Normal57"/>
              <w:spacing w:before="0" w:after="0" w:line="240" w:lineRule="auto"/>
              <w:jc w:val="center"/>
              <w:rPr>
                <w:noProof/>
              </w:rPr>
            </w:pPr>
            <w:r>
              <w:rPr>
                <w:noProof/>
              </w:rPr>
              <w:t>89</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886594C" w14:textId="77777777" w:rsidR="00615E2D" w:rsidRDefault="00C83E46">
            <w:pPr>
              <w:pStyle w:val="P68B1DB1-Normal57"/>
              <w:spacing w:before="0" w:after="0" w:line="240" w:lineRule="auto"/>
              <w:jc w:val="center"/>
              <w:rPr>
                <w:noProof/>
              </w:rPr>
            </w:pPr>
            <w:r>
              <w:rPr>
                <w:noProof/>
              </w:rPr>
              <w:t>C 2.1.: Održivi promet – ulaganje 3: Poboljšanje okoliša (potpora željezničkoj infrastrukturi)</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51CA841"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auto"/>
              <w:right w:val="single" w:sz="8" w:space="0" w:color="auto"/>
            </w:tcBorders>
            <w:shd w:val="clear" w:color="auto" w:fill="C6EFCE"/>
            <w:vAlign w:val="center"/>
            <w:hideMark/>
          </w:tcPr>
          <w:p w14:paraId="276F91D1" w14:textId="77777777" w:rsidR="00615E2D" w:rsidRDefault="00C83E46">
            <w:pPr>
              <w:pStyle w:val="P68B1DB1-Normal57"/>
              <w:spacing w:before="0" w:after="0" w:line="240" w:lineRule="auto"/>
              <w:jc w:val="center"/>
              <w:rPr>
                <w:noProof/>
              </w:rPr>
            </w:pPr>
            <w:r>
              <w:rPr>
                <w:noProof/>
              </w:rPr>
              <w:t>Definicija skupa projekata za ulaganje 3</w:t>
            </w:r>
          </w:p>
        </w:tc>
      </w:tr>
      <w:tr w:rsidR="00615E2D" w14:paraId="01178EAB" w14:textId="77777777">
        <w:trPr>
          <w:trHeight w:val="600"/>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0AAE1ADB" w14:textId="77777777" w:rsidR="00615E2D" w:rsidRDefault="00C83E46">
            <w:pPr>
              <w:pStyle w:val="P68B1DB1-Normal57"/>
              <w:spacing w:before="0" w:after="0" w:line="240" w:lineRule="auto"/>
              <w:jc w:val="center"/>
              <w:rPr>
                <w:noProof/>
              </w:rPr>
            </w:pPr>
            <w:r>
              <w:rPr>
                <w:noProof/>
              </w:rPr>
              <w:t>92</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448F409"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0DC6EB1E"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auto"/>
              <w:right w:val="single" w:sz="8" w:space="0" w:color="auto"/>
            </w:tcBorders>
            <w:shd w:val="clear" w:color="auto" w:fill="C6EFCE"/>
            <w:vAlign w:val="center"/>
            <w:hideMark/>
          </w:tcPr>
          <w:p w14:paraId="23369C51" w14:textId="77777777" w:rsidR="00615E2D" w:rsidRDefault="00C83E46">
            <w:pPr>
              <w:pStyle w:val="P68B1DB1-Normal57"/>
              <w:spacing w:before="0" w:after="0" w:line="240" w:lineRule="auto"/>
              <w:jc w:val="center"/>
              <w:rPr>
                <w:noProof/>
              </w:rPr>
            </w:pPr>
            <w:r>
              <w:rPr>
                <w:noProof/>
              </w:rPr>
              <w:t>Završetak željezničko-cestovnih prijelaza s povećanom sigurnošću</w:t>
            </w:r>
          </w:p>
        </w:tc>
      </w:tr>
      <w:tr w:rsidR="00615E2D" w14:paraId="0156847D" w14:textId="77777777">
        <w:trPr>
          <w:trHeight w:val="600"/>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7FC8F548" w14:textId="77777777" w:rsidR="00615E2D" w:rsidRDefault="00C83E46">
            <w:pPr>
              <w:pStyle w:val="P68B1DB1-Normal57"/>
              <w:spacing w:before="0" w:after="0" w:line="240" w:lineRule="auto"/>
              <w:jc w:val="center"/>
              <w:rPr>
                <w:noProof/>
              </w:rPr>
            </w:pPr>
            <w:r>
              <w:rPr>
                <w:noProof/>
              </w:rPr>
              <w:t>93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B76D014"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8197D7B"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auto"/>
              <w:right w:val="single" w:sz="8" w:space="0" w:color="auto"/>
            </w:tcBorders>
            <w:shd w:val="clear" w:color="auto" w:fill="C6EFCE"/>
            <w:vAlign w:val="center"/>
            <w:hideMark/>
          </w:tcPr>
          <w:p w14:paraId="04EFDF4F" w14:textId="77777777" w:rsidR="00615E2D" w:rsidRDefault="00C83E46">
            <w:pPr>
              <w:pStyle w:val="P68B1DB1-Normal57"/>
              <w:spacing w:before="0" w:after="0" w:line="240" w:lineRule="auto"/>
              <w:jc w:val="center"/>
              <w:rPr>
                <w:noProof/>
              </w:rPr>
            </w:pPr>
            <w:r>
              <w:rPr>
                <w:noProof/>
              </w:rPr>
              <w:t>Završetak izgrađenih biciklističkih staza, pločnika i putova bez prepreka</w:t>
            </w:r>
          </w:p>
        </w:tc>
      </w:tr>
      <w:tr w:rsidR="00615E2D" w14:paraId="020B7FB9" w14:textId="77777777">
        <w:trPr>
          <w:trHeight w:val="600"/>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6F255805" w14:textId="77777777" w:rsidR="00615E2D" w:rsidRDefault="00C83E46">
            <w:pPr>
              <w:pStyle w:val="P68B1DB1-Normal57"/>
              <w:spacing w:before="0" w:after="0" w:line="240" w:lineRule="auto"/>
              <w:jc w:val="center"/>
              <w:rPr>
                <w:noProof/>
              </w:rPr>
            </w:pPr>
            <w:r>
              <w:rPr>
                <w:noProof/>
              </w:rPr>
              <w:t>94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06AEA2E5"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4ABD992"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auto"/>
              <w:right w:val="single" w:sz="8" w:space="0" w:color="auto"/>
            </w:tcBorders>
            <w:shd w:val="clear" w:color="auto" w:fill="C6EFCE"/>
            <w:vAlign w:val="center"/>
            <w:hideMark/>
          </w:tcPr>
          <w:p w14:paraId="7FC6A095" w14:textId="77777777" w:rsidR="00615E2D" w:rsidRDefault="00C83E46">
            <w:pPr>
              <w:pStyle w:val="P68B1DB1-Normal57"/>
              <w:spacing w:before="0" w:after="0" w:line="240" w:lineRule="auto"/>
              <w:jc w:val="center"/>
              <w:rPr>
                <w:noProof/>
              </w:rPr>
            </w:pPr>
            <w:r>
              <w:rPr>
                <w:noProof/>
              </w:rPr>
              <w:t>Dovršetak moderniziranih željezničkih mostova ili tunela</w:t>
            </w:r>
          </w:p>
        </w:tc>
      </w:tr>
      <w:tr w:rsidR="00615E2D" w14:paraId="13F4A148" w14:textId="77777777">
        <w:trPr>
          <w:trHeight w:val="40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E2F9EF9" w14:textId="77777777" w:rsidR="00615E2D" w:rsidRDefault="00C83E46">
            <w:pPr>
              <w:pStyle w:val="P68B1DB1-Normal56"/>
              <w:spacing w:before="0" w:after="0" w:line="240" w:lineRule="auto"/>
              <w:jc w:val="center"/>
              <w:rPr>
                <w:noProof/>
              </w:rPr>
            </w:pPr>
            <w:r>
              <w:rPr>
                <w:noProof/>
              </w:rPr>
              <w:t>131</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3F263DD" w14:textId="77777777" w:rsidR="00615E2D" w:rsidRDefault="00C83E46">
            <w:pPr>
              <w:pStyle w:val="P68B1DB1-Normal57"/>
              <w:spacing w:before="0" w:after="0" w:line="240" w:lineRule="auto"/>
              <w:jc w:val="center"/>
              <w:rPr>
                <w:noProof/>
              </w:rPr>
            </w:pPr>
            <w:r>
              <w:rPr>
                <w:noProof/>
              </w:rPr>
              <w:t>C 2.6.: Zaštita prirode i prilagodba klimatskim promjenama – ulaganja 1: Zaštita od poplava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4EE08FA"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0ADB23AF" w14:textId="77777777" w:rsidR="00615E2D" w:rsidRDefault="00C83E46">
            <w:pPr>
              <w:pStyle w:val="P68B1DB1-Normal56"/>
              <w:spacing w:before="0" w:after="0" w:line="240" w:lineRule="auto"/>
              <w:jc w:val="center"/>
              <w:rPr>
                <w:noProof/>
              </w:rPr>
            </w:pPr>
            <w:r>
              <w:rPr>
                <w:noProof/>
              </w:rPr>
              <w:t>Obavijest o dodjeli ugovora o zaštiti od poplava</w:t>
            </w:r>
          </w:p>
        </w:tc>
      </w:tr>
      <w:tr w:rsidR="00615E2D" w14:paraId="565FB580"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hideMark/>
          </w:tcPr>
          <w:p w14:paraId="2ADBFD2E" w14:textId="77777777" w:rsidR="00615E2D" w:rsidRDefault="00C83E46">
            <w:pPr>
              <w:pStyle w:val="P68B1DB1-Normal56"/>
              <w:spacing w:before="0" w:after="0" w:line="240" w:lineRule="auto"/>
              <w:jc w:val="center"/>
              <w:rPr>
                <w:noProof/>
              </w:rPr>
            </w:pPr>
            <w:r>
              <w:rPr>
                <w:noProof/>
              </w:rPr>
              <w:t>135</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548CA620" w14:textId="77777777" w:rsidR="00615E2D" w:rsidRDefault="00C83E46">
            <w:pPr>
              <w:pStyle w:val="P68B1DB1-Normal57"/>
              <w:spacing w:before="0" w:after="0" w:line="240" w:lineRule="auto"/>
              <w:jc w:val="center"/>
              <w:rPr>
                <w:noProof/>
              </w:rPr>
            </w:pPr>
            <w:r>
              <w:rPr>
                <w:noProof/>
              </w:rPr>
              <w:t>C 2.6.: Zaštita prirode i prilagodba klimatskim promjenama – ulaganje 2: Mali vodotoci i spremnici vode</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32CE005A"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4" w:space="0" w:color="auto"/>
              <w:right w:val="single" w:sz="8" w:space="0" w:color="auto"/>
            </w:tcBorders>
            <w:shd w:val="clear" w:color="auto" w:fill="C6EFCE"/>
            <w:vAlign w:val="center"/>
            <w:hideMark/>
          </w:tcPr>
          <w:p w14:paraId="23F057A9" w14:textId="77777777" w:rsidR="00615E2D" w:rsidRDefault="00C83E46">
            <w:pPr>
              <w:pStyle w:val="P68B1DB1-Normal56"/>
              <w:spacing w:before="0" w:after="0" w:line="240" w:lineRule="auto"/>
              <w:jc w:val="center"/>
              <w:rPr>
                <w:noProof/>
              </w:rPr>
            </w:pPr>
            <w:r>
              <w:rPr>
                <w:noProof/>
              </w:rPr>
              <w:t xml:space="preserve">T1: Završetak 50 % projekata malih vodotoka i spremnika vode </w:t>
            </w:r>
          </w:p>
        </w:tc>
      </w:tr>
      <w:tr w:rsidR="00615E2D" w14:paraId="4BFF0E04"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0C2D7CD" w14:textId="77777777" w:rsidR="00615E2D" w:rsidRDefault="00C83E46">
            <w:pPr>
              <w:pStyle w:val="P68B1DB1-Normal57"/>
              <w:spacing w:before="0" w:after="0" w:line="240" w:lineRule="auto"/>
              <w:jc w:val="center"/>
              <w:rPr>
                <w:noProof/>
              </w:rPr>
            </w:pPr>
            <w:r>
              <w:rPr>
                <w:noProof/>
              </w:rPr>
              <w:t>176</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DDDA751" w14:textId="77777777" w:rsidR="00615E2D" w:rsidRDefault="00C83E46">
            <w:pPr>
              <w:pStyle w:val="P68B1DB1-Normal57"/>
              <w:spacing w:before="0" w:after="0" w:line="240" w:lineRule="auto"/>
              <w:jc w:val="center"/>
              <w:rPr>
                <w:noProof/>
              </w:rPr>
            </w:pPr>
            <w:r>
              <w:rPr>
                <w:noProof/>
              </w:rPr>
              <w:t>C 3.2.: Prilagodba školskih programa – reforma 1.: Preobrazba sveučilišta radi prilagodbe novim oblicima učenja i promjenjivim potrebama tržišta rada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B68B214"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A84996E" w14:textId="77777777" w:rsidR="00615E2D" w:rsidRDefault="00C83E46">
            <w:pPr>
              <w:pStyle w:val="P68B1DB1-Normal57"/>
              <w:spacing w:before="0" w:after="0" w:line="240" w:lineRule="auto"/>
              <w:jc w:val="center"/>
              <w:rPr>
                <w:noProof/>
              </w:rPr>
            </w:pPr>
            <w:r>
              <w:rPr>
                <w:noProof/>
              </w:rPr>
              <w:t xml:space="preserve">Pokretanje programa za potporu transformaciji sveučilišta </w:t>
            </w:r>
          </w:p>
        </w:tc>
      </w:tr>
      <w:tr w:rsidR="00615E2D" w14:paraId="037F8E31" w14:textId="77777777">
        <w:trPr>
          <w:trHeight w:val="795"/>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hideMark/>
          </w:tcPr>
          <w:p w14:paraId="12C98F70" w14:textId="77777777" w:rsidR="00615E2D" w:rsidRDefault="00C83E46">
            <w:pPr>
              <w:pStyle w:val="P68B1DB1-Normal56"/>
              <w:spacing w:before="0" w:after="0" w:line="240" w:lineRule="auto"/>
              <w:jc w:val="center"/>
              <w:rPr>
                <w:noProof/>
              </w:rPr>
            </w:pPr>
            <w:r>
              <w:rPr>
                <w:noProof/>
              </w:rPr>
              <w:t>207</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59908950" w14:textId="77777777" w:rsidR="00615E2D" w:rsidRDefault="00C83E46">
            <w:pPr>
              <w:pStyle w:val="P68B1DB1-Normal57"/>
              <w:spacing w:before="0" w:after="0" w:line="240" w:lineRule="auto"/>
              <w:jc w:val="center"/>
              <w:rPr>
                <w:noProof/>
              </w:rPr>
            </w:pPr>
            <w:r>
              <w:rPr>
                <w:noProof/>
              </w:rPr>
              <w:t>C 4.3: Reforme borbe protiv korupcije – reforma br. 5: Kontrola i revizija</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18F0A2CC"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nil"/>
              <w:bottom w:val="single" w:sz="8" w:space="0" w:color="auto"/>
              <w:right w:val="single" w:sz="8" w:space="0" w:color="auto"/>
            </w:tcBorders>
            <w:shd w:val="clear" w:color="auto" w:fill="C6EFCE"/>
            <w:vAlign w:val="center"/>
            <w:hideMark/>
          </w:tcPr>
          <w:p w14:paraId="62A232B1" w14:textId="77777777" w:rsidR="00615E2D" w:rsidRDefault="00C83E46">
            <w:pPr>
              <w:pStyle w:val="P68B1DB1-Normal56"/>
              <w:spacing w:before="0" w:after="0" w:line="240" w:lineRule="auto"/>
              <w:jc w:val="center"/>
              <w:rPr>
                <w:noProof/>
              </w:rPr>
            </w:pPr>
            <w:r>
              <w:rPr>
                <w:noProof/>
              </w:rPr>
              <w:t>Sustav za prikupljanje, pohranu i stavljanje na raspolaganje podataka o svim krajnjim primateljima, uključujući sve stvarne vlasnike (kako je utvrđeno člankom 3. točkom 6. Direktive o sprečavanju pranja novca).</w:t>
            </w:r>
          </w:p>
        </w:tc>
      </w:tr>
      <w:tr w:rsidR="00615E2D" w14:paraId="11EB6549" w14:textId="77777777">
        <w:trPr>
          <w:trHeight w:val="40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4F7E91C4" w14:textId="77777777" w:rsidR="00615E2D" w:rsidRDefault="00C83E46">
            <w:pPr>
              <w:pStyle w:val="P68B1DB1-Normal56"/>
              <w:spacing w:before="0" w:after="0" w:line="240" w:lineRule="auto"/>
              <w:jc w:val="center"/>
              <w:rPr>
                <w:noProof/>
              </w:rPr>
            </w:pPr>
            <w:r>
              <w:rPr>
                <w:noProof/>
              </w:rPr>
              <w:t>209</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5AAED3C" w14:textId="77777777" w:rsidR="00615E2D" w:rsidRDefault="00C83E46">
            <w:pPr>
              <w:pStyle w:val="P68B1DB1-Normal57"/>
              <w:spacing w:before="0" w:after="0" w:line="240" w:lineRule="auto"/>
              <w:jc w:val="center"/>
              <w:rPr>
                <w:noProof/>
              </w:rPr>
            </w:pPr>
            <w:r>
              <w:rPr>
                <w:noProof/>
              </w:rPr>
              <w:t>C 4.3: Reforme borbe protiv korupcije – reforma br. 5: Kontrola i revizija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95BF941"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68760003" w14:textId="77777777" w:rsidR="00615E2D" w:rsidRDefault="00C83E46">
            <w:pPr>
              <w:pStyle w:val="P68B1DB1-Normal56"/>
              <w:spacing w:before="0" w:after="0" w:line="240" w:lineRule="auto"/>
              <w:jc w:val="center"/>
              <w:rPr>
                <w:noProof/>
              </w:rPr>
            </w:pPr>
            <w:r>
              <w:rPr>
                <w:noProof/>
              </w:rPr>
              <w:t>Mjere za sprečavanje sukoba interesa koje provodi koordinacijsko tijelo.</w:t>
            </w:r>
          </w:p>
        </w:tc>
      </w:tr>
      <w:tr w:rsidR="00615E2D" w14:paraId="6247E5EF" w14:textId="77777777">
        <w:trPr>
          <w:trHeight w:val="40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E994E1B" w14:textId="77777777" w:rsidR="00615E2D" w:rsidRDefault="00C83E46">
            <w:pPr>
              <w:pStyle w:val="P68B1DB1-Normal56"/>
              <w:spacing w:before="0" w:after="0" w:line="240" w:lineRule="auto"/>
              <w:jc w:val="center"/>
              <w:rPr>
                <w:noProof/>
              </w:rPr>
            </w:pPr>
            <w:r>
              <w:rPr>
                <w:noProof/>
              </w:rPr>
              <w:t>210</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A561835" w14:textId="77777777" w:rsidR="00615E2D" w:rsidRDefault="00C83E46">
            <w:pPr>
              <w:pStyle w:val="P68B1DB1-Normal57"/>
              <w:spacing w:before="0" w:after="0" w:line="240" w:lineRule="auto"/>
              <w:jc w:val="center"/>
              <w:rPr>
                <w:noProof/>
              </w:rPr>
            </w:pPr>
            <w:r>
              <w:rPr>
                <w:noProof/>
              </w:rPr>
              <w:t>C 4.3: Reforme borbe protiv korupcije – reforma br. 5: Kontrola i revizija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3EB7E26"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3C5349ED" w14:textId="77777777" w:rsidR="00615E2D" w:rsidRDefault="00C83E46">
            <w:pPr>
              <w:pStyle w:val="P68B1DB1-Normal56"/>
              <w:spacing w:before="0" w:after="0" w:line="240" w:lineRule="auto"/>
              <w:jc w:val="center"/>
              <w:rPr>
                <w:noProof/>
              </w:rPr>
            </w:pPr>
            <w:r>
              <w:rPr>
                <w:noProof/>
              </w:rPr>
              <w:t>Repozitorijski sustav</w:t>
            </w:r>
          </w:p>
        </w:tc>
      </w:tr>
      <w:tr w:rsidR="00615E2D" w14:paraId="11F22B58" w14:textId="77777777">
        <w:trPr>
          <w:trHeight w:val="40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7B4CDDAF" w14:textId="77777777" w:rsidR="00615E2D" w:rsidRDefault="00C83E46">
            <w:pPr>
              <w:pStyle w:val="P68B1DB1-Normal56"/>
              <w:spacing w:before="0" w:after="0" w:line="240" w:lineRule="auto"/>
              <w:jc w:val="center"/>
              <w:rPr>
                <w:noProof/>
              </w:rPr>
            </w:pPr>
            <w:r>
              <w:rPr>
                <w:noProof/>
              </w:rPr>
              <w:t>213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EE176F0" w14:textId="77777777" w:rsidR="00615E2D" w:rsidRDefault="00C83E46">
            <w:pPr>
              <w:pStyle w:val="P68B1DB1-Normal57"/>
              <w:spacing w:before="0" w:after="0" w:line="240" w:lineRule="auto"/>
              <w:jc w:val="center"/>
              <w:rPr>
                <w:noProof/>
              </w:rPr>
            </w:pPr>
            <w:r>
              <w:rPr>
                <w:noProof/>
              </w:rPr>
              <w:t>C 4.3: Reforme borbe protiv korupcije – reforma br. 5: Kontrola i revizija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A9CB279"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2877AB45" w14:textId="77777777" w:rsidR="00615E2D" w:rsidRDefault="00C83E46">
            <w:pPr>
              <w:pStyle w:val="P68B1DB1-Normal56"/>
              <w:spacing w:before="0" w:after="0" w:line="240" w:lineRule="auto"/>
              <w:jc w:val="center"/>
              <w:rPr>
                <w:noProof/>
              </w:rPr>
            </w:pPr>
            <w:r>
              <w:rPr>
                <w:noProof/>
              </w:rPr>
              <w:t>Smjernice o izbjegavanju sukoba interesa i upravljanju njime</w:t>
            </w:r>
          </w:p>
        </w:tc>
      </w:tr>
      <w:tr w:rsidR="00615E2D" w14:paraId="221EC485" w14:textId="77777777">
        <w:trPr>
          <w:trHeight w:val="40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12758811" w14:textId="77777777" w:rsidR="00615E2D" w:rsidRDefault="00C83E46">
            <w:pPr>
              <w:pStyle w:val="P68B1DB1-Normal56"/>
              <w:spacing w:before="0" w:after="0" w:line="240" w:lineRule="auto"/>
              <w:jc w:val="center"/>
              <w:rPr>
                <w:noProof/>
              </w:rPr>
            </w:pPr>
            <w:r>
              <w:rPr>
                <w:noProof/>
              </w:rPr>
              <w:t>214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1F1B763" w14:textId="77777777" w:rsidR="00615E2D" w:rsidRDefault="00C83E46">
            <w:pPr>
              <w:pStyle w:val="P68B1DB1-Normal57"/>
              <w:spacing w:before="0" w:after="0" w:line="240" w:lineRule="auto"/>
              <w:jc w:val="center"/>
              <w:rPr>
                <w:noProof/>
              </w:rPr>
            </w:pPr>
            <w:r>
              <w:rPr>
                <w:noProof/>
              </w:rPr>
              <w:t>C 4.3: Reforme borbe protiv korupcije – reforma br. 5: Kontrola i revizija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115282E"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53B35709" w14:textId="77777777" w:rsidR="00615E2D" w:rsidRDefault="00C83E46">
            <w:pPr>
              <w:pStyle w:val="P68B1DB1-Normal56"/>
              <w:spacing w:before="0" w:after="0" w:line="240" w:lineRule="auto"/>
              <w:jc w:val="center"/>
              <w:rPr>
                <w:noProof/>
              </w:rPr>
            </w:pPr>
            <w:r>
              <w:rPr>
                <w:noProof/>
              </w:rPr>
              <w:t>Postupci za izbjegavanje sukoba interesa u skladu s člankom 61. Financijske uredbe</w:t>
            </w:r>
          </w:p>
        </w:tc>
      </w:tr>
      <w:tr w:rsidR="00615E2D" w14:paraId="1323E0E8" w14:textId="77777777">
        <w:trPr>
          <w:trHeight w:val="795"/>
        </w:trPr>
        <w:tc>
          <w:tcPr>
            <w:tcW w:w="1276" w:type="dxa"/>
            <w:tcBorders>
              <w:top w:val="single" w:sz="8" w:space="0" w:color="000000" w:themeColor="text1"/>
              <w:left w:val="single" w:sz="8" w:space="0" w:color="auto"/>
              <w:bottom w:val="single" w:sz="4" w:space="0" w:color="auto"/>
              <w:right w:val="single" w:sz="8" w:space="0" w:color="000000" w:themeColor="text1"/>
            </w:tcBorders>
            <w:shd w:val="clear" w:color="auto" w:fill="C6EFCE"/>
            <w:vAlign w:val="center"/>
            <w:hideMark/>
          </w:tcPr>
          <w:p w14:paraId="1165EA67" w14:textId="77777777" w:rsidR="00615E2D" w:rsidRDefault="00C83E46">
            <w:pPr>
              <w:pStyle w:val="P68B1DB1-Normal57"/>
              <w:spacing w:before="0" w:after="0" w:line="240" w:lineRule="auto"/>
              <w:jc w:val="center"/>
              <w:rPr>
                <w:noProof/>
              </w:rPr>
            </w:pPr>
            <w:r>
              <w:rPr>
                <w:noProof/>
              </w:rPr>
              <w:t>224</w:t>
            </w:r>
          </w:p>
        </w:tc>
        <w:tc>
          <w:tcPr>
            <w:tcW w:w="3969"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0DDE1ADB" w14:textId="77777777" w:rsidR="00615E2D" w:rsidRDefault="00C83E46">
            <w:pPr>
              <w:pStyle w:val="P68B1DB1-Normal57"/>
              <w:spacing w:before="0" w:after="0" w:line="240" w:lineRule="auto"/>
              <w:jc w:val="center"/>
              <w:rPr>
                <w:noProof/>
              </w:rPr>
            </w:pPr>
            <w:r>
              <w:rPr>
                <w:noProof/>
              </w:rPr>
              <w:t>C 5.1.: Izvrsno istraživanje i razvoj u zdravstvenom sektoru – ulaganja 1: Javna potpora istraživanju i razvoju za prioritetna područja medicinskih znanosti i povezanih društvenih znanosti</w:t>
            </w:r>
          </w:p>
        </w:tc>
        <w:tc>
          <w:tcPr>
            <w:tcW w:w="1843"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1CB90832"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000000" w:themeColor="text1"/>
              <w:left w:val="nil"/>
              <w:bottom w:val="single" w:sz="4" w:space="0" w:color="auto"/>
              <w:right w:val="single" w:sz="8" w:space="0" w:color="auto"/>
            </w:tcBorders>
            <w:shd w:val="clear" w:color="auto" w:fill="C6EFCE"/>
            <w:vAlign w:val="center"/>
            <w:hideMark/>
          </w:tcPr>
          <w:p w14:paraId="017C2854" w14:textId="77777777" w:rsidR="00615E2D" w:rsidRDefault="00C83E46">
            <w:pPr>
              <w:pStyle w:val="P68B1DB1-Normal57"/>
              <w:spacing w:before="0" w:after="0" w:line="240" w:lineRule="auto"/>
              <w:jc w:val="center"/>
              <w:rPr>
                <w:noProof/>
              </w:rPr>
            </w:pPr>
            <w:r>
              <w:rPr>
                <w:noProof/>
              </w:rPr>
              <w:t>Dodjela ugovora o javnoj nabavi za najmanje četiri konzorcija za istraživanje i razvoj</w:t>
            </w:r>
          </w:p>
        </w:tc>
      </w:tr>
      <w:tr w:rsidR="00615E2D" w14:paraId="66FCC9B6" w14:textId="77777777">
        <w:trPr>
          <w:trHeight w:val="607"/>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6277D535" w14:textId="77777777" w:rsidR="00615E2D" w:rsidRDefault="00615E2D">
            <w:pPr>
              <w:spacing w:before="0" w:after="0" w:line="240" w:lineRule="auto"/>
              <w:jc w:val="center"/>
              <w:rPr>
                <w:rFonts w:eastAsia="Times New Roman"/>
                <w:noProof/>
                <w:color w:val="006100"/>
                <w:sz w:val="20"/>
              </w:rPr>
            </w:pP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2A3B4F0C" w14:textId="77777777" w:rsidR="00615E2D" w:rsidRDefault="00615E2D">
            <w:pPr>
              <w:spacing w:before="0" w:after="0" w:line="240" w:lineRule="auto"/>
              <w:jc w:val="center"/>
              <w:rPr>
                <w:rFonts w:eastAsia="Times New Roman"/>
                <w:noProof/>
                <w:color w:val="006100"/>
                <w:sz w:val="20"/>
              </w:rPr>
            </w:pP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40545A06" w14:textId="77777777" w:rsidR="00615E2D" w:rsidRDefault="00C83E46">
            <w:pPr>
              <w:pStyle w:val="P68B1DB1-Normal59"/>
              <w:spacing w:before="0" w:after="0" w:line="240" w:lineRule="auto"/>
              <w:jc w:val="center"/>
              <w:rPr>
                <w:noProof/>
              </w:rPr>
            </w:pPr>
            <w:r>
              <w:rPr>
                <w:noProof/>
              </w:rPr>
              <w:t>Iznos obroka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7F0E69C6" w14:textId="77777777" w:rsidR="00615E2D" w:rsidRDefault="00C83E46">
            <w:pPr>
              <w:pStyle w:val="P68B1DB1-Normal59"/>
              <w:spacing w:before="0" w:after="0" w:line="240" w:lineRule="auto"/>
              <w:jc w:val="center"/>
              <w:rPr>
                <w:noProof/>
              </w:rPr>
            </w:pPr>
            <w:r>
              <w:rPr>
                <w:noProof/>
              </w:rPr>
              <w:t>1066888563 EURA</w:t>
            </w:r>
          </w:p>
        </w:tc>
      </w:tr>
    </w:tbl>
    <w:p w14:paraId="0AD343D5" w14:textId="77777777" w:rsidR="00615E2D" w:rsidRDefault="00615E2D">
      <w:pPr>
        <w:spacing w:line="240" w:lineRule="auto"/>
        <w:ind w:left="850"/>
        <w:jc w:val="both"/>
        <w:rPr>
          <w:noProof/>
        </w:rPr>
      </w:pPr>
    </w:p>
    <w:p w14:paraId="65DDE764" w14:textId="77777777" w:rsidR="00615E2D" w:rsidRDefault="00C83E46">
      <w:pPr>
        <w:pageBreakBefore/>
        <w:numPr>
          <w:ilvl w:val="1"/>
          <w:numId w:val="198"/>
        </w:numPr>
        <w:spacing w:line="240" w:lineRule="auto"/>
        <w:ind w:left="851" w:hanging="851"/>
        <w:jc w:val="both"/>
        <w:rPr>
          <w:noProof/>
        </w:rPr>
      </w:pPr>
      <w:r>
        <w:rPr>
          <w:noProof/>
        </w:rPr>
        <w:t xml:space="preserve">Drugi obrok (bespovratna potpora): </w:t>
      </w:r>
    </w:p>
    <w:tbl>
      <w:tblPr>
        <w:tblW w:w="10490" w:type="dxa"/>
        <w:tblInd w:w="-601" w:type="dxa"/>
        <w:tblLook w:val="04A0" w:firstRow="1" w:lastRow="0" w:firstColumn="1" w:lastColumn="0" w:noHBand="0" w:noVBand="1"/>
      </w:tblPr>
      <w:tblGrid>
        <w:gridCol w:w="1276"/>
        <w:gridCol w:w="3969"/>
        <w:gridCol w:w="1843"/>
        <w:gridCol w:w="3402"/>
      </w:tblGrid>
      <w:tr w:rsidR="00615E2D" w14:paraId="6A641CD2" w14:textId="77777777">
        <w:trPr>
          <w:trHeight w:val="825"/>
          <w:tblHeader/>
        </w:trPr>
        <w:tc>
          <w:tcPr>
            <w:tcW w:w="1276" w:type="dxa"/>
            <w:tcBorders>
              <w:top w:val="single" w:sz="8" w:space="0" w:color="auto"/>
              <w:left w:val="single" w:sz="8" w:space="0" w:color="auto"/>
              <w:bottom w:val="single" w:sz="4" w:space="0" w:color="auto"/>
              <w:right w:val="single" w:sz="8" w:space="0" w:color="auto"/>
            </w:tcBorders>
            <w:shd w:val="clear" w:color="auto" w:fill="BDD7EE"/>
            <w:vAlign w:val="center"/>
            <w:hideMark/>
          </w:tcPr>
          <w:p w14:paraId="41EC6FED" w14:textId="77777777" w:rsidR="00615E2D" w:rsidRDefault="00C83E46">
            <w:pPr>
              <w:pStyle w:val="P68B1DB1-Normal55"/>
              <w:spacing w:before="0" w:after="0" w:line="240" w:lineRule="auto"/>
              <w:jc w:val="center"/>
              <w:rPr>
                <w:noProof/>
              </w:rPr>
            </w:pPr>
            <w:r>
              <w:rPr>
                <w:noProof/>
              </w:rPr>
              <w:t>Redni broj</w:t>
            </w:r>
          </w:p>
        </w:tc>
        <w:tc>
          <w:tcPr>
            <w:tcW w:w="3969" w:type="dxa"/>
            <w:tcBorders>
              <w:top w:val="single" w:sz="8" w:space="0" w:color="auto"/>
              <w:left w:val="nil"/>
              <w:bottom w:val="single" w:sz="4" w:space="0" w:color="auto"/>
              <w:right w:val="single" w:sz="8" w:space="0" w:color="auto"/>
            </w:tcBorders>
            <w:shd w:val="clear" w:color="auto" w:fill="BDD7EE"/>
            <w:vAlign w:val="center"/>
            <w:hideMark/>
          </w:tcPr>
          <w:p w14:paraId="268EA9BF" w14:textId="77777777" w:rsidR="00615E2D" w:rsidRDefault="00C83E46">
            <w:pPr>
              <w:pStyle w:val="P68B1DB1-Normal55"/>
              <w:spacing w:before="0" w:after="0" w:line="240" w:lineRule="auto"/>
              <w:jc w:val="center"/>
              <w:rPr>
                <w:noProof/>
              </w:rPr>
            </w:pPr>
            <w:r>
              <w:rPr>
                <w:noProof/>
              </w:rPr>
              <w:t>Povezana mjera (reforma ili ulaganje)</w:t>
            </w:r>
          </w:p>
        </w:tc>
        <w:tc>
          <w:tcPr>
            <w:tcW w:w="1843" w:type="dxa"/>
            <w:tcBorders>
              <w:top w:val="single" w:sz="8" w:space="0" w:color="auto"/>
              <w:left w:val="nil"/>
              <w:bottom w:val="single" w:sz="4" w:space="0" w:color="auto"/>
              <w:right w:val="single" w:sz="8" w:space="0" w:color="auto"/>
            </w:tcBorders>
            <w:shd w:val="clear" w:color="auto" w:fill="BDD7EE"/>
            <w:vAlign w:val="center"/>
            <w:hideMark/>
          </w:tcPr>
          <w:p w14:paraId="4A12C546" w14:textId="77777777" w:rsidR="00615E2D" w:rsidRDefault="00C83E46">
            <w:pPr>
              <w:pStyle w:val="P68B1DB1-Normal55"/>
              <w:spacing w:before="0" w:after="0" w:line="240" w:lineRule="auto"/>
              <w:jc w:val="center"/>
              <w:rPr>
                <w:noProof/>
              </w:rPr>
            </w:pPr>
            <w:r>
              <w:rPr>
                <w:noProof/>
              </w:rPr>
              <w:t>Ključna etapa/ciljna vrijednost</w:t>
            </w:r>
          </w:p>
        </w:tc>
        <w:tc>
          <w:tcPr>
            <w:tcW w:w="3402" w:type="dxa"/>
            <w:tcBorders>
              <w:top w:val="single" w:sz="8" w:space="0" w:color="auto"/>
              <w:left w:val="nil"/>
              <w:bottom w:val="single" w:sz="4" w:space="0" w:color="auto"/>
              <w:right w:val="single" w:sz="8" w:space="0" w:color="auto"/>
            </w:tcBorders>
            <w:shd w:val="clear" w:color="auto" w:fill="BDD7EE"/>
            <w:vAlign w:val="center"/>
            <w:hideMark/>
          </w:tcPr>
          <w:p w14:paraId="4D26F3CF" w14:textId="77777777" w:rsidR="00615E2D" w:rsidRDefault="00C83E46">
            <w:pPr>
              <w:pStyle w:val="P68B1DB1-Normal55"/>
              <w:spacing w:before="0" w:after="0" w:line="240" w:lineRule="auto"/>
              <w:jc w:val="center"/>
              <w:rPr>
                <w:noProof/>
              </w:rPr>
            </w:pPr>
            <w:r>
              <w:rPr>
                <w:noProof/>
              </w:rPr>
              <w:t>Ime</w:t>
            </w:r>
          </w:p>
        </w:tc>
      </w:tr>
      <w:tr w:rsidR="00615E2D" w14:paraId="6BC893D2"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F7B2144" w14:textId="26C17FD8" w:rsidR="00615E2D" w:rsidRDefault="00C83E46">
            <w:pPr>
              <w:pStyle w:val="P68B1DB1-Normal57"/>
              <w:spacing w:line="240" w:lineRule="auto"/>
              <w:jc w:val="center"/>
              <w:rPr>
                <w:noProof/>
              </w:rPr>
            </w:pPr>
            <w:r>
              <w:rPr>
                <w:noProof/>
              </w:rPr>
              <w:t>12</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3112952" w14:textId="14DD1055" w:rsidR="00615E2D" w:rsidRDefault="00C83E46">
            <w:pPr>
              <w:pStyle w:val="P68B1DB1-Normal57"/>
              <w:spacing w:line="240" w:lineRule="auto"/>
              <w:jc w:val="center"/>
              <w:rPr>
                <w:noProof/>
              </w:rPr>
            </w:pPr>
            <w:r>
              <w:rPr>
                <w:noProof/>
              </w:rPr>
              <w:t xml:space="preserve">C 1.1: Digitalne usluge za građane i poduzeća – ulaganje 2: Razvoj otvorenih podataka i javnih podataka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ECF0E04" w14:textId="56DE8538"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41CE61A" w14:textId="09FC0624" w:rsidR="00615E2D" w:rsidRDefault="00C83E46">
            <w:pPr>
              <w:pStyle w:val="P68B1DB1-Normal57"/>
              <w:spacing w:line="240" w:lineRule="auto"/>
              <w:jc w:val="center"/>
              <w:rPr>
                <w:noProof/>
              </w:rPr>
            </w:pPr>
            <w:r>
              <w:rPr>
                <w:noProof/>
              </w:rPr>
              <w:t xml:space="preserve">Povećanje broja proizvođača otvorenih podataka u javnoj upravi koji objavljuju otvorene podatke u Nacionalnom katalogu otvorenih podataka  </w:t>
            </w:r>
          </w:p>
        </w:tc>
      </w:tr>
      <w:tr w:rsidR="00615E2D" w14:paraId="76169F2E"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6BC8C3A" w14:textId="77777777" w:rsidR="00615E2D" w:rsidRDefault="00C83E46">
            <w:pPr>
              <w:pStyle w:val="P68B1DB1-Normal56"/>
              <w:spacing w:before="0" w:after="0" w:line="240" w:lineRule="auto"/>
              <w:jc w:val="center"/>
              <w:rPr>
                <w:noProof/>
              </w:rPr>
            </w:pPr>
            <w:r>
              <w:rPr>
                <w:noProof/>
              </w:rPr>
              <w:t>140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A5C4CB0" w14:textId="77777777" w:rsidR="00615E2D" w:rsidRDefault="00C83E46">
            <w:pPr>
              <w:pStyle w:val="P68B1DB1-Normal57"/>
              <w:spacing w:before="0" w:after="0" w:line="240" w:lineRule="auto"/>
              <w:jc w:val="center"/>
              <w:rPr>
                <w:noProof/>
              </w:rPr>
            </w:pPr>
            <w:r>
              <w:rPr>
                <w:noProof/>
              </w:rPr>
              <w:t xml:space="preserve">C 2.6.: Zaštita prirode i prilagodba klimatskim promjenama – ulaganje 4: Izgradnja šuma otpornih na klimatske promjene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1F6B795"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0ED9915" w14:textId="727EC68B" w:rsidR="00615E2D" w:rsidRDefault="00C83E46">
            <w:pPr>
              <w:pStyle w:val="P68B1DB1-Normal56"/>
              <w:spacing w:before="0" w:after="0" w:line="240" w:lineRule="auto"/>
              <w:jc w:val="center"/>
              <w:rPr>
                <w:noProof/>
              </w:rPr>
            </w:pPr>
            <w:r>
              <w:rPr>
                <w:noProof/>
              </w:rPr>
              <w:t xml:space="preserve">T1: Ponovno pošumljavanje 12 000 ha područja ameliorativnim i stabiliziranim vrstama drveća </w:t>
            </w:r>
          </w:p>
        </w:tc>
      </w:tr>
      <w:tr w:rsidR="00615E2D" w14:paraId="281FB5E2"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639356C" w14:textId="77777777" w:rsidR="00615E2D" w:rsidRDefault="00C83E46">
            <w:pPr>
              <w:pStyle w:val="P68B1DB1-Normal57"/>
              <w:spacing w:before="0" w:after="0" w:line="240" w:lineRule="auto"/>
              <w:jc w:val="center"/>
              <w:rPr>
                <w:noProof/>
              </w:rPr>
            </w:pPr>
            <w:r>
              <w:rPr>
                <w:noProof/>
              </w:rPr>
              <w:t>229</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BC33E29" w14:textId="77777777" w:rsidR="00615E2D" w:rsidRDefault="00C83E46">
            <w:pPr>
              <w:pStyle w:val="P68B1DB1-Normal57"/>
              <w:spacing w:before="0" w:after="0" w:line="240" w:lineRule="auto"/>
              <w:jc w:val="center"/>
              <w:rPr>
                <w:noProof/>
              </w:rPr>
            </w:pPr>
            <w:r>
              <w:rPr>
                <w:noProof/>
              </w:rPr>
              <w:t>C 5.2: Potpora za istraživanje i razvoj u poduzećima i uvođenje inovacija u poslovnu praksu – ulaganje 3: Potpore za istraživanje i razvoj u području zaštite okoliša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C348122"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54AF82E" w14:textId="77777777" w:rsidR="00615E2D" w:rsidRDefault="00C83E46">
            <w:pPr>
              <w:pStyle w:val="P68B1DB1-Normal57"/>
              <w:spacing w:before="0" w:after="0" w:line="240" w:lineRule="auto"/>
              <w:jc w:val="center"/>
              <w:rPr>
                <w:noProof/>
              </w:rPr>
            </w:pPr>
            <w:r>
              <w:rPr>
                <w:noProof/>
              </w:rPr>
              <w:t>Istraživanje i razvoj u području okoliša</w:t>
            </w:r>
          </w:p>
        </w:tc>
      </w:tr>
      <w:tr w:rsidR="00615E2D" w14:paraId="39BBF935"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C8D684A" w14:textId="77777777" w:rsidR="00615E2D" w:rsidRDefault="00C83E46">
            <w:pPr>
              <w:pStyle w:val="P68B1DB1-Normal56"/>
              <w:spacing w:before="0" w:after="0" w:line="240" w:lineRule="auto"/>
              <w:jc w:val="center"/>
              <w:rPr>
                <w:noProof/>
              </w:rPr>
            </w:pPr>
            <w:r>
              <w:rPr>
                <w:noProof/>
              </w:rPr>
              <w:t>15</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7E6CE26" w14:textId="77777777" w:rsidR="00615E2D" w:rsidRDefault="00C83E46">
            <w:pPr>
              <w:pStyle w:val="P68B1DB1-Normal57"/>
              <w:spacing w:before="0" w:after="0" w:line="240" w:lineRule="auto"/>
              <w:jc w:val="center"/>
              <w:rPr>
                <w:noProof/>
              </w:rPr>
            </w:pPr>
            <w:r>
              <w:rPr>
                <w:noProof/>
              </w:rPr>
              <w:t>C 1.2.: Sustavi digitalne javne uprave – ulaganja 1:</w:t>
            </w:r>
            <w:r>
              <w:rPr>
                <w:noProof/>
              </w:rPr>
              <w:br/>
              <w:t>Razvoj informacijskih sustava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C7F7DE5"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20D77DB" w14:textId="42ACE6E7" w:rsidR="00615E2D" w:rsidRDefault="00C83E46">
            <w:pPr>
              <w:pStyle w:val="P68B1DB1-Normal57"/>
              <w:spacing w:before="0" w:after="0" w:line="240" w:lineRule="auto"/>
              <w:jc w:val="center"/>
              <w:rPr>
                <w:noProof/>
              </w:rPr>
            </w:pPr>
            <w:r>
              <w:rPr>
                <w:noProof/>
              </w:rPr>
              <w:t>Provedba i rad sustava CzechPOINT 2.0 i CAAIS</w:t>
            </w:r>
          </w:p>
        </w:tc>
      </w:tr>
      <w:tr w:rsidR="00615E2D" w14:paraId="491AC2F3"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B542843" w14:textId="77777777" w:rsidR="00615E2D" w:rsidRDefault="00C83E46">
            <w:pPr>
              <w:pStyle w:val="P68B1DB1-Normal56"/>
              <w:spacing w:before="0" w:after="0" w:line="240" w:lineRule="auto"/>
              <w:jc w:val="center"/>
              <w:rPr>
                <w:noProof/>
              </w:rPr>
            </w:pPr>
            <w:r>
              <w:rPr>
                <w:noProof/>
              </w:rPr>
              <w:t>16</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6999384" w14:textId="77777777" w:rsidR="00615E2D" w:rsidRDefault="00C83E46">
            <w:pPr>
              <w:pStyle w:val="P68B1DB1-Normal57"/>
              <w:spacing w:before="0" w:after="0" w:line="240" w:lineRule="auto"/>
              <w:jc w:val="center"/>
              <w:rPr>
                <w:noProof/>
              </w:rPr>
            </w:pPr>
            <w:r>
              <w:rPr>
                <w:noProof/>
              </w:rPr>
              <w:t>C 1.2.: Sustavi digitalne javne uprave – ulaganja 1:</w:t>
            </w:r>
            <w:r>
              <w:rPr>
                <w:noProof/>
              </w:rPr>
              <w:br/>
              <w:t>Razvoj informacijskih sustava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CBD0E7D"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BE19B96" w14:textId="77777777" w:rsidR="00615E2D" w:rsidRDefault="00C83E46">
            <w:pPr>
              <w:pStyle w:val="P68B1DB1-Normal56"/>
              <w:spacing w:before="0" w:after="0" w:line="240" w:lineRule="auto"/>
              <w:jc w:val="center"/>
              <w:rPr>
                <w:noProof/>
              </w:rPr>
            </w:pPr>
            <w:r>
              <w:rPr>
                <w:noProof/>
              </w:rPr>
              <w:t>Uspješna nadogradnja i rad sustava za izdavanje viza e-putovnici (ePasy) i EVC2</w:t>
            </w:r>
          </w:p>
        </w:tc>
      </w:tr>
      <w:tr w:rsidR="00615E2D" w14:paraId="12F0B896" w14:textId="77777777">
        <w:trPr>
          <w:trHeight w:val="99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2B5CF0D" w14:textId="77777777" w:rsidR="00615E2D" w:rsidRDefault="00C83E46">
            <w:pPr>
              <w:pStyle w:val="P68B1DB1-Normal56"/>
              <w:spacing w:before="0" w:after="0" w:line="240" w:lineRule="auto"/>
              <w:jc w:val="center"/>
              <w:rPr>
                <w:noProof/>
              </w:rPr>
            </w:pPr>
            <w:r>
              <w:rPr>
                <w:noProof/>
              </w:rPr>
              <w:t>20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3D4F958" w14:textId="77777777" w:rsidR="00615E2D" w:rsidRDefault="00C83E46">
            <w:pPr>
              <w:pStyle w:val="P68B1DB1-Normal57"/>
              <w:spacing w:before="0" w:after="0" w:line="240" w:lineRule="auto"/>
              <w:jc w:val="center"/>
              <w:rPr>
                <w:noProof/>
              </w:rPr>
            </w:pPr>
            <w:r>
              <w:rPr>
                <w:noProof/>
              </w:rPr>
              <w:t>C 1.2.: Sustavi digitalne javne uprave – ulaganje 2:</w:t>
            </w:r>
            <w:r>
              <w:rPr>
                <w:noProof/>
              </w:rPr>
              <w:br/>
              <w:t>Razvoj temeljnih registara i objekata za e-upravu</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C6E73B9"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45A3004" w14:textId="77777777" w:rsidR="00615E2D" w:rsidRDefault="00C83E46">
            <w:pPr>
              <w:pStyle w:val="P68B1DB1-Normal56"/>
              <w:spacing w:before="0" w:after="0" w:line="240" w:lineRule="auto"/>
              <w:jc w:val="center"/>
              <w:rPr>
                <w:noProof/>
              </w:rPr>
            </w:pPr>
            <w:r>
              <w:rPr>
                <w:noProof/>
              </w:rPr>
              <w:t>Dovršetak potpuno operativnog softverskog podatkovnog centra, uključujući podatkovne spremnike.</w:t>
            </w:r>
          </w:p>
        </w:tc>
      </w:tr>
      <w:tr w:rsidR="00615E2D" w14:paraId="21927CC5" w14:textId="77777777">
        <w:trPr>
          <w:trHeight w:val="118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7E60FA2" w14:textId="77777777" w:rsidR="00615E2D" w:rsidRDefault="00C83E46">
            <w:pPr>
              <w:pStyle w:val="P68B1DB1-Normal56"/>
              <w:spacing w:before="0" w:after="0" w:line="240" w:lineRule="auto"/>
              <w:jc w:val="center"/>
              <w:rPr>
                <w:noProof/>
              </w:rPr>
            </w:pPr>
            <w:r>
              <w:rPr>
                <w:noProof/>
              </w:rPr>
              <w:t>23</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FF29C16" w14:textId="77777777" w:rsidR="00615E2D" w:rsidRDefault="00C83E46">
            <w:pPr>
              <w:pStyle w:val="P68B1DB1-Normal57"/>
              <w:spacing w:before="0" w:after="0" w:line="240" w:lineRule="auto"/>
              <w:jc w:val="center"/>
              <w:rPr>
                <w:noProof/>
              </w:rPr>
            </w:pPr>
            <w:r>
              <w:rPr>
                <w:noProof/>
              </w:rPr>
              <w:t>C 1.2.: Sustavi digitalne javne uprave – ulaganja 3:</w:t>
            </w:r>
            <w:r>
              <w:rPr>
                <w:noProof/>
              </w:rPr>
              <w:br/>
              <w:t>Kibersigurnost</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95AB07C"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731839A" w14:textId="5476A65A" w:rsidR="00615E2D" w:rsidRDefault="00C83E46">
            <w:pPr>
              <w:pStyle w:val="P68B1DB1-Normal56"/>
              <w:spacing w:before="0" w:after="0" w:line="240" w:lineRule="auto"/>
              <w:jc w:val="center"/>
              <w:rPr>
                <w:noProof/>
              </w:rPr>
            </w:pPr>
            <w:r>
              <w:rPr>
                <w:noProof/>
              </w:rPr>
              <w:t xml:space="preserve">Modernizacija sustava za upravljanje sigurnosnim informacijama i događajima češke policije i proširenje njegove upotrebe za zaštitu kibersigurnosti za pet dodatnih informacijskih sustava  </w:t>
            </w:r>
          </w:p>
        </w:tc>
      </w:tr>
      <w:tr w:rsidR="00615E2D" w14:paraId="1264881A" w14:textId="77777777">
        <w:trPr>
          <w:trHeight w:val="118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BC95288" w14:textId="77777777" w:rsidR="00615E2D" w:rsidRDefault="00C83E46">
            <w:pPr>
              <w:pStyle w:val="P68B1DB1-Normal56"/>
              <w:spacing w:before="0" w:after="0" w:line="240" w:lineRule="auto"/>
              <w:jc w:val="center"/>
              <w:rPr>
                <w:noProof/>
              </w:rPr>
            </w:pPr>
            <w:r>
              <w:rPr>
                <w:noProof/>
              </w:rPr>
              <w:t>25</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56FF164" w14:textId="2B0ED9A9" w:rsidR="00615E2D" w:rsidRDefault="00C83E46">
            <w:pPr>
              <w:pStyle w:val="P68B1DB1-Normal57"/>
              <w:spacing w:before="0" w:after="0" w:line="240" w:lineRule="auto"/>
              <w:jc w:val="center"/>
              <w:rPr>
                <w:noProof/>
              </w:rPr>
            </w:pPr>
            <w:r>
              <w:rPr>
                <w:noProof/>
              </w:rPr>
              <w:t>C 1.2.: Sustavi digitalne javne uprave – reforme 1.:</w:t>
            </w:r>
            <w:r>
              <w:rPr>
                <w:noProof/>
              </w:rPr>
              <w:br/>
              <w:t>Centri kompetentnosti za potporu e-upravi, kibersigurnosti i e-zdravstvu</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28C55D4"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CC59151" w14:textId="2CD71623" w:rsidR="00615E2D" w:rsidRDefault="00C83E46">
            <w:pPr>
              <w:pStyle w:val="P68B1DB1-Normal56"/>
              <w:spacing w:before="0" w:after="0" w:line="240" w:lineRule="auto"/>
              <w:jc w:val="center"/>
              <w:rPr>
                <w:noProof/>
              </w:rPr>
            </w:pPr>
            <w:r>
              <w:rPr>
                <w:noProof/>
              </w:rPr>
              <w:t xml:space="preserve">Potpuno funkcioniranje triju centara kompetentnosti koji pružaju usluge savjetovanja tijelima koja provode promjene u informacijskim sustavima i ekosustavu e-uprave predviđene sastavnicama 1.1. i 1.2.  </w:t>
            </w:r>
          </w:p>
        </w:tc>
      </w:tr>
      <w:tr w:rsidR="00615E2D" w14:paraId="59A858B2"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5C5FF59" w14:textId="77777777" w:rsidR="00615E2D" w:rsidRDefault="00C83E46">
            <w:pPr>
              <w:pStyle w:val="P68B1DB1-Normal56"/>
              <w:spacing w:before="0" w:after="0" w:line="240" w:lineRule="auto"/>
              <w:jc w:val="center"/>
              <w:rPr>
                <w:noProof/>
              </w:rPr>
            </w:pPr>
            <w:r>
              <w:rPr>
                <w:noProof/>
              </w:rPr>
              <w:t>30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7E1D220" w14:textId="77777777" w:rsidR="00615E2D" w:rsidRDefault="00C83E46">
            <w:pPr>
              <w:pStyle w:val="P68B1DB1-Normal57"/>
              <w:spacing w:before="0" w:after="0" w:line="240" w:lineRule="auto"/>
              <w:jc w:val="center"/>
              <w:rPr>
                <w:noProof/>
              </w:rPr>
            </w:pPr>
            <w:r>
              <w:rPr>
                <w:noProof/>
              </w:rPr>
              <w:t>C 1.2.: Sustavi digitalne javne uprave – ulaganje 4:</w:t>
            </w:r>
            <w:r>
              <w:rPr>
                <w:noProof/>
              </w:rPr>
              <w:br/>
              <w:t>Stvaranje uvjeta za digitalno pravosuđe</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D46D277"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1050BF4" w14:textId="77777777" w:rsidR="00615E2D" w:rsidRDefault="00C83E46">
            <w:pPr>
              <w:pStyle w:val="P68B1DB1-Normal56"/>
              <w:spacing w:before="0" w:after="0" w:line="240" w:lineRule="auto"/>
              <w:jc w:val="center"/>
              <w:rPr>
                <w:noProof/>
              </w:rPr>
            </w:pPr>
            <w:r>
              <w:rPr>
                <w:noProof/>
              </w:rPr>
              <w:t>Povećanje broja dvorana za konferencije u pravosudnom sustavu koje su nedavno opremljene i spojene kako bi se omogućile videokonferencije.</w:t>
            </w:r>
          </w:p>
        </w:tc>
      </w:tr>
      <w:tr w:rsidR="00615E2D" w14:paraId="7A7DAE23"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0CA1C38" w14:textId="77777777" w:rsidR="00615E2D" w:rsidRDefault="00C83E46">
            <w:pPr>
              <w:pStyle w:val="P68B1DB1-Normal56"/>
              <w:spacing w:before="0" w:after="0" w:line="240" w:lineRule="auto"/>
              <w:jc w:val="center"/>
              <w:rPr>
                <w:noProof/>
              </w:rPr>
            </w:pPr>
            <w:r>
              <w:rPr>
                <w:noProof/>
              </w:rPr>
              <w:t>57</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4A93F19" w14:textId="77777777" w:rsidR="00615E2D" w:rsidRDefault="00C83E46">
            <w:pPr>
              <w:pStyle w:val="P68B1DB1-Normal57"/>
              <w:spacing w:before="0" w:after="0" w:line="240" w:lineRule="auto"/>
              <w:jc w:val="center"/>
              <w:rPr>
                <w:noProof/>
              </w:rPr>
            </w:pPr>
            <w:r>
              <w:rPr>
                <w:noProof/>
              </w:rPr>
              <w:t>C 1.4.: Digitalno gospodarstvo i društvo, Inovativan početak i nova tehnologija – ulaganje 6: Demonstracijski projekti prijave za 5G mreže za gradove i industrijska područja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BE6891C"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626D31B" w14:textId="77777777" w:rsidR="00615E2D" w:rsidRDefault="00C83E46">
            <w:pPr>
              <w:pStyle w:val="P68B1DB1-Normal56"/>
              <w:spacing w:before="0" w:after="0" w:line="240" w:lineRule="auto"/>
              <w:jc w:val="center"/>
              <w:rPr>
                <w:noProof/>
              </w:rPr>
            </w:pPr>
            <w:r>
              <w:rPr>
                <w:noProof/>
              </w:rPr>
              <w:t>Razvoj i rad referentnih aplikacija za pametne gradove</w:t>
            </w:r>
          </w:p>
        </w:tc>
      </w:tr>
      <w:tr w:rsidR="00615E2D" w14:paraId="7E38DC76"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E7700DE" w14:textId="77777777" w:rsidR="00615E2D" w:rsidRDefault="00C83E46">
            <w:pPr>
              <w:pStyle w:val="P68B1DB1-Normal57"/>
              <w:spacing w:before="0" w:after="0" w:line="240" w:lineRule="auto"/>
              <w:jc w:val="center"/>
              <w:rPr>
                <w:noProof/>
              </w:rPr>
            </w:pPr>
            <w:r>
              <w:rPr>
                <w:noProof/>
              </w:rPr>
              <w:t>90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669248E" w14:textId="77777777" w:rsidR="00615E2D" w:rsidRDefault="00C83E46">
            <w:pPr>
              <w:pStyle w:val="P68B1DB1-Normal57"/>
              <w:spacing w:before="0" w:after="0" w:line="240" w:lineRule="auto"/>
              <w:jc w:val="center"/>
              <w:rPr>
                <w:noProof/>
              </w:rPr>
            </w:pPr>
            <w:r>
              <w:rPr>
                <w:noProof/>
              </w:rPr>
              <w:t>C 2.1.: Održivi promet – ulaganje 3: Poboljšanje okoliša (potpora željezničkoj infrastrukturi)</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AAC489B"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E6A4729" w14:textId="77777777" w:rsidR="00615E2D" w:rsidRDefault="00C83E46">
            <w:pPr>
              <w:pStyle w:val="P68B1DB1-Normal57"/>
              <w:spacing w:before="0" w:after="0" w:line="240" w:lineRule="auto"/>
              <w:jc w:val="center"/>
              <w:rPr>
                <w:noProof/>
              </w:rPr>
            </w:pPr>
            <w:r>
              <w:rPr>
                <w:noProof/>
              </w:rPr>
              <w:t xml:space="preserve">Završetak 26 projekata iz unaprijed definiranog skupa projekata </w:t>
            </w:r>
          </w:p>
        </w:tc>
      </w:tr>
      <w:tr w:rsidR="00615E2D" w14:paraId="03A7463D"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66EA2B6" w14:textId="77777777" w:rsidR="00615E2D" w:rsidRDefault="00C83E46">
            <w:pPr>
              <w:pStyle w:val="P68B1DB1-Normal57"/>
              <w:spacing w:before="0" w:after="0" w:line="240" w:lineRule="auto"/>
              <w:jc w:val="center"/>
              <w:rPr>
                <w:noProof/>
              </w:rPr>
            </w:pPr>
            <w:r>
              <w:rPr>
                <w:noProof/>
              </w:rPr>
              <w:t>95</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D650618"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7A7A8B9"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600B187" w14:textId="77777777" w:rsidR="00615E2D" w:rsidRDefault="00C83E46">
            <w:pPr>
              <w:pStyle w:val="P68B1DB1-Normal57"/>
              <w:spacing w:before="0" w:after="0" w:line="240" w:lineRule="auto"/>
              <w:jc w:val="center"/>
              <w:rPr>
                <w:noProof/>
              </w:rPr>
            </w:pPr>
            <w:r>
              <w:rPr>
                <w:noProof/>
              </w:rPr>
              <w:t>Dovršetak moderniziranih željezničkih mostova ili tunela</w:t>
            </w:r>
          </w:p>
        </w:tc>
      </w:tr>
      <w:tr w:rsidR="00615E2D" w14:paraId="39691AC1"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33E3C7F" w14:textId="77777777" w:rsidR="00615E2D" w:rsidRDefault="00C83E46">
            <w:pPr>
              <w:pStyle w:val="P68B1DB1-Normal57"/>
              <w:spacing w:before="0" w:after="0" w:line="240" w:lineRule="auto"/>
              <w:jc w:val="center"/>
              <w:rPr>
                <w:noProof/>
              </w:rPr>
            </w:pPr>
            <w:r>
              <w:rPr>
                <w:noProof/>
              </w:rPr>
              <w:t>96</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5A39FAA"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1311A32"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3C6B70C" w14:textId="77777777" w:rsidR="00615E2D" w:rsidRDefault="00C83E46">
            <w:pPr>
              <w:pStyle w:val="P68B1DB1-Normal57"/>
              <w:spacing w:before="0" w:after="0" w:line="240" w:lineRule="auto"/>
              <w:jc w:val="center"/>
              <w:rPr>
                <w:noProof/>
              </w:rPr>
            </w:pPr>
            <w:r>
              <w:rPr>
                <w:noProof/>
              </w:rPr>
              <w:t>Završetak željezničko-cestovnih prijelaza s povećanom sigurnošću</w:t>
            </w:r>
          </w:p>
        </w:tc>
      </w:tr>
      <w:tr w:rsidR="00615E2D" w14:paraId="6960AB43"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0343E53" w14:textId="77777777" w:rsidR="00615E2D" w:rsidRDefault="00C83E46">
            <w:pPr>
              <w:pStyle w:val="P68B1DB1-Normal57"/>
              <w:spacing w:before="0" w:after="0" w:line="240" w:lineRule="auto"/>
              <w:jc w:val="center"/>
              <w:rPr>
                <w:noProof/>
              </w:rPr>
            </w:pPr>
            <w:r>
              <w:rPr>
                <w:noProof/>
              </w:rPr>
              <w:t>97</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F47B252"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C90C829"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95B949B" w14:textId="77777777" w:rsidR="00615E2D" w:rsidRDefault="00C83E46">
            <w:pPr>
              <w:pStyle w:val="P68B1DB1-Normal57"/>
              <w:spacing w:before="0" w:after="0" w:line="240" w:lineRule="auto"/>
              <w:jc w:val="center"/>
              <w:rPr>
                <w:noProof/>
              </w:rPr>
            </w:pPr>
            <w:r>
              <w:rPr>
                <w:noProof/>
              </w:rPr>
              <w:t>Završetak izgrađenih biciklističkih staza, pločnika i putova bez prepreka</w:t>
            </w:r>
          </w:p>
        </w:tc>
      </w:tr>
      <w:tr w:rsidR="00615E2D" w14:paraId="49F2C1BE" w14:textId="77777777">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C176770" w14:textId="77777777" w:rsidR="00615E2D" w:rsidRDefault="00C83E46">
            <w:pPr>
              <w:pStyle w:val="P68B1DB1-Normal56"/>
              <w:spacing w:before="0" w:after="0" w:line="240" w:lineRule="auto"/>
              <w:jc w:val="center"/>
              <w:rPr>
                <w:noProof/>
              </w:rPr>
            </w:pPr>
            <w:r>
              <w:rPr>
                <w:noProof/>
              </w:rPr>
              <w:t>132</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8E80595" w14:textId="77777777" w:rsidR="00615E2D" w:rsidRDefault="00C83E46">
            <w:pPr>
              <w:pStyle w:val="P68B1DB1-Normal57"/>
              <w:spacing w:before="0" w:after="0" w:line="240" w:lineRule="auto"/>
              <w:jc w:val="center"/>
              <w:rPr>
                <w:noProof/>
              </w:rPr>
            </w:pPr>
            <w:r>
              <w:rPr>
                <w:noProof/>
              </w:rPr>
              <w:t>C 2.6.: Zaštita prirode i prilagodba klimatskim promjenama – ulaganja 1: Zaštita od poplava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82B136D"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794FE76" w14:textId="1F5497C6" w:rsidR="00615E2D" w:rsidRDefault="00C83E46">
            <w:pPr>
              <w:pStyle w:val="P68B1DB1-Normal56"/>
              <w:spacing w:before="0" w:after="0" w:line="240" w:lineRule="auto"/>
              <w:jc w:val="center"/>
              <w:rPr>
                <w:noProof/>
              </w:rPr>
            </w:pPr>
            <w:r>
              <w:rPr>
                <w:noProof/>
              </w:rPr>
              <w:t>T1: Završetak 15 projekata usmjerenih na uspostavu otporne zaštite od poplava.</w:t>
            </w:r>
          </w:p>
        </w:tc>
      </w:tr>
      <w:tr w:rsidR="00615E2D" w14:paraId="2B94D3F9"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0FF7DCE" w14:textId="77777777" w:rsidR="00615E2D" w:rsidRDefault="00C83E46">
            <w:pPr>
              <w:pStyle w:val="P68B1DB1-Normal57"/>
              <w:spacing w:before="0" w:after="0" w:line="240" w:lineRule="auto"/>
              <w:jc w:val="center"/>
              <w:rPr>
                <w:noProof/>
              </w:rPr>
            </w:pPr>
            <w:r>
              <w:rPr>
                <w:noProof/>
              </w:rPr>
              <w:t>150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489EAE7" w14:textId="77777777" w:rsidR="00615E2D" w:rsidRDefault="00C83E46">
            <w:pPr>
              <w:pStyle w:val="P68B1DB1-Normal57"/>
              <w:spacing w:before="0" w:after="0" w:line="240" w:lineRule="auto"/>
              <w:jc w:val="center"/>
              <w:rPr>
                <w:noProof/>
              </w:rPr>
            </w:pPr>
            <w:r>
              <w:rPr>
                <w:noProof/>
              </w:rPr>
              <w:t>C 2.7.: Kružno gospodarstvo, recikliranje i industrijska voda – ulaganja 2: Kružna rješenja u poduzećima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A057A0F"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F286418" w14:textId="77777777" w:rsidR="00615E2D" w:rsidRDefault="00C83E46">
            <w:pPr>
              <w:pStyle w:val="P68B1DB1-Normal57"/>
              <w:spacing w:before="0" w:after="0" w:line="240" w:lineRule="auto"/>
              <w:jc w:val="center"/>
              <w:rPr>
                <w:noProof/>
              </w:rPr>
            </w:pPr>
            <w:r>
              <w:rPr>
                <w:noProof/>
              </w:rPr>
              <w:t>Ministarstvo industrije i trgovine dodjeljuje sve ugovore o javnoj nabavi za projekte ulaganja u kružna rješenja u poduzećima</w:t>
            </w:r>
          </w:p>
        </w:tc>
      </w:tr>
      <w:tr w:rsidR="00615E2D" w14:paraId="5B9E7383"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794B67A" w14:textId="77777777" w:rsidR="00615E2D" w:rsidRDefault="00C83E46">
            <w:pPr>
              <w:pStyle w:val="P68B1DB1-Normal57"/>
              <w:spacing w:before="0" w:after="0" w:line="240" w:lineRule="auto"/>
              <w:jc w:val="center"/>
              <w:rPr>
                <w:noProof/>
              </w:rPr>
            </w:pPr>
            <w:r>
              <w:rPr>
                <w:noProof/>
              </w:rPr>
              <w:t>152</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F291094" w14:textId="77777777" w:rsidR="00615E2D" w:rsidRDefault="00C83E46">
            <w:pPr>
              <w:pStyle w:val="P68B1DB1-Normal57"/>
              <w:spacing w:before="0" w:after="0" w:line="240" w:lineRule="auto"/>
              <w:jc w:val="center"/>
              <w:rPr>
                <w:noProof/>
              </w:rPr>
            </w:pPr>
            <w:r>
              <w:rPr>
                <w:noProof/>
              </w:rPr>
              <w:t>C 2.7.: Kružno gospodarstvo, recikliranje i industrijska voda – ulaganja 3: Ušteda vode u industriji</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56DE8B1"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4848992" w14:textId="77777777" w:rsidR="00615E2D" w:rsidRDefault="00C83E46">
            <w:pPr>
              <w:pStyle w:val="P68B1DB1-Normal57"/>
              <w:spacing w:before="0" w:after="0" w:line="240" w:lineRule="auto"/>
              <w:jc w:val="center"/>
              <w:rPr>
                <w:noProof/>
              </w:rPr>
            </w:pPr>
            <w:r>
              <w:rPr>
                <w:noProof/>
              </w:rPr>
              <w:t>Ministarstvo industrije i trgovine dodjeljuje sve ugovore o javnoj nabavi za projekte za uštedu i optimizaciju vode u industriji</w:t>
            </w:r>
          </w:p>
        </w:tc>
      </w:tr>
      <w:tr w:rsidR="00615E2D" w14:paraId="770674BD"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8C261BF" w14:textId="77777777" w:rsidR="00615E2D" w:rsidRDefault="00C83E46">
            <w:pPr>
              <w:pStyle w:val="P68B1DB1-Normal56"/>
              <w:spacing w:before="0" w:after="0" w:line="240" w:lineRule="auto"/>
              <w:jc w:val="center"/>
              <w:rPr>
                <w:noProof/>
              </w:rPr>
            </w:pPr>
            <w:r>
              <w:rPr>
                <w:noProof/>
              </w:rPr>
              <w:t>161</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42CD194" w14:textId="77777777" w:rsidR="00615E2D" w:rsidRDefault="00C83E46">
            <w:pPr>
              <w:pStyle w:val="P68B1DB1-Normal57"/>
              <w:spacing w:before="0" w:after="0" w:line="240" w:lineRule="auto"/>
              <w:jc w:val="center"/>
              <w:rPr>
                <w:noProof/>
              </w:rPr>
            </w:pPr>
            <w:r>
              <w:rPr>
                <w:noProof/>
              </w:rPr>
              <w:t>C 2.9: Promicanje biološke raznolikosti i borbe protiv suše – ulaganje 1: Zaštita od suša i poplava grada Brna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670D18A"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1236C81" w14:textId="77777777" w:rsidR="00615E2D" w:rsidRDefault="00C83E46">
            <w:pPr>
              <w:pStyle w:val="P68B1DB1-Normal56"/>
              <w:spacing w:before="0" w:after="0" w:line="240" w:lineRule="auto"/>
              <w:jc w:val="center"/>
              <w:rPr>
                <w:noProof/>
              </w:rPr>
            </w:pPr>
            <w:r>
              <w:rPr>
                <w:noProof/>
              </w:rPr>
              <w:t xml:space="preserve">Obavijest o dodjeli ugovora za projekte čiji je cilj zaštita od suša i poplava grada Brna. </w:t>
            </w:r>
          </w:p>
        </w:tc>
      </w:tr>
      <w:tr w:rsidR="00615E2D" w14:paraId="6E751AAD" w14:textId="77777777">
        <w:trPr>
          <w:trHeight w:val="99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DB97BCF" w14:textId="77777777" w:rsidR="00615E2D" w:rsidRDefault="00C83E46">
            <w:pPr>
              <w:pStyle w:val="P68B1DB1-Normal57"/>
              <w:spacing w:before="0" w:after="0" w:line="240" w:lineRule="auto"/>
              <w:jc w:val="center"/>
              <w:rPr>
                <w:noProof/>
              </w:rPr>
            </w:pPr>
            <w:r>
              <w:rPr>
                <w:noProof/>
              </w:rPr>
              <w:t>228</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FCF857F" w14:textId="77777777" w:rsidR="00615E2D" w:rsidRDefault="00C83E46">
            <w:pPr>
              <w:pStyle w:val="P68B1DB1-Normal57"/>
              <w:spacing w:before="0" w:after="0" w:line="240" w:lineRule="auto"/>
              <w:jc w:val="center"/>
              <w:rPr>
                <w:noProof/>
              </w:rPr>
            </w:pPr>
            <w:r>
              <w:rPr>
                <w:noProof/>
              </w:rPr>
              <w:t>C 5.2: Potpora za istraživanje i razvoj u poduzećima i uvođenje inovacija u poslovnu praksu – ulaganje 2: Potpora istraživačkoj i razvojnoj suradnji (u skladu sa strategijom pametne specijalizacije)</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741360C"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BC34D30" w14:textId="77777777" w:rsidR="00615E2D" w:rsidRDefault="00C83E46">
            <w:pPr>
              <w:pStyle w:val="P68B1DB1-Normal57"/>
              <w:spacing w:before="0" w:after="0" w:line="240" w:lineRule="auto"/>
              <w:jc w:val="center"/>
              <w:rPr>
                <w:noProof/>
              </w:rPr>
            </w:pPr>
            <w:r>
              <w:rPr>
                <w:noProof/>
              </w:rPr>
              <w:t>Suradnja MSP-ova s javnom istraživačkom organizacijom u okviru nacionalnih centara stručnosti</w:t>
            </w:r>
          </w:p>
        </w:tc>
      </w:tr>
      <w:tr w:rsidR="00615E2D" w14:paraId="10D383F8"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D8D62CC" w14:textId="77777777" w:rsidR="00615E2D" w:rsidRDefault="00C83E46">
            <w:pPr>
              <w:pStyle w:val="P68B1DB1-Normal57"/>
              <w:spacing w:before="0" w:after="0" w:line="240" w:lineRule="auto"/>
              <w:jc w:val="center"/>
              <w:rPr>
                <w:noProof/>
              </w:rPr>
            </w:pPr>
            <w:r>
              <w:rPr>
                <w:noProof/>
              </w:rPr>
              <w:t>232</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4140101" w14:textId="77777777" w:rsidR="00615E2D" w:rsidRDefault="00C83E46">
            <w:pPr>
              <w:pStyle w:val="P68B1DB1-Normal57"/>
              <w:spacing w:before="0" w:after="0" w:line="240" w:lineRule="auto"/>
              <w:jc w:val="center"/>
              <w:rPr>
                <w:noProof/>
              </w:rPr>
            </w:pPr>
            <w:r>
              <w:rPr>
                <w:noProof/>
              </w:rPr>
              <w:t>C 6.1.: Povećanje otpornosti zdravstvenog sustava – ulaganja 1: Osnivanje centra za intenzivnu medicinu i optimizacija obrazovnog sustava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E77557D"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31752E2" w14:textId="77777777" w:rsidR="00615E2D" w:rsidRDefault="00C83E46">
            <w:pPr>
              <w:pStyle w:val="P68B1DB1-Normal57"/>
              <w:spacing w:before="0" w:after="0" w:line="240" w:lineRule="auto"/>
              <w:jc w:val="center"/>
              <w:rPr>
                <w:noProof/>
              </w:rPr>
            </w:pPr>
            <w:r>
              <w:rPr>
                <w:noProof/>
              </w:rPr>
              <w:t xml:space="preserve">Poziv na podnošenje ponuda za izgradnju Centra za intenzivnu medicinu </w:t>
            </w:r>
          </w:p>
        </w:tc>
      </w:tr>
      <w:tr w:rsidR="00615E2D" w14:paraId="6A322B76"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D7A68BC" w14:textId="77777777" w:rsidR="00615E2D" w:rsidRDefault="00C83E46">
            <w:pPr>
              <w:pStyle w:val="P68B1DB1-Normal56"/>
              <w:spacing w:before="0" w:after="0" w:line="240" w:lineRule="auto"/>
              <w:jc w:val="center"/>
              <w:rPr>
                <w:noProof/>
              </w:rPr>
            </w:pPr>
            <w:r>
              <w:rPr>
                <w:noProof/>
              </w:rPr>
              <w:t>240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C10AB24" w14:textId="77777777" w:rsidR="00615E2D" w:rsidRDefault="00C83E46">
            <w:pPr>
              <w:pStyle w:val="P68B1DB1-Normal57"/>
              <w:spacing w:before="0" w:after="0" w:line="240" w:lineRule="auto"/>
              <w:jc w:val="center"/>
              <w:rPr>
                <w:noProof/>
              </w:rPr>
            </w:pPr>
            <w:r>
              <w:rPr>
                <w:noProof/>
              </w:rPr>
              <w:t>C 6.2: Nacionalni plan za jačanje onkološke prevencije i skrbi – ulaganje 1: Izgradnja i osnivanje češkog onkološkog instituta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68282C9"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7E0127D" w14:textId="77777777" w:rsidR="00615E2D" w:rsidRDefault="00C83E46">
            <w:pPr>
              <w:pStyle w:val="P68B1DB1-Normal56"/>
              <w:spacing w:before="0" w:after="0" w:line="240" w:lineRule="auto"/>
              <w:jc w:val="center"/>
              <w:rPr>
                <w:noProof/>
              </w:rPr>
            </w:pPr>
            <w:r>
              <w:rPr>
                <w:noProof/>
              </w:rPr>
              <w:t xml:space="preserve">Studija izvedivosti koju je potvrdilo neovisno tijelo </w:t>
            </w:r>
          </w:p>
        </w:tc>
      </w:tr>
      <w:tr w:rsidR="00615E2D" w14:paraId="20970B9E"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1BA36FE" w14:textId="77777777" w:rsidR="00615E2D" w:rsidRDefault="00C83E46">
            <w:pPr>
              <w:pStyle w:val="P68B1DB1-Normal56"/>
              <w:spacing w:before="0" w:after="0" w:line="240" w:lineRule="auto"/>
              <w:jc w:val="center"/>
              <w:rPr>
                <w:noProof/>
              </w:rPr>
            </w:pPr>
            <w:r>
              <w:rPr>
                <w:noProof/>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FDC820A" w14:textId="77777777" w:rsidR="00615E2D" w:rsidRDefault="00C83E46">
            <w:pPr>
              <w:pStyle w:val="P68B1DB1-Normal57"/>
              <w:spacing w:before="0" w:after="0" w:line="240" w:lineRule="auto"/>
              <w:jc w:val="center"/>
              <w:rPr>
                <w:noProof/>
              </w:rPr>
            </w:pPr>
            <w:r>
              <w:rPr>
                <w:noProof/>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975BCAF" w14:textId="77777777" w:rsidR="00615E2D" w:rsidRDefault="00C83E46">
            <w:pPr>
              <w:pStyle w:val="P68B1DB1-Normal59"/>
              <w:spacing w:before="0" w:after="0" w:line="240" w:lineRule="auto"/>
              <w:jc w:val="center"/>
              <w:rPr>
                <w:noProof/>
              </w:rPr>
            </w:pPr>
            <w:r>
              <w:rPr>
                <w:noProof/>
              </w:rPr>
              <w:t>Iznos obroka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4D45393" w14:textId="35FE20FE" w:rsidR="00615E2D" w:rsidRDefault="00C83E46">
            <w:pPr>
              <w:pStyle w:val="P68B1DB1-Normal60"/>
              <w:spacing w:before="0" w:after="0" w:line="240" w:lineRule="auto"/>
              <w:jc w:val="center"/>
              <w:rPr>
                <w:smallCaps/>
                <w:noProof/>
              </w:rPr>
            </w:pPr>
            <w:r>
              <w:rPr>
                <w:noProof/>
              </w:rPr>
              <w:t>660565003 EURA</w:t>
            </w:r>
            <w:r>
              <w:rPr>
                <w:smallCaps/>
                <w:noProof/>
              </w:rPr>
              <w:t xml:space="preserve"> </w:t>
            </w:r>
          </w:p>
        </w:tc>
      </w:tr>
    </w:tbl>
    <w:p w14:paraId="5DA55E60" w14:textId="77777777" w:rsidR="00615E2D" w:rsidRDefault="00615E2D">
      <w:pPr>
        <w:spacing w:line="240" w:lineRule="auto"/>
        <w:jc w:val="both"/>
        <w:rPr>
          <w:noProof/>
        </w:rPr>
      </w:pPr>
    </w:p>
    <w:p w14:paraId="2C2268A3" w14:textId="77777777" w:rsidR="00615E2D" w:rsidRDefault="00C83E46">
      <w:pPr>
        <w:numPr>
          <w:ilvl w:val="1"/>
          <w:numId w:val="198"/>
        </w:numPr>
        <w:spacing w:line="240" w:lineRule="auto"/>
        <w:jc w:val="both"/>
        <w:rPr>
          <w:noProof/>
        </w:rPr>
      </w:pPr>
      <w:r>
        <w:rPr>
          <w:noProof/>
        </w:rPr>
        <w:t xml:space="preserve">Treći obrok (bespovratna potpora): </w:t>
      </w:r>
    </w:p>
    <w:tbl>
      <w:tblPr>
        <w:tblW w:w="10490" w:type="dxa"/>
        <w:tblInd w:w="-601" w:type="dxa"/>
        <w:tblLook w:val="04A0" w:firstRow="1" w:lastRow="0" w:firstColumn="1" w:lastColumn="0" w:noHBand="0" w:noVBand="1"/>
      </w:tblPr>
      <w:tblGrid>
        <w:gridCol w:w="1276"/>
        <w:gridCol w:w="3969"/>
        <w:gridCol w:w="1843"/>
        <w:gridCol w:w="3402"/>
      </w:tblGrid>
      <w:tr w:rsidR="00615E2D" w14:paraId="03DDA853" w14:textId="77777777">
        <w:trPr>
          <w:trHeight w:val="825"/>
        </w:trPr>
        <w:tc>
          <w:tcPr>
            <w:tcW w:w="1276" w:type="dxa"/>
            <w:tcBorders>
              <w:top w:val="single" w:sz="8" w:space="0" w:color="auto"/>
              <w:left w:val="single" w:sz="8" w:space="0" w:color="auto"/>
              <w:bottom w:val="single" w:sz="8" w:space="0" w:color="auto"/>
              <w:right w:val="single" w:sz="8" w:space="0" w:color="auto"/>
            </w:tcBorders>
            <w:shd w:val="clear" w:color="auto" w:fill="BDD7EE"/>
            <w:vAlign w:val="center"/>
            <w:hideMark/>
          </w:tcPr>
          <w:p w14:paraId="20F8D6EC" w14:textId="77777777" w:rsidR="00615E2D" w:rsidRDefault="00C83E46">
            <w:pPr>
              <w:pStyle w:val="P68B1DB1-Normal55"/>
              <w:spacing w:before="0" w:after="0" w:line="240" w:lineRule="auto"/>
              <w:jc w:val="center"/>
              <w:rPr>
                <w:noProof/>
              </w:rPr>
            </w:pPr>
            <w:r>
              <w:rPr>
                <w:noProof/>
              </w:rPr>
              <w:t>Redni broj</w:t>
            </w:r>
          </w:p>
        </w:tc>
        <w:tc>
          <w:tcPr>
            <w:tcW w:w="3969" w:type="dxa"/>
            <w:tcBorders>
              <w:top w:val="single" w:sz="8" w:space="0" w:color="auto"/>
              <w:left w:val="nil"/>
              <w:bottom w:val="single" w:sz="8" w:space="0" w:color="auto"/>
              <w:right w:val="single" w:sz="8" w:space="0" w:color="auto"/>
            </w:tcBorders>
            <w:shd w:val="clear" w:color="auto" w:fill="BDD7EE"/>
            <w:vAlign w:val="center"/>
            <w:hideMark/>
          </w:tcPr>
          <w:p w14:paraId="0559E132" w14:textId="77777777" w:rsidR="00615E2D" w:rsidRDefault="00C83E46">
            <w:pPr>
              <w:pStyle w:val="P68B1DB1-Normal55"/>
              <w:spacing w:before="0" w:after="0" w:line="240" w:lineRule="auto"/>
              <w:jc w:val="center"/>
              <w:rPr>
                <w:noProof/>
              </w:rPr>
            </w:pPr>
            <w:r>
              <w:rPr>
                <w:noProof/>
              </w:rPr>
              <w:t>Povezana mjera (reforma ili ulaganje)</w:t>
            </w:r>
          </w:p>
        </w:tc>
        <w:tc>
          <w:tcPr>
            <w:tcW w:w="1843" w:type="dxa"/>
            <w:tcBorders>
              <w:top w:val="single" w:sz="8" w:space="0" w:color="auto"/>
              <w:left w:val="nil"/>
              <w:bottom w:val="single" w:sz="8" w:space="0" w:color="auto"/>
              <w:right w:val="single" w:sz="8" w:space="0" w:color="auto"/>
            </w:tcBorders>
            <w:shd w:val="clear" w:color="auto" w:fill="BDD7EE"/>
            <w:vAlign w:val="center"/>
            <w:hideMark/>
          </w:tcPr>
          <w:p w14:paraId="6420FD40" w14:textId="77777777" w:rsidR="00615E2D" w:rsidRDefault="00C83E46">
            <w:pPr>
              <w:pStyle w:val="P68B1DB1-Normal55"/>
              <w:spacing w:before="0" w:after="0" w:line="240" w:lineRule="auto"/>
              <w:jc w:val="center"/>
              <w:rPr>
                <w:noProof/>
              </w:rPr>
            </w:pPr>
            <w:r>
              <w:rPr>
                <w:noProof/>
              </w:rPr>
              <w:t>Ključna etapa/ciljna vrijednost</w:t>
            </w:r>
          </w:p>
        </w:tc>
        <w:tc>
          <w:tcPr>
            <w:tcW w:w="3402" w:type="dxa"/>
            <w:tcBorders>
              <w:top w:val="single" w:sz="8" w:space="0" w:color="auto"/>
              <w:left w:val="nil"/>
              <w:bottom w:val="single" w:sz="8" w:space="0" w:color="auto"/>
              <w:right w:val="single" w:sz="8" w:space="0" w:color="auto"/>
            </w:tcBorders>
            <w:shd w:val="clear" w:color="auto" w:fill="BDD7EE"/>
            <w:vAlign w:val="center"/>
            <w:hideMark/>
          </w:tcPr>
          <w:p w14:paraId="60A06208" w14:textId="77777777" w:rsidR="00615E2D" w:rsidRDefault="00C83E46">
            <w:pPr>
              <w:pStyle w:val="P68B1DB1-Normal55"/>
              <w:spacing w:before="0" w:after="0" w:line="240" w:lineRule="auto"/>
              <w:jc w:val="center"/>
              <w:rPr>
                <w:noProof/>
              </w:rPr>
            </w:pPr>
            <w:r>
              <w:rPr>
                <w:noProof/>
              </w:rPr>
              <w:t>Ime</w:t>
            </w:r>
          </w:p>
        </w:tc>
      </w:tr>
      <w:tr w:rsidR="00615E2D" w14:paraId="7D3914DC" w14:textId="77777777">
        <w:trPr>
          <w:trHeight w:val="79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698F1C57" w14:textId="77777777" w:rsidR="00615E2D" w:rsidRDefault="00C83E46">
            <w:pPr>
              <w:pStyle w:val="P68B1DB1-Normal56"/>
              <w:spacing w:before="0" w:after="0" w:line="240" w:lineRule="auto"/>
              <w:jc w:val="center"/>
              <w:rPr>
                <w:noProof/>
              </w:rPr>
            </w:pPr>
            <w:r>
              <w:rPr>
                <w:noProof/>
              </w:rPr>
              <w:t>139</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323F2B8B" w14:textId="77777777" w:rsidR="00615E2D" w:rsidRDefault="00C83E46">
            <w:pPr>
              <w:pStyle w:val="P68B1DB1-Normal57"/>
              <w:spacing w:before="0" w:after="0" w:line="240" w:lineRule="auto"/>
              <w:jc w:val="center"/>
              <w:rPr>
                <w:noProof/>
              </w:rPr>
            </w:pPr>
            <w:r>
              <w:rPr>
                <w:noProof/>
              </w:rPr>
              <w:t xml:space="preserve">C 2.6.: Zaštita prirode i prilagodba klimatskim promjenama – ulaganje 4: Izgradnja šuma otpornih na klimatske promjene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C764997"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20F1F462" w14:textId="77777777" w:rsidR="00615E2D" w:rsidRDefault="00C83E46">
            <w:pPr>
              <w:pStyle w:val="P68B1DB1-Normal56"/>
              <w:spacing w:before="0" w:after="0" w:line="240" w:lineRule="auto"/>
              <w:jc w:val="center"/>
              <w:rPr>
                <w:noProof/>
              </w:rPr>
            </w:pPr>
            <w:r>
              <w:rPr>
                <w:noProof/>
              </w:rPr>
              <w:t>Izmjena ministarske uredbe o planiranju gospodarenja šumama (izmjena Odluke br. 84/1996 zb. o planiranju gospodarenja šumama)</w:t>
            </w:r>
          </w:p>
        </w:tc>
      </w:tr>
      <w:tr w:rsidR="00615E2D" w14:paraId="322E052B" w14:textId="77777777">
        <w:trPr>
          <w:trHeight w:val="79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6F433E79" w14:textId="39C78616" w:rsidR="00615E2D" w:rsidRDefault="00C83E46">
            <w:pPr>
              <w:pStyle w:val="P68B1DB1-Normal56"/>
              <w:spacing w:line="240" w:lineRule="auto"/>
              <w:jc w:val="center"/>
              <w:rPr>
                <w:noProof/>
              </w:rPr>
            </w:pPr>
            <w:r>
              <w:rPr>
                <w:noProof/>
              </w:rPr>
              <w:t>78</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48F17EF" w14:textId="77777777" w:rsidR="00615E2D" w:rsidRDefault="00C83E46">
            <w:pPr>
              <w:pStyle w:val="P68B1DB1-Normal57"/>
              <w:spacing w:before="0" w:after="0" w:line="240" w:lineRule="auto"/>
              <w:jc w:val="center"/>
              <w:rPr>
                <w:noProof/>
              </w:rPr>
            </w:pPr>
            <w:r>
              <w:rPr>
                <w:noProof/>
              </w:rPr>
              <w:t>C 2.1.: Održivi promet – reforma 1.: Stvaranje alternativa za energetski i prostorno intenzivan cestovni promet</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F33F67D"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6A6BE08F" w14:textId="77777777" w:rsidR="00615E2D" w:rsidRDefault="00C83E46">
            <w:pPr>
              <w:pStyle w:val="P68B1DB1-Normal57"/>
              <w:spacing w:before="0" w:after="0" w:line="240" w:lineRule="auto"/>
              <w:jc w:val="center"/>
              <w:rPr>
                <w:noProof/>
              </w:rPr>
            </w:pPr>
            <w:r>
              <w:rPr>
                <w:noProof/>
              </w:rPr>
              <w:t>Odobravanje planova mobilnosti</w:t>
            </w:r>
          </w:p>
        </w:tc>
      </w:tr>
      <w:tr w:rsidR="00615E2D" w14:paraId="2A0E1826" w14:textId="77777777">
        <w:trPr>
          <w:trHeight w:val="79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50BB3914" w14:textId="69EA939F" w:rsidR="00615E2D" w:rsidRDefault="00C83E46">
            <w:pPr>
              <w:pStyle w:val="P68B1DB1-Normal56"/>
              <w:spacing w:line="240" w:lineRule="auto"/>
              <w:jc w:val="center"/>
              <w:rPr>
                <w:noProof/>
              </w:rPr>
            </w:pPr>
            <w:r>
              <w:rPr>
                <w:noProof/>
              </w:rPr>
              <w:t>87</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05231CB" w14:textId="77777777" w:rsidR="00615E2D" w:rsidRDefault="00C83E46">
            <w:pPr>
              <w:pStyle w:val="P68B1DB1-Normal57"/>
              <w:spacing w:before="0" w:after="0" w:line="240" w:lineRule="auto"/>
              <w:jc w:val="center"/>
              <w:rPr>
                <w:noProof/>
              </w:rPr>
            </w:pPr>
            <w:r>
              <w:rPr>
                <w:noProof/>
              </w:rPr>
              <w:t>C 2.1.: Održivi promet – ulaganje 2: Elektrifikacija željeznica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51F5D04E"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0E4C36C5" w14:textId="77777777" w:rsidR="00615E2D" w:rsidRDefault="00C83E46">
            <w:pPr>
              <w:pStyle w:val="P68B1DB1-Normal57"/>
              <w:spacing w:before="0" w:after="0" w:line="240" w:lineRule="auto"/>
              <w:jc w:val="center"/>
              <w:rPr>
                <w:noProof/>
              </w:rPr>
            </w:pPr>
            <w:r>
              <w:rPr>
                <w:noProof/>
              </w:rPr>
              <w:t xml:space="preserve">Završetak dvaju projekata iz unaprijed definiranog skupa projekata </w:t>
            </w:r>
          </w:p>
        </w:tc>
      </w:tr>
      <w:tr w:rsidR="00615E2D" w14:paraId="200AE9CA" w14:textId="77777777">
        <w:trPr>
          <w:trHeight w:val="795"/>
        </w:trPr>
        <w:tc>
          <w:tcPr>
            <w:tcW w:w="1276" w:type="dxa"/>
            <w:tcBorders>
              <w:top w:val="single" w:sz="4" w:space="0" w:color="000000" w:themeColor="text1"/>
              <w:left w:val="single" w:sz="8" w:space="0" w:color="auto"/>
              <w:bottom w:val="single" w:sz="8" w:space="0" w:color="000000" w:themeColor="text1"/>
              <w:right w:val="single" w:sz="8" w:space="0" w:color="000000" w:themeColor="text1"/>
            </w:tcBorders>
            <w:shd w:val="clear" w:color="auto" w:fill="C6EFCE"/>
            <w:vAlign w:val="center"/>
            <w:hideMark/>
          </w:tcPr>
          <w:p w14:paraId="11E24425" w14:textId="77777777" w:rsidR="00615E2D" w:rsidRDefault="00C83E46">
            <w:pPr>
              <w:pStyle w:val="P68B1DB1-Normal56"/>
              <w:spacing w:before="0" w:after="0" w:line="240" w:lineRule="auto"/>
              <w:jc w:val="center"/>
              <w:rPr>
                <w:noProof/>
              </w:rPr>
            </w:pPr>
            <w:r>
              <w:rPr>
                <w:noProof/>
              </w:rPr>
              <w:t>142</w:t>
            </w:r>
          </w:p>
        </w:tc>
        <w:tc>
          <w:tcPr>
            <w:tcW w:w="396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305CFB9C" w14:textId="77777777" w:rsidR="00615E2D" w:rsidRDefault="00C83E46">
            <w:pPr>
              <w:pStyle w:val="P68B1DB1-Normal57"/>
              <w:spacing w:before="0" w:after="0" w:line="240" w:lineRule="auto"/>
              <w:jc w:val="center"/>
              <w:rPr>
                <w:noProof/>
              </w:rPr>
            </w:pPr>
            <w:r>
              <w:rPr>
                <w:noProof/>
              </w:rPr>
              <w:t>C 2.6.: Zaštita prirode i prilagodba klimatskim promjenama – ulaganje 5: Zadržavanje vode u šumama</w:t>
            </w:r>
          </w:p>
        </w:tc>
        <w:tc>
          <w:tcPr>
            <w:tcW w:w="1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7A2D640A" w14:textId="7B56D8B4" w:rsidR="00615E2D" w:rsidRDefault="00C83E46">
            <w:pPr>
              <w:pStyle w:val="P68B1DB1-Normal35"/>
              <w:spacing w:before="0" w:after="0" w:line="240" w:lineRule="auto"/>
              <w:jc w:val="center"/>
              <w:rPr>
                <w:rFonts w:eastAsia="Times New Roman"/>
                <w:noProof/>
                <w:sz w:val="20"/>
              </w:rPr>
            </w:pPr>
            <w:r>
              <w:rPr>
                <w:noProof/>
              </w:rPr>
              <w:t>Ciljna</w:t>
            </w:r>
          </w:p>
        </w:tc>
        <w:tc>
          <w:tcPr>
            <w:tcW w:w="3402" w:type="dxa"/>
            <w:tcBorders>
              <w:top w:val="single" w:sz="4" w:space="0" w:color="000000" w:themeColor="text1"/>
              <w:left w:val="nil"/>
              <w:bottom w:val="single" w:sz="8" w:space="0" w:color="000000" w:themeColor="text1"/>
              <w:right w:val="single" w:sz="8" w:space="0" w:color="auto"/>
            </w:tcBorders>
            <w:shd w:val="clear" w:color="auto" w:fill="C6EFCE"/>
            <w:vAlign w:val="center"/>
            <w:hideMark/>
          </w:tcPr>
          <w:p w14:paraId="3A63C1B4" w14:textId="77777777" w:rsidR="00615E2D" w:rsidRDefault="00C83E46">
            <w:pPr>
              <w:pStyle w:val="P68B1DB1-Normal56"/>
              <w:spacing w:before="0" w:after="0" w:line="240" w:lineRule="auto"/>
              <w:jc w:val="center"/>
              <w:rPr>
                <w:noProof/>
              </w:rPr>
            </w:pPr>
            <w:r>
              <w:rPr>
                <w:noProof/>
              </w:rPr>
              <w:t>T1: Završetak 40 projekata torrentne kontrole (male drvene i prirodne brane) za usporavanje površinskog otjecanja i zadržavanja vode u šumama (zadržavanje i mali spremnici).</w:t>
            </w:r>
          </w:p>
        </w:tc>
      </w:tr>
      <w:tr w:rsidR="00615E2D" w14:paraId="712E1624" w14:textId="77777777">
        <w:trPr>
          <w:trHeight w:val="795"/>
        </w:trPr>
        <w:tc>
          <w:tcPr>
            <w:tcW w:w="1276"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2AB1A24E" w14:textId="2723B329" w:rsidR="00615E2D" w:rsidRDefault="00C83E46">
            <w:pPr>
              <w:pStyle w:val="P68B1DB1-Normal56"/>
              <w:spacing w:before="0" w:after="0" w:line="240" w:lineRule="auto"/>
              <w:jc w:val="center"/>
              <w:rPr>
                <w:noProof/>
              </w:rPr>
            </w:pPr>
            <w:r>
              <w:rPr>
                <w:noProof/>
              </w:rPr>
              <w:t>48</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2FD25B6" w14:textId="77777777" w:rsidR="00615E2D" w:rsidRDefault="00C83E46">
            <w:pPr>
              <w:pStyle w:val="P68B1DB1-Normal57"/>
              <w:spacing w:before="0" w:after="0" w:line="240" w:lineRule="auto"/>
              <w:jc w:val="center"/>
              <w:rPr>
                <w:noProof/>
              </w:rPr>
            </w:pPr>
            <w:r>
              <w:rPr>
                <w:noProof/>
              </w:rPr>
              <w:t>C 1.4.: Digitalno gospodarstvo i društvo, Inovativan početak i nova tehnologija – 2. reforma: Zajednička skupina za potporu strateškim tehnologijama i certificiranje s Odborom za strateške tehnologije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F0FCFCD" w14:textId="43E4D3E2"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0DFE4216" w14:textId="4A5B5532" w:rsidR="00615E2D" w:rsidRDefault="00C83E46">
            <w:pPr>
              <w:pStyle w:val="P68B1DB1-Normal56"/>
              <w:jc w:val="center"/>
              <w:rPr>
                <w:noProof/>
              </w:rPr>
            </w:pPr>
            <w:r>
              <w:rPr>
                <w:noProof/>
              </w:rPr>
              <w:t>Uspostava i imenovanje mreže za certificiranje</w:t>
            </w:r>
          </w:p>
        </w:tc>
      </w:tr>
      <w:tr w:rsidR="00615E2D" w14:paraId="00A735AD" w14:textId="77777777">
        <w:trPr>
          <w:trHeight w:val="990"/>
        </w:trPr>
        <w:tc>
          <w:tcPr>
            <w:tcW w:w="1276" w:type="dxa"/>
            <w:tcBorders>
              <w:top w:val="nil"/>
              <w:left w:val="single" w:sz="8" w:space="0" w:color="auto"/>
              <w:bottom w:val="single" w:sz="4" w:space="0" w:color="000000" w:themeColor="text1"/>
              <w:right w:val="single" w:sz="8" w:space="0" w:color="000000" w:themeColor="text1"/>
            </w:tcBorders>
            <w:shd w:val="clear" w:color="auto" w:fill="C6EFCE"/>
            <w:vAlign w:val="center"/>
            <w:hideMark/>
          </w:tcPr>
          <w:p w14:paraId="5DB7A43A" w14:textId="77777777" w:rsidR="00615E2D" w:rsidRDefault="00C83E46">
            <w:pPr>
              <w:pStyle w:val="P68B1DB1-Normal56"/>
              <w:spacing w:before="0" w:after="0" w:line="240" w:lineRule="auto"/>
              <w:jc w:val="center"/>
              <w:rPr>
                <w:noProof/>
              </w:rPr>
            </w:pPr>
            <w:r>
              <w:rPr>
                <w:noProof/>
              </w:rPr>
              <w:t>32</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69242799" w14:textId="73C0E6A8" w:rsidR="00615E2D" w:rsidRDefault="00C83E46">
            <w:pPr>
              <w:pStyle w:val="P68B1DB1-Normal57"/>
              <w:spacing w:before="0" w:after="0" w:line="240" w:lineRule="auto"/>
              <w:jc w:val="center"/>
              <w:rPr>
                <w:noProof/>
              </w:rPr>
            </w:pPr>
            <w:r>
              <w:rPr>
                <w:noProof/>
              </w:rPr>
              <w:t>C 1.3.: Digitalne mreže visokog kapaciteta – reforma 1.: Poboljšanje okruženja za uvođenje elektroničkih komunikacijskih mreža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2B101351"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4" w:space="0" w:color="000000" w:themeColor="text1"/>
              <w:right w:val="single" w:sz="8" w:space="0" w:color="auto"/>
            </w:tcBorders>
            <w:shd w:val="clear" w:color="auto" w:fill="C6EFCE"/>
            <w:vAlign w:val="center"/>
            <w:hideMark/>
          </w:tcPr>
          <w:p w14:paraId="22C1D222" w14:textId="77777777" w:rsidR="00615E2D" w:rsidRDefault="00C83E46">
            <w:pPr>
              <w:pStyle w:val="P68B1DB1-Normal56"/>
              <w:spacing w:before="0" w:after="0" w:line="240" w:lineRule="auto"/>
              <w:jc w:val="center"/>
              <w:rPr>
                <w:noProof/>
              </w:rPr>
            </w:pPr>
            <w:r>
              <w:rPr>
                <w:noProof/>
              </w:rPr>
              <w:t>Stupanje na snagu mjera koje je pripremilo Ministarstvo industrije i trgovine s ciljem uspostave baze podataka planova investicijskih projekata i povećanja broja mjerenja kvalitete mreže </w:t>
            </w:r>
          </w:p>
        </w:tc>
      </w:tr>
      <w:tr w:rsidR="00615E2D" w14:paraId="2C58FCC6" w14:textId="77777777">
        <w:trPr>
          <w:trHeight w:val="600"/>
        </w:trPr>
        <w:tc>
          <w:tcPr>
            <w:tcW w:w="1276" w:type="dxa"/>
            <w:tcBorders>
              <w:top w:val="single" w:sz="4" w:space="0" w:color="000000" w:themeColor="text1"/>
              <w:left w:val="single" w:sz="8" w:space="0" w:color="auto"/>
              <w:bottom w:val="single" w:sz="8" w:space="0" w:color="auto"/>
              <w:right w:val="single" w:sz="8" w:space="0" w:color="auto"/>
            </w:tcBorders>
            <w:shd w:val="clear" w:color="auto" w:fill="C6EFCE"/>
            <w:vAlign w:val="center"/>
            <w:hideMark/>
          </w:tcPr>
          <w:p w14:paraId="237AB001" w14:textId="77777777" w:rsidR="00615E2D" w:rsidRDefault="00C83E46">
            <w:pPr>
              <w:pStyle w:val="P68B1DB1-Normal57"/>
              <w:spacing w:before="0" w:after="0" w:line="240" w:lineRule="auto"/>
              <w:jc w:val="center"/>
              <w:rPr>
                <w:noProof/>
              </w:rPr>
            </w:pPr>
            <w:r>
              <w:rPr>
                <w:noProof/>
              </w:rPr>
              <w:t>99</w:t>
            </w:r>
          </w:p>
        </w:tc>
        <w:tc>
          <w:tcPr>
            <w:tcW w:w="3969" w:type="dxa"/>
            <w:tcBorders>
              <w:top w:val="nil"/>
              <w:left w:val="nil"/>
              <w:bottom w:val="single" w:sz="8" w:space="0" w:color="auto"/>
              <w:right w:val="single" w:sz="8" w:space="0" w:color="000000" w:themeColor="text1"/>
            </w:tcBorders>
            <w:shd w:val="clear" w:color="auto" w:fill="C6EFCE"/>
            <w:vAlign w:val="center"/>
            <w:hideMark/>
          </w:tcPr>
          <w:p w14:paraId="34BEE17B"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843" w:type="dxa"/>
            <w:tcBorders>
              <w:top w:val="nil"/>
              <w:left w:val="nil"/>
              <w:bottom w:val="single" w:sz="8" w:space="0" w:color="auto"/>
              <w:right w:val="single" w:sz="8" w:space="0" w:color="000000" w:themeColor="text1"/>
            </w:tcBorders>
            <w:shd w:val="clear" w:color="auto" w:fill="C6EFCE"/>
            <w:vAlign w:val="center"/>
            <w:hideMark/>
          </w:tcPr>
          <w:p w14:paraId="19DCF5FA"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000000" w:themeColor="text1"/>
              <w:left w:val="nil"/>
              <w:bottom w:val="single" w:sz="8" w:space="0" w:color="auto"/>
              <w:right w:val="single" w:sz="8" w:space="0" w:color="auto"/>
            </w:tcBorders>
            <w:shd w:val="clear" w:color="auto" w:fill="C6EFCE"/>
            <w:vAlign w:val="center"/>
            <w:hideMark/>
          </w:tcPr>
          <w:p w14:paraId="4CD54230" w14:textId="77777777" w:rsidR="00615E2D" w:rsidRDefault="00C83E46">
            <w:pPr>
              <w:pStyle w:val="P68B1DB1-Normal57"/>
              <w:spacing w:before="0" w:after="0" w:line="240" w:lineRule="auto"/>
              <w:jc w:val="center"/>
              <w:rPr>
                <w:noProof/>
              </w:rPr>
            </w:pPr>
            <w:r>
              <w:rPr>
                <w:noProof/>
              </w:rPr>
              <w:t>Dovršetak moderniziranih željezničkih mostova ili tunela</w:t>
            </w:r>
          </w:p>
        </w:tc>
      </w:tr>
      <w:tr w:rsidR="00615E2D" w14:paraId="3A875010" w14:textId="77777777">
        <w:trPr>
          <w:trHeight w:val="600"/>
        </w:trPr>
        <w:tc>
          <w:tcPr>
            <w:tcW w:w="1276" w:type="dxa"/>
            <w:tcBorders>
              <w:top w:val="nil"/>
              <w:left w:val="single" w:sz="8" w:space="0" w:color="auto"/>
              <w:bottom w:val="single" w:sz="8" w:space="0" w:color="auto"/>
              <w:right w:val="single" w:sz="8" w:space="0" w:color="auto"/>
            </w:tcBorders>
            <w:shd w:val="clear" w:color="auto" w:fill="C6EFCE"/>
            <w:vAlign w:val="center"/>
            <w:hideMark/>
          </w:tcPr>
          <w:p w14:paraId="6CE6051A" w14:textId="77777777" w:rsidR="00615E2D" w:rsidRDefault="00C83E46">
            <w:pPr>
              <w:pStyle w:val="P68B1DB1-Normal57"/>
              <w:spacing w:before="0" w:after="0" w:line="240" w:lineRule="auto"/>
              <w:jc w:val="center"/>
              <w:rPr>
                <w:noProof/>
              </w:rPr>
            </w:pPr>
            <w:r>
              <w:rPr>
                <w:noProof/>
              </w:rPr>
              <w:t xml:space="preserve"> </w:t>
            </w:r>
          </w:p>
        </w:tc>
        <w:tc>
          <w:tcPr>
            <w:tcW w:w="3969" w:type="dxa"/>
            <w:tcBorders>
              <w:top w:val="nil"/>
              <w:left w:val="nil"/>
              <w:bottom w:val="single" w:sz="8" w:space="0" w:color="auto"/>
              <w:right w:val="single" w:sz="8" w:space="0" w:color="000000" w:themeColor="text1"/>
            </w:tcBorders>
            <w:shd w:val="clear" w:color="auto" w:fill="C6EFCE"/>
            <w:vAlign w:val="center"/>
            <w:hideMark/>
          </w:tcPr>
          <w:p w14:paraId="4F5EBA18" w14:textId="77777777" w:rsidR="00615E2D" w:rsidRDefault="00C83E46">
            <w:pPr>
              <w:pStyle w:val="P68B1DB1-Normal57"/>
              <w:spacing w:before="0" w:after="0" w:line="240" w:lineRule="auto"/>
              <w:jc w:val="center"/>
              <w:rPr>
                <w:noProof/>
              </w:rPr>
            </w:pPr>
            <w:r>
              <w:rPr>
                <w:noProof/>
              </w:rPr>
              <w:t xml:space="preserve"> </w:t>
            </w:r>
          </w:p>
        </w:tc>
        <w:tc>
          <w:tcPr>
            <w:tcW w:w="1843" w:type="dxa"/>
            <w:tcBorders>
              <w:top w:val="nil"/>
              <w:left w:val="nil"/>
              <w:bottom w:val="single" w:sz="8" w:space="0" w:color="auto"/>
              <w:right w:val="single" w:sz="8" w:space="0" w:color="000000" w:themeColor="text1"/>
            </w:tcBorders>
            <w:shd w:val="clear" w:color="auto" w:fill="C6EFCE"/>
            <w:vAlign w:val="center"/>
            <w:hideMark/>
          </w:tcPr>
          <w:p w14:paraId="00160A1B" w14:textId="77777777" w:rsidR="00615E2D" w:rsidRDefault="00C83E46">
            <w:pPr>
              <w:pStyle w:val="P68B1DB1-Normal59"/>
              <w:spacing w:before="0" w:after="0" w:line="240" w:lineRule="auto"/>
              <w:jc w:val="center"/>
              <w:rPr>
                <w:noProof/>
              </w:rPr>
            </w:pPr>
            <w:r>
              <w:rPr>
                <w:noProof/>
              </w:rPr>
              <w:t>Iznos obroka</w:t>
            </w:r>
          </w:p>
        </w:tc>
        <w:tc>
          <w:tcPr>
            <w:tcW w:w="3402" w:type="dxa"/>
            <w:tcBorders>
              <w:top w:val="nil"/>
              <w:left w:val="nil"/>
              <w:bottom w:val="single" w:sz="8" w:space="0" w:color="auto"/>
              <w:right w:val="single" w:sz="8" w:space="0" w:color="auto"/>
            </w:tcBorders>
            <w:shd w:val="clear" w:color="auto" w:fill="C6EFCE"/>
            <w:vAlign w:val="center"/>
            <w:hideMark/>
          </w:tcPr>
          <w:p w14:paraId="688E6A0C" w14:textId="5104978F" w:rsidR="00615E2D" w:rsidRDefault="00C83E46">
            <w:pPr>
              <w:pStyle w:val="P68B1DB1-Normal59"/>
              <w:spacing w:before="0" w:after="0" w:line="240" w:lineRule="auto"/>
              <w:jc w:val="center"/>
              <w:rPr>
                <w:noProof/>
              </w:rPr>
            </w:pPr>
            <w:r>
              <w:rPr>
                <w:noProof/>
              </w:rPr>
              <w:t>142506202 EURA</w:t>
            </w:r>
          </w:p>
        </w:tc>
      </w:tr>
    </w:tbl>
    <w:p w14:paraId="74174708" w14:textId="77777777" w:rsidR="00615E2D" w:rsidRDefault="00615E2D">
      <w:pPr>
        <w:spacing w:line="240" w:lineRule="auto"/>
        <w:jc w:val="both"/>
        <w:rPr>
          <w:noProof/>
        </w:rPr>
      </w:pPr>
    </w:p>
    <w:p w14:paraId="3C0CFA36" w14:textId="77777777" w:rsidR="00615E2D" w:rsidRDefault="00C83E46">
      <w:pPr>
        <w:numPr>
          <w:ilvl w:val="1"/>
          <w:numId w:val="198"/>
        </w:numPr>
        <w:spacing w:line="240" w:lineRule="auto"/>
        <w:jc w:val="both"/>
        <w:rPr>
          <w:noProof/>
        </w:rPr>
      </w:pPr>
      <w:r>
        <w:rPr>
          <w:noProof/>
        </w:rPr>
        <w:t xml:space="preserve">Četvrti obrok (bespovratna potpora): </w:t>
      </w:r>
    </w:p>
    <w:tbl>
      <w:tblPr>
        <w:tblW w:w="10285" w:type="dxa"/>
        <w:tblInd w:w="-601" w:type="dxa"/>
        <w:tblLook w:val="04A0" w:firstRow="1" w:lastRow="0" w:firstColumn="1" w:lastColumn="0" w:noHBand="0" w:noVBand="1"/>
      </w:tblPr>
      <w:tblGrid>
        <w:gridCol w:w="1290"/>
        <w:gridCol w:w="3975"/>
        <w:gridCol w:w="1800"/>
        <w:gridCol w:w="3220"/>
      </w:tblGrid>
      <w:tr w:rsidR="00615E2D" w14:paraId="3449D3EE" w14:textId="77777777">
        <w:trPr>
          <w:trHeight w:val="825"/>
          <w:tblHeader/>
        </w:trPr>
        <w:tc>
          <w:tcPr>
            <w:tcW w:w="1290" w:type="dxa"/>
            <w:tcBorders>
              <w:top w:val="single" w:sz="8" w:space="0" w:color="auto"/>
              <w:left w:val="single" w:sz="8" w:space="0" w:color="auto"/>
              <w:bottom w:val="single" w:sz="8" w:space="0" w:color="auto"/>
              <w:right w:val="single" w:sz="8" w:space="0" w:color="auto"/>
            </w:tcBorders>
            <w:shd w:val="clear" w:color="auto" w:fill="BDD7EE"/>
            <w:vAlign w:val="center"/>
            <w:hideMark/>
          </w:tcPr>
          <w:p w14:paraId="503C1A6A" w14:textId="77777777" w:rsidR="00615E2D" w:rsidRDefault="00C83E46">
            <w:pPr>
              <w:pStyle w:val="P68B1DB1-Normal55"/>
              <w:spacing w:before="0" w:after="0" w:line="240" w:lineRule="auto"/>
              <w:jc w:val="center"/>
              <w:rPr>
                <w:noProof/>
              </w:rPr>
            </w:pPr>
            <w:r>
              <w:rPr>
                <w:noProof/>
              </w:rPr>
              <w:t>Redni broj</w:t>
            </w:r>
          </w:p>
        </w:tc>
        <w:tc>
          <w:tcPr>
            <w:tcW w:w="3975" w:type="dxa"/>
            <w:tcBorders>
              <w:top w:val="single" w:sz="8" w:space="0" w:color="auto"/>
              <w:left w:val="nil"/>
              <w:bottom w:val="single" w:sz="8" w:space="0" w:color="auto"/>
              <w:right w:val="single" w:sz="8" w:space="0" w:color="auto"/>
            </w:tcBorders>
            <w:shd w:val="clear" w:color="auto" w:fill="BDD7EE"/>
            <w:vAlign w:val="center"/>
            <w:hideMark/>
          </w:tcPr>
          <w:p w14:paraId="2CCE317F" w14:textId="77777777" w:rsidR="00615E2D" w:rsidRDefault="00C83E46">
            <w:pPr>
              <w:pStyle w:val="P68B1DB1-Normal55"/>
              <w:spacing w:before="0" w:after="0" w:line="240" w:lineRule="auto"/>
              <w:jc w:val="center"/>
              <w:rPr>
                <w:noProof/>
              </w:rPr>
            </w:pPr>
            <w:r>
              <w:rPr>
                <w:noProof/>
              </w:rPr>
              <w:t>Povezana mjera (reforma ili ulaganje)</w:t>
            </w:r>
          </w:p>
        </w:tc>
        <w:tc>
          <w:tcPr>
            <w:tcW w:w="1800" w:type="dxa"/>
            <w:tcBorders>
              <w:top w:val="single" w:sz="8" w:space="0" w:color="auto"/>
              <w:left w:val="nil"/>
              <w:bottom w:val="single" w:sz="8" w:space="0" w:color="auto"/>
              <w:right w:val="single" w:sz="8" w:space="0" w:color="auto"/>
            </w:tcBorders>
            <w:shd w:val="clear" w:color="auto" w:fill="BDD7EE"/>
            <w:vAlign w:val="center"/>
            <w:hideMark/>
          </w:tcPr>
          <w:p w14:paraId="7D4D9892" w14:textId="77777777" w:rsidR="00615E2D" w:rsidRDefault="00C83E46">
            <w:pPr>
              <w:pStyle w:val="P68B1DB1-Normal55"/>
              <w:spacing w:before="0" w:after="0" w:line="240" w:lineRule="auto"/>
              <w:jc w:val="center"/>
              <w:rPr>
                <w:noProof/>
              </w:rPr>
            </w:pPr>
            <w:r>
              <w:rPr>
                <w:noProof/>
              </w:rPr>
              <w:t>Ključna etapa/ciljna vrijednost</w:t>
            </w:r>
          </w:p>
        </w:tc>
        <w:tc>
          <w:tcPr>
            <w:tcW w:w="3220" w:type="dxa"/>
            <w:tcBorders>
              <w:top w:val="single" w:sz="8" w:space="0" w:color="auto"/>
              <w:left w:val="nil"/>
              <w:bottom w:val="single" w:sz="8" w:space="0" w:color="auto"/>
              <w:right w:val="single" w:sz="8" w:space="0" w:color="auto"/>
            </w:tcBorders>
            <w:shd w:val="clear" w:color="auto" w:fill="BDD7EE"/>
            <w:vAlign w:val="center"/>
            <w:hideMark/>
          </w:tcPr>
          <w:p w14:paraId="24E3052A" w14:textId="77777777" w:rsidR="00615E2D" w:rsidRDefault="00C83E46">
            <w:pPr>
              <w:pStyle w:val="P68B1DB1-Normal55"/>
              <w:spacing w:before="0" w:after="0" w:line="240" w:lineRule="auto"/>
              <w:jc w:val="center"/>
              <w:rPr>
                <w:noProof/>
              </w:rPr>
            </w:pPr>
            <w:r>
              <w:rPr>
                <w:noProof/>
              </w:rPr>
              <w:t>Ime</w:t>
            </w:r>
          </w:p>
        </w:tc>
      </w:tr>
      <w:tr w:rsidR="00615E2D" w14:paraId="7BE95A43" w14:textId="77777777">
        <w:trPr>
          <w:trHeight w:val="795"/>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5D56BB11" w14:textId="77777777" w:rsidR="00615E2D" w:rsidRDefault="00C83E46">
            <w:pPr>
              <w:pStyle w:val="P68B1DB1-Normal57"/>
              <w:spacing w:before="0" w:after="0" w:line="240" w:lineRule="auto"/>
              <w:jc w:val="center"/>
              <w:rPr>
                <w:noProof/>
              </w:rPr>
            </w:pPr>
            <w:r>
              <w:rPr>
                <w:noProof/>
              </w:rPr>
              <w:t>110</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40B77790" w14:textId="5927F68F" w:rsidR="00615E2D" w:rsidRDefault="00C83E46">
            <w:pPr>
              <w:pStyle w:val="P68B1DB1-Normal57"/>
              <w:spacing w:before="0" w:after="0" w:line="240" w:lineRule="auto"/>
              <w:jc w:val="center"/>
              <w:rPr>
                <w:noProof/>
              </w:rPr>
            </w:pPr>
            <w:r>
              <w:rPr>
                <w:noProof/>
              </w:rPr>
              <w:t>C 2.3.: Prijelaz na čišće izvore energije —</w:t>
            </w:r>
          </w:p>
          <w:p w14:paraId="0BABB7BD" w14:textId="77777777" w:rsidR="00615E2D" w:rsidRDefault="00C83E46">
            <w:pPr>
              <w:pStyle w:val="P68B1DB1-Normal57"/>
              <w:spacing w:before="0" w:after="0" w:line="240" w:lineRule="auto"/>
              <w:jc w:val="center"/>
              <w:rPr>
                <w:noProof/>
              </w:rPr>
            </w:pPr>
            <w:r>
              <w:rPr>
                <w:noProof/>
              </w:rPr>
              <w:t>Reforma 1.: Modernizacija distribucije toplinske energije u sustavima centraliziranog grijanja</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49775C66"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08BBBB10" w14:textId="77777777" w:rsidR="00615E2D" w:rsidRDefault="00C83E46">
            <w:pPr>
              <w:pStyle w:val="P68B1DB1-Normal57"/>
              <w:spacing w:before="0" w:after="0" w:line="240" w:lineRule="auto"/>
              <w:jc w:val="center"/>
              <w:rPr>
                <w:noProof/>
              </w:rPr>
            </w:pPr>
            <w:r>
              <w:rPr>
                <w:noProof/>
              </w:rPr>
              <w:t>Ocjena dekarbonizacije centraliziranog grijanja u Češkoj</w:t>
            </w:r>
          </w:p>
        </w:tc>
      </w:tr>
      <w:tr w:rsidR="00615E2D" w14:paraId="517FC006" w14:textId="77777777">
        <w:trPr>
          <w:trHeight w:val="795"/>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6103BA79" w14:textId="77777777" w:rsidR="00615E2D" w:rsidRDefault="00C83E46">
            <w:pPr>
              <w:pStyle w:val="P68B1DB1-Normal57"/>
              <w:spacing w:before="0" w:after="0" w:line="240" w:lineRule="auto"/>
              <w:jc w:val="center"/>
              <w:rPr>
                <w:noProof/>
              </w:rPr>
            </w:pPr>
            <w:r>
              <w:rPr>
                <w:noProof/>
              </w:rPr>
              <w:t>111</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2313BE8C" w14:textId="1236C969" w:rsidR="00615E2D" w:rsidRDefault="00C83E46">
            <w:pPr>
              <w:pStyle w:val="P68B1DB1-Normal57"/>
              <w:spacing w:before="0" w:after="0" w:line="240" w:lineRule="auto"/>
              <w:jc w:val="center"/>
              <w:rPr>
                <w:noProof/>
              </w:rPr>
            </w:pPr>
            <w:r>
              <w:rPr>
                <w:noProof/>
              </w:rPr>
              <w:t>C 2.3.: Prijelaz na čišću energiju – 2. reforma izvora: Modernizacija distribucije toplinske energije u sustavima centraliziranog grijanja</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2E2406C1"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5204C290" w14:textId="77777777" w:rsidR="00615E2D" w:rsidRDefault="00C83E46">
            <w:pPr>
              <w:pStyle w:val="P68B1DB1-Normal57"/>
              <w:spacing w:before="0" w:after="0" w:line="240" w:lineRule="auto"/>
              <w:jc w:val="center"/>
              <w:rPr>
                <w:noProof/>
              </w:rPr>
            </w:pPr>
            <w:r>
              <w:rPr>
                <w:noProof/>
              </w:rPr>
              <w:t>Procjena putanja održive opskrbe biomasom u Češkoj</w:t>
            </w:r>
          </w:p>
        </w:tc>
      </w:tr>
      <w:tr w:rsidR="00615E2D" w14:paraId="42966180" w14:textId="77777777">
        <w:trPr>
          <w:trHeight w:val="795"/>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9CE04E2" w14:textId="2290DCCD" w:rsidR="00615E2D" w:rsidRDefault="00C83E46">
            <w:pPr>
              <w:pStyle w:val="P68B1DB1-Normal57"/>
              <w:spacing w:line="240" w:lineRule="auto"/>
              <w:jc w:val="center"/>
              <w:rPr>
                <w:noProof/>
              </w:rPr>
            </w:pPr>
            <w:r>
              <w:rPr>
                <w:noProof/>
              </w:rPr>
              <w:t>55</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1B70CCE2" w14:textId="7EED1750" w:rsidR="00615E2D" w:rsidRDefault="00C83E46">
            <w:pPr>
              <w:pStyle w:val="P68B1DB1-Normal57"/>
              <w:spacing w:before="0" w:after="0" w:line="240" w:lineRule="auto"/>
              <w:rPr>
                <w:noProof/>
              </w:rPr>
            </w:pPr>
            <w:r>
              <w:rPr>
                <w:noProof/>
              </w:rPr>
              <w:t>C 1.4.: Digitalno gospodarstvo i društvo, Inovativan početak i nova tehnologija – ulaganje 5: Europska infrastruktura za usluge lanca blokova (EBSI) – obveznice DLT za financiranje MSP-ova</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32E908AA"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221D6201" w14:textId="0068594A" w:rsidR="00615E2D" w:rsidRDefault="00C83E46">
            <w:pPr>
              <w:pStyle w:val="P68B1DB1-Normal57"/>
              <w:spacing w:before="0" w:after="0" w:line="240" w:lineRule="auto"/>
              <w:jc w:val="center"/>
              <w:rPr>
                <w:noProof/>
              </w:rPr>
            </w:pPr>
            <w:r>
              <w:rPr>
                <w:noProof/>
              </w:rPr>
              <w:t>Ugovor o dodjeli bespovratnih sredstava potpisan s primateljem za provedbu scenarija upotrebe za MSP-ove</w:t>
            </w:r>
          </w:p>
        </w:tc>
      </w:tr>
      <w:tr w:rsidR="00615E2D" w14:paraId="5C02BC52" w14:textId="77777777">
        <w:trPr>
          <w:trHeight w:val="795"/>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25915D2E" w14:textId="77777777" w:rsidR="00615E2D" w:rsidRDefault="00C83E46">
            <w:pPr>
              <w:pStyle w:val="P68B1DB1-Normal57"/>
              <w:spacing w:before="0" w:after="0" w:line="240" w:lineRule="auto"/>
              <w:jc w:val="center"/>
              <w:rPr>
                <w:noProof/>
              </w:rPr>
            </w:pPr>
            <w:r>
              <w:rPr>
                <w:noProof/>
              </w:rPr>
              <w:t>127</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54B070FF" w14:textId="77777777" w:rsidR="00615E2D" w:rsidRDefault="00C83E46">
            <w:pPr>
              <w:pStyle w:val="P68B1DB1-Normal57"/>
              <w:spacing w:before="0" w:after="0" w:line="240" w:lineRule="auto"/>
              <w:jc w:val="center"/>
              <w:rPr>
                <w:noProof/>
              </w:rPr>
            </w:pPr>
            <w:r>
              <w:rPr>
                <w:noProof/>
              </w:rPr>
              <w:t>C 2.5.: Obnova zgrada i zaštita zraka – ulaganje 2: Zamjena stacionarnih izvora onečišćenja u kućanstvima obnovljivim izvorima energije</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0FEBC4D3" w14:textId="09005905" w:rsidR="00615E2D" w:rsidRDefault="00C83E46">
            <w:pPr>
              <w:pStyle w:val="P68B1DB1-Normal28"/>
              <w:spacing w:before="0" w:after="0" w:line="240" w:lineRule="auto"/>
              <w:jc w:val="center"/>
              <w:rPr>
                <w:rFonts w:eastAsia="Times New Roman"/>
                <w:noProof/>
                <w:sz w:val="20"/>
              </w:rPr>
            </w:pPr>
            <w:r>
              <w:rPr>
                <w:noProof/>
              </w:rPr>
              <w:t>Ciljna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62EA927D" w14:textId="7BBC1533" w:rsidR="00615E2D" w:rsidRDefault="00C83E46">
            <w:pPr>
              <w:pStyle w:val="P68B1DB1-Normal61"/>
              <w:spacing w:before="0" w:after="0" w:line="240" w:lineRule="auto"/>
              <w:jc w:val="center"/>
              <w:rPr>
                <w:noProof/>
                <w:color w:val="006100"/>
              </w:rPr>
            </w:pPr>
            <w:r>
              <w:rPr>
                <w:noProof/>
                <w:color w:val="006100"/>
              </w:rPr>
              <w:t>Ugovoreni projekti za smanjenje potrošnje energije</w:t>
            </w:r>
            <w:r>
              <w:rPr>
                <w:noProof/>
                <w:color w:val="000000" w:themeColor="text1"/>
              </w:rPr>
              <w:t xml:space="preserve"> </w:t>
            </w:r>
            <w:r>
              <w:rPr>
                <w:noProof/>
                <w:color w:val="006100"/>
              </w:rPr>
              <w:t xml:space="preserve">i emisija CO2 </w:t>
            </w:r>
          </w:p>
        </w:tc>
      </w:tr>
      <w:tr w:rsidR="00615E2D" w14:paraId="1F8034D9" w14:textId="77777777">
        <w:trPr>
          <w:trHeight w:val="795"/>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6FFF79BE" w14:textId="77777777" w:rsidR="00615E2D" w:rsidRDefault="00C83E46">
            <w:pPr>
              <w:pStyle w:val="P68B1DB1-Normal57"/>
              <w:spacing w:before="0" w:after="0" w:line="240" w:lineRule="auto"/>
              <w:jc w:val="center"/>
              <w:rPr>
                <w:noProof/>
              </w:rPr>
            </w:pPr>
            <w:r>
              <w:rPr>
                <w:noProof/>
              </w:rPr>
              <w:t>128</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36EE53B4" w14:textId="77777777" w:rsidR="00615E2D" w:rsidRDefault="00C83E46">
            <w:pPr>
              <w:pStyle w:val="P68B1DB1-Normal57"/>
              <w:spacing w:before="0" w:after="0" w:line="240" w:lineRule="auto"/>
              <w:jc w:val="center"/>
              <w:rPr>
                <w:noProof/>
              </w:rPr>
            </w:pPr>
            <w:r>
              <w:rPr>
                <w:noProof/>
              </w:rPr>
              <w:t>C 2.5.: Obnova zgrada i zaštita zraka – ulaganje 2: Zamjena stacionarnih izvora onečišćenja u kućanstvima obnovljivim izvorima energije</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700DE699" w14:textId="77777777" w:rsidR="00615E2D" w:rsidRDefault="00C83E46">
            <w:pPr>
              <w:pStyle w:val="P68B1DB1-Normal57"/>
              <w:spacing w:before="0" w:after="0" w:line="240" w:lineRule="auto"/>
              <w:jc w:val="center"/>
              <w:rPr>
                <w:noProof/>
              </w:rPr>
            </w:pPr>
            <w:r>
              <w:rPr>
                <w:noProof/>
              </w:rPr>
              <w:t>Ciljna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60545CFD" w14:textId="77777777" w:rsidR="00615E2D" w:rsidRDefault="00C83E46">
            <w:pPr>
              <w:pStyle w:val="P68B1DB1-Normal57"/>
              <w:spacing w:before="0" w:after="0" w:line="240" w:lineRule="auto"/>
              <w:jc w:val="center"/>
              <w:rPr>
                <w:noProof/>
              </w:rPr>
            </w:pPr>
            <w:r>
              <w:rPr>
                <w:noProof/>
              </w:rPr>
              <w:t>Smanjenje potrošnje energije i emisija CO2 (provedeno 35 %)</w:t>
            </w:r>
          </w:p>
        </w:tc>
      </w:tr>
      <w:tr w:rsidR="00615E2D" w14:paraId="19C2EF65" w14:textId="77777777">
        <w:trPr>
          <w:trHeight w:val="600"/>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147821A1" w14:textId="77777777" w:rsidR="00615E2D" w:rsidRDefault="00C83E46">
            <w:pPr>
              <w:pStyle w:val="P68B1DB1-Normal57"/>
              <w:spacing w:before="0" w:after="0" w:line="240" w:lineRule="auto"/>
              <w:jc w:val="center"/>
              <w:rPr>
                <w:noProof/>
              </w:rPr>
            </w:pPr>
            <w:r>
              <w:rPr>
                <w:noProof/>
              </w:rPr>
              <w:t>144</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5FAEEB30" w14:textId="77777777" w:rsidR="00615E2D" w:rsidRDefault="00C83E46">
            <w:pPr>
              <w:pStyle w:val="P68B1DB1-Normal57"/>
              <w:spacing w:before="0" w:after="0" w:line="240" w:lineRule="auto"/>
              <w:jc w:val="center"/>
              <w:rPr>
                <w:noProof/>
              </w:rPr>
            </w:pPr>
            <w:r>
              <w:rPr>
                <w:noProof/>
              </w:rPr>
              <w:t>C 2.7.: Kružno gospodarstvo, recikliranje i industrijska voda – reforma 1.: Provedba novog zakonodavstva o gospodarenju otpadom u Češkoj Republici</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54817823"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05EABF8B" w14:textId="77777777" w:rsidR="00615E2D" w:rsidRDefault="00C83E46">
            <w:pPr>
              <w:pStyle w:val="P68B1DB1-Normal57"/>
              <w:spacing w:before="0" w:after="0" w:line="240" w:lineRule="auto"/>
              <w:jc w:val="center"/>
              <w:rPr>
                <w:noProof/>
              </w:rPr>
            </w:pPr>
            <w:r>
              <w:rPr>
                <w:noProof/>
              </w:rPr>
              <w:t>Stupanje na snagu provedbenih odluka na temelju zakonodavstva o gospodarenju otpadom koje je pripremilo Ministarstvo okoliša</w:t>
            </w:r>
          </w:p>
        </w:tc>
      </w:tr>
      <w:tr w:rsidR="00615E2D" w14:paraId="792DC500" w14:textId="77777777">
        <w:trPr>
          <w:trHeight w:val="1380"/>
        </w:trPr>
        <w:tc>
          <w:tcPr>
            <w:tcW w:w="1290" w:type="dxa"/>
            <w:tcBorders>
              <w:top w:val="single" w:sz="4" w:space="0" w:color="000000" w:themeColor="text1"/>
              <w:left w:val="single" w:sz="8" w:space="0" w:color="auto"/>
              <w:bottom w:val="nil"/>
              <w:right w:val="single" w:sz="8" w:space="0" w:color="000000" w:themeColor="text1"/>
            </w:tcBorders>
            <w:shd w:val="clear" w:color="auto" w:fill="C6EFCE"/>
            <w:vAlign w:val="center"/>
            <w:hideMark/>
          </w:tcPr>
          <w:p w14:paraId="6666BC7F" w14:textId="77777777" w:rsidR="00615E2D" w:rsidRDefault="00C83E46">
            <w:pPr>
              <w:pStyle w:val="P68B1DB1-Normal57"/>
              <w:spacing w:before="0" w:after="0" w:line="240" w:lineRule="auto"/>
              <w:jc w:val="center"/>
              <w:rPr>
                <w:noProof/>
              </w:rPr>
            </w:pPr>
            <w:r>
              <w:rPr>
                <w:noProof/>
              </w:rPr>
              <w:t>1</w:t>
            </w:r>
          </w:p>
        </w:tc>
        <w:tc>
          <w:tcPr>
            <w:tcW w:w="3975"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0E5A46EE" w14:textId="77777777" w:rsidR="00615E2D" w:rsidRDefault="00C83E46">
            <w:pPr>
              <w:pStyle w:val="P68B1DB1-Normal57"/>
              <w:spacing w:before="0" w:after="0" w:line="240" w:lineRule="auto"/>
              <w:jc w:val="center"/>
              <w:rPr>
                <w:noProof/>
              </w:rPr>
            </w:pPr>
            <w:r>
              <w:rPr>
                <w:noProof/>
              </w:rPr>
              <w:t>C 1.1: Digitalne usluge za građane i poduzeća – reforma 1.: Uvjeti za upravljanje kvalitetnim skupom podataka i osiguravanje kontroliranog pristupa podacima</w:t>
            </w:r>
          </w:p>
        </w:tc>
        <w:tc>
          <w:tcPr>
            <w:tcW w:w="1800"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385FD66D" w14:textId="77777777" w:rsidR="00615E2D" w:rsidRDefault="00C83E46">
            <w:pPr>
              <w:pStyle w:val="P68B1DB1-Normal57"/>
              <w:spacing w:before="0" w:after="0" w:line="240" w:lineRule="auto"/>
              <w:jc w:val="center"/>
              <w:rPr>
                <w:noProof/>
              </w:rPr>
            </w:pPr>
            <w:r>
              <w:rPr>
                <w:noProof/>
              </w:rPr>
              <w:t>Prekretnica</w:t>
            </w:r>
          </w:p>
        </w:tc>
        <w:tc>
          <w:tcPr>
            <w:tcW w:w="3220" w:type="dxa"/>
            <w:tcBorders>
              <w:top w:val="single" w:sz="4" w:space="0" w:color="000000" w:themeColor="text1"/>
              <w:left w:val="nil"/>
              <w:bottom w:val="nil"/>
              <w:right w:val="single" w:sz="8" w:space="0" w:color="auto"/>
            </w:tcBorders>
            <w:shd w:val="clear" w:color="auto" w:fill="C6EFCE"/>
            <w:vAlign w:val="center"/>
            <w:hideMark/>
          </w:tcPr>
          <w:p w14:paraId="4FB1F5C1" w14:textId="77777777" w:rsidR="00615E2D" w:rsidRDefault="00C83E46">
            <w:pPr>
              <w:pStyle w:val="P68B1DB1-Normal57"/>
              <w:spacing w:before="0" w:after="0" w:line="240" w:lineRule="auto"/>
              <w:jc w:val="center"/>
              <w:rPr>
                <w:noProof/>
              </w:rPr>
            </w:pPr>
            <w:r>
              <w:rPr>
                <w:noProof/>
              </w:rPr>
              <w:t>Dovršetak revizije podataka na razini središnje vlade i donošenje konceptualnog dokumenta „Strategija kontroliranog pristupa podacima kako bi se osigurali uvjeti za upravljanje kvalitetom prikupljanja podataka javne uprave” od strane Vlade, koji čini osnovu za novo zakonodavstvo o upravljanju podacima</w:t>
            </w:r>
          </w:p>
        </w:tc>
      </w:tr>
      <w:tr w:rsidR="00615E2D" w14:paraId="148BE8EC" w14:textId="77777777">
        <w:trPr>
          <w:trHeight w:val="990"/>
        </w:trPr>
        <w:tc>
          <w:tcPr>
            <w:tcW w:w="1290"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4BE440AE" w14:textId="77777777" w:rsidR="00615E2D" w:rsidRDefault="00C83E46">
            <w:pPr>
              <w:pStyle w:val="P68B1DB1-Normal57"/>
              <w:spacing w:before="0" w:after="0" w:line="240" w:lineRule="auto"/>
              <w:jc w:val="center"/>
              <w:rPr>
                <w:noProof/>
              </w:rPr>
            </w:pPr>
            <w:r>
              <w:rPr>
                <w:noProof/>
              </w:rPr>
              <w:t>7</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643B587B" w14:textId="73BB45A9" w:rsidR="00615E2D" w:rsidRDefault="00C83E46">
            <w:pPr>
              <w:pStyle w:val="P68B1DB1-Normal57"/>
              <w:spacing w:before="0" w:after="0" w:line="240" w:lineRule="auto"/>
              <w:jc w:val="center"/>
              <w:rPr>
                <w:noProof/>
              </w:rPr>
            </w:pPr>
            <w:r>
              <w:rPr>
                <w:noProof/>
              </w:rPr>
              <w:t>C 1.1: Digitalne usluge za građane i poduzeća – ulaganja 1: Digitalne usluge za krajnje korisnike</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19B79331" w14:textId="77777777" w:rsidR="00615E2D" w:rsidRDefault="00C83E46">
            <w:pPr>
              <w:pStyle w:val="P68B1DB1-Normal57"/>
              <w:spacing w:before="0" w:after="0" w:line="240" w:lineRule="auto"/>
              <w:jc w:val="center"/>
              <w:rPr>
                <w:noProof/>
              </w:rPr>
            </w:pPr>
            <w:r>
              <w:rPr>
                <w:noProof/>
              </w:rPr>
              <w:t>Prekretnica</w:t>
            </w:r>
          </w:p>
        </w:tc>
        <w:tc>
          <w:tcPr>
            <w:tcW w:w="3220" w:type="dxa"/>
            <w:tcBorders>
              <w:top w:val="single" w:sz="8" w:space="0" w:color="auto"/>
              <w:left w:val="nil"/>
              <w:bottom w:val="single" w:sz="8" w:space="0" w:color="auto"/>
              <w:right w:val="single" w:sz="8" w:space="0" w:color="auto"/>
            </w:tcBorders>
            <w:shd w:val="clear" w:color="auto" w:fill="C6EFCE"/>
            <w:vAlign w:val="center"/>
            <w:hideMark/>
          </w:tcPr>
          <w:p w14:paraId="3BEDE3B3" w14:textId="77777777" w:rsidR="00615E2D" w:rsidRDefault="00C83E46">
            <w:pPr>
              <w:pStyle w:val="P68B1DB1-Normal57"/>
              <w:spacing w:before="0" w:after="0" w:line="240" w:lineRule="auto"/>
              <w:jc w:val="center"/>
              <w:rPr>
                <w:noProof/>
              </w:rPr>
            </w:pPr>
            <w:r>
              <w:rPr>
                <w:noProof/>
              </w:rPr>
              <w:t>Potpuno funkcioniranje jedinstvenog digitalnog pristupnika</w:t>
            </w:r>
          </w:p>
        </w:tc>
      </w:tr>
      <w:tr w:rsidR="00615E2D" w14:paraId="6C93F337" w14:textId="77777777">
        <w:trPr>
          <w:trHeight w:val="990"/>
        </w:trPr>
        <w:tc>
          <w:tcPr>
            <w:tcW w:w="1290"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6BEB93AC" w14:textId="77777777" w:rsidR="00615E2D" w:rsidRDefault="00C83E46">
            <w:pPr>
              <w:pStyle w:val="P68B1DB1-Normal57"/>
              <w:spacing w:before="0" w:after="0" w:line="240" w:lineRule="auto"/>
              <w:jc w:val="center"/>
              <w:rPr>
                <w:noProof/>
              </w:rPr>
            </w:pPr>
            <w:r>
              <w:rPr>
                <w:noProof/>
              </w:rPr>
              <w:t>8</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478D254B" w14:textId="77777777" w:rsidR="00615E2D" w:rsidRDefault="00C83E46">
            <w:pPr>
              <w:pStyle w:val="P68B1DB1-Normal57"/>
              <w:spacing w:before="0" w:after="0" w:line="240" w:lineRule="auto"/>
              <w:jc w:val="center"/>
              <w:rPr>
                <w:noProof/>
              </w:rPr>
            </w:pPr>
            <w:r>
              <w:rPr>
                <w:noProof/>
              </w:rPr>
              <w:t>C 1.1: Digitalne usluge za građane i poduzeća – ulaganja 1: Digitalne usluge za krajnje korisnike</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0CDC992C" w14:textId="77777777" w:rsidR="00615E2D" w:rsidRDefault="00C83E46">
            <w:pPr>
              <w:pStyle w:val="P68B1DB1-Normal57"/>
              <w:spacing w:before="0" w:after="0" w:line="240" w:lineRule="auto"/>
              <w:jc w:val="center"/>
              <w:rPr>
                <w:noProof/>
              </w:rPr>
            </w:pPr>
            <w:r>
              <w:rPr>
                <w:noProof/>
              </w:rPr>
              <w:t>Prekretnica</w:t>
            </w:r>
          </w:p>
        </w:tc>
        <w:tc>
          <w:tcPr>
            <w:tcW w:w="3220" w:type="dxa"/>
            <w:tcBorders>
              <w:top w:val="single" w:sz="8" w:space="0" w:color="auto"/>
              <w:left w:val="nil"/>
              <w:bottom w:val="single" w:sz="8" w:space="0" w:color="auto"/>
              <w:right w:val="single" w:sz="8" w:space="0" w:color="auto"/>
            </w:tcBorders>
            <w:shd w:val="clear" w:color="auto" w:fill="C6EFCE"/>
            <w:vAlign w:val="center"/>
            <w:hideMark/>
          </w:tcPr>
          <w:p w14:paraId="36CDE54F" w14:textId="1D07B5D3" w:rsidR="00615E2D" w:rsidRDefault="00C83E46">
            <w:pPr>
              <w:pStyle w:val="P68B1DB1-Normal57"/>
              <w:spacing w:before="0" w:after="0" w:line="240" w:lineRule="auto"/>
              <w:jc w:val="center"/>
              <w:rPr>
                <w:noProof/>
              </w:rPr>
            </w:pPr>
            <w:r>
              <w:rPr>
                <w:noProof/>
              </w:rPr>
              <w:t>Dovršetak novih informacijskih sustava</w:t>
            </w:r>
          </w:p>
          <w:p w14:paraId="05ECE82E" w14:textId="3D0716D3" w:rsidR="00615E2D" w:rsidRDefault="00615E2D">
            <w:pPr>
              <w:spacing w:before="0" w:after="0" w:line="240" w:lineRule="auto"/>
              <w:jc w:val="center"/>
              <w:rPr>
                <w:rFonts w:eastAsia="Times New Roman"/>
                <w:noProof/>
                <w:color w:val="006100"/>
                <w:sz w:val="20"/>
              </w:rPr>
            </w:pPr>
          </w:p>
        </w:tc>
      </w:tr>
      <w:tr w:rsidR="00615E2D" w14:paraId="646E9BF9" w14:textId="77777777">
        <w:trPr>
          <w:trHeight w:val="795"/>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2E68244" w14:textId="77777777" w:rsidR="00615E2D" w:rsidRDefault="00C83E46">
            <w:pPr>
              <w:pStyle w:val="P68B1DB1-Normal57"/>
              <w:spacing w:before="0" w:after="0" w:line="240" w:lineRule="auto"/>
              <w:jc w:val="center"/>
              <w:rPr>
                <w:noProof/>
              </w:rPr>
            </w:pPr>
            <w:r>
              <w:rPr>
                <w:noProof/>
              </w:rPr>
              <w:t>13</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602012CA" w14:textId="77777777" w:rsidR="00615E2D" w:rsidRDefault="00C83E46">
            <w:pPr>
              <w:pStyle w:val="P68B1DB1-Normal57"/>
              <w:spacing w:before="0" w:after="0" w:line="240" w:lineRule="auto"/>
              <w:jc w:val="center"/>
              <w:rPr>
                <w:noProof/>
              </w:rPr>
            </w:pPr>
            <w:r>
              <w:rPr>
                <w:noProof/>
              </w:rPr>
              <w:t>C 1.1: Digitalne usluge za građane i poduzeća – ulaganje 3: Digitalna služba za pravosuđe</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497DB00B"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75D76C9C" w14:textId="77777777" w:rsidR="00615E2D" w:rsidRDefault="00C83E46">
            <w:pPr>
              <w:pStyle w:val="P68B1DB1-Normal57"/>
              <w:spacing w:before="0" w:after="0" w:line="240" w:lineRule="auto"/>
              <w:jc w:val="center"/>
              <w:rPr>
                <w:noProof/>
              </w:rPr>
            </w:pPr>
            <w:r>
              <w:rPr>
                <w:noProof/>
              </w:rPr>
              <w:t>Uvođenje nove tehnološke platforme portala Pravosuđe na kojoj će digitalne usluge biti dostupne građanima i koja je povezana sa središnjim portalom za građane</w:t>
            </w:r>
          </w:p>
        </w:tc>
      </w:tr>
      <w:tr w:rsidR="00615E2D" w14:paraId="387FDD2B" w14:textId="77777777">
        <w:trPr>
          <w:trHeight w:val="405"/>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26290AE" w14:textId="77777777" w:rsidR="00615E2D" w:rsidRDefault="00C83E46">
            <w:pPr>
              <w:pStyle w:val="P68B1DB1-Normal57"/>
              <w:spacing w:before="0" w:after="0" w:line="240" w:lineRule="auto"/>
              <w:jc w:val="center"/>
              <w:rPr>
                <w:noProof/>
              </w:rPr>
            </w:pPr>
            <w:r>
              <w:rPr>
                <w:noProof/>
              </w:rPr>
              <w:t>14</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1A5501EF" w14:textId="77777777" w:rsidR="00615E2D" w:rsidRDefault="00C83E46">
            <w:pPr>
              <w:pStyle w:val="P68B1DB1-Normal57"/>
              <w:spacing w:before="0" w:after="0" w:line="240" w:lineRule="auto"/>
              <w:jc w:val="center"/>
              <w:rPr>
                <w:noProof/>
              </w:rPr>
            </w:pPr>
            <w:r>
              <w:rPr>
                <w:noProof/>
              </w:rPr>
              <w:t>C 1.1: Digitalne usluge za građane i poduzeća – ulaganje 3: Digitalna služba za pravosuđe</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4A37F36F" w14:textId="77777777" w:rsidR="00615E2D" w:rsidRDefault="00C83E46">
            <w:pPr>
              <w:pStyle w:val="P68B1DB1-Normal57"/>
              <w:spacing w:before="0" w:after="0" w:line="240" w:lineRule="auto"/>
              <w:jc w:val="center"/>
              <w:rPr>
                <w:noProof/>
              </w:rPr>
            </w:pPr>
            <w:r>
              <w:rPr>
                <w:noProof/>
              </w:rPr>
              <w:t>Ciljna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5F82D059" w14:textId="77777777" w:rsidR="00615E2D" w:rsidRDefault="00C83E46">
            <w:pPr>
              <w:pStyle w:val="P68B1DB1-Normal57"/>
              <w:spacing w:before="0" w:after="0" w:line="240" w:lineRule="auto"/>
              <w:jc w:val="center"/>
              <w:rPr>
                <w:noProof/>
              </w:rPr>
            </w:pPr>
            <w:r>
              <w:rPr>
                <w:noProof/>
              </w:rPr>
              <w:t>Opremanje sudnica s uređajima za snimanje audiovizualnih podataka</w:t>
            </w:r>
          </w:p>
        </w:tc>
      </w:tr>
      <w:tr w:rsidR="00615E2D" w14:paraId="18472E6B" w14:textId="77777777">
        <w:trPr>
          <w:trHeight w:val="795"/>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61F17235" w14:textId="77777777" w:rsidR="00615E2D" w:rsidRDefault="00C83E46">
            <w:pPr>
              <w:pStyle w:val="P68B1DB1-Normal56"/>
              <w:spacing w:before="0" w:after="0" w:line="240" w:lineRule="auto"/>
              <w:jc w:val="center"/>
              <w:rPr>
                <w:noProof/>
              </w:rPr>
            </w:pPr>
            <w:r>
              <w:rPr>
                <w:noProof/>
              </w:rPr>
              <w:t>27</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06B73E76" w14:textId="77777777" w:rsidR="00615E2D" w:rsidRDefault="00C83E46">
            <w:pPr>
              <w:spacing w:before="0" w:after="0" w:line="240" w:lineRule="auto"/>
              <w:jc w:val="center"/>
              <w:rPr>
                <w:rFonts w:eastAsia="Times New Roman"/>
                <w:noProof/>
                <w:color w:val="006100"/>
                <w:sz w:val="20"/>
              </w:rPr>
            </w:pPr>
            <w:r>
              <w:rPr>
                <w:rFonts w:eastAsia="Times New Roman"/>
                <w:noProof/>
                <w:color w:val="006100"/>
                <w:sz w:val="20"/>
              </w:rPr>
              <w:t>C 1.2.: Sustavi digitalne javne uprave – 2. reforma:</w:t>
            </w:r>
            <w:r>
              <w:rPr>
                <w:noProof/>
              </w:rPr>
              <w:br/>
            </w:r>
            <w:r>
              <w:rPr>
                <w:rFonts w:eastAsia="Times New Roman"/>
                <w:noProof/>
                <w:color w:val="006100"/>
                <w:sz w:val="20"/>
              </w:rPr>
              <w:t>Razvoj sustava kojima se podupire e-zdravstvo</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3EE3FB3A"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4B29A90D" w14:textId="77777777" w:rsidR="00615E2D" w:rsidRDefault="00C83E46">
            <w:pPr>
              <w:pStyle w:val="P68B1DB1-Normal56"/>
              <w:spacing w:before="0" w:after="0" w:line="240" w:lineRule="auto"/>
              <w:jc w:val="center"/>
              <w:rPr>
                <w:noProof/>
              </w:rPr>
            </w:pPr>
            <w:r>
              <w:rPr>
                <w:noProof/>
              </w:rPr>
              <w:t>Proširenje zajedničke evidencije o drogama (ePrescreption) na narkotike i psihotropne tvari te na elektroničke vaučere za medicinske proizvode</w:t>
            </w:r>
          </w:p>
        </w:tc>
      </w:tr>
      <w:tr w:rsidR="00615E2D" w14:paraId="3F127452" w14:textId="77777777">
        <w:trPr>
          <w:trHeight w:val="795"/>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49C2CAE" w14:textId="77777777" w:rsidR="00615E2D" w:rsidRDefault="00C83E46">
            <w:pPr>
              <w:pStyle w:val="P68B1DB1-Normal56"/>
              <w:spacing w:before="0" w:after="0" w:line="240" w:lineRule="auto"/>
              <w:jc w:val="center"/>
              <w:rPr>
                <w:noProof/>
              </w:rPr>
            </w:pPr>
            <w:r>
              <w:rPr>
                <w:noProof/>
              </w:rPr>
              <w:t>202</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0189F854" w14:textId="77777777" w:rsidR="00615E2D" w:rsidRDefault="00C83E46">
            <w:pPr>
              <w:pStyle w:val="P68B1DB1-Normal57"/>
              <w:spacing w:before="0" w:after="0" w:line="240" w:lineRule="auto"/>
              <w:jc w:val="center"/>
              <w:rPr>
                <w:noProof/>
              </w:rPr>
            </w:pPr>
            <w:r>
              <w:rPr>
                <w:noProof/>
              </w:rPr>
              <w:t xml:space="preserve">C 4.3: Reforme borbe protiv korupcije – reforma 1.: Zaštita zviždača </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072819CD"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0CEED4FE" w14:textId="77777777" w:rsidR="00615E2D" w:rsidRDefault="00C83E46">
            <w:pPr>
              <w:pStyle w:val="P68B1DB1-Normal56"/>
              <w:spacing w:before="0" w:after="0" w:line="240" w:lineRule="auto"/>
              <w:jc w:val="center"/>
              <w:rPr>
                <w:noProof/>
              </w:rPr>
            </w:pPr>
            <w:r>
              <w:rPr>
                <w:noProof/>
              </w:rPr>
              <w:t>Stupanje na snagu zakona o zaštiti zviždača i pratećeg zakona o izmjeni</w:t>
            </w:r>
          </w:p>
        </w:tc>
      </w:tr>
      <w:tr w:rsidR="00615E2D" w14:paraId="653413DF" w14:textId="77777777">
        <w:trPr>
          <w:trHeight w:val="795"/>
        </w:trPr>
        <w:tc>
          <w:tcPr>
            <w:tcW w:w="1290" w:type="dxa"/>
            <w:tcBorders>
              <w:top w:val="single" w:sz="4" w:space="0" w:color="auto"/>
              <w:left w:val="single" w:sz="8" w:space="0" w:color="auto"/>
              <w:bottom w:val="single" w:sz="8" w:space="0" w:color="000000" w:themeColor="text1"/>
              <w:right w:val="single" w:sz="8" w:space="0" w:color="000000" w:themeColor="text1"/>
            </w:tcBorders>
            <w:shd w:val="clear" w:color="auto" w:fill="C6EFCE"/>
            <w:vAlign w:val="center"/>
            <w:hideMark/>
          </w:tcPr>
          <w:p w14:paraId="4EAD5638" w14:textId="77777777" w:rsidR="00615E2D" w:rsidRDefault="00C83E46">
            <w:pPr>
              <w:pStyle w:val="P68B1DB1-Normal56"/>
              <w:spacing w:before="0" w:after="0" w:line="240" w:lineRule="auto"/>
              <w:jc w:val="center"/>
              <w:rPr>
                <w:noProof/>
              </w:rPr>
            </w:pPr>
            <w:r>
              <w:rPr>
                <w:noProof/>
              </w:rPr>
              <w:t>59</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6AD1894B" w14:textId="77777777" w:rsidR="00615E2D" w:rsidRDefault="00C83E46">
            <w:pPr>
              <w:pStyle w:val="P68B1DB1-Normal57"/>
              <w:spacing w:before="0" w:after="0" w:line="240" w:lineRule="auto"/>
              <w:jc w:val="center"/>
              <w:rPr>
                <w:noProof/>
              </w:rPr>
            </w:pPr>
            <w:r>
              <w:rPr>
                <w:noProof/>
              </w:rPr>
              <w:t>C 1.4.: Digitalno gospodarstvo i društvo, Inovativan početak i nova tehnologija – ulaganje 7: Češki program Rise-Up</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038CF21E" w14:textId="77777777" w:rsidR="00615E2D" w:rsidRDefault="00C83E46">
            <w:pPr>
              <w:pStyle w:val="P68B1DB1-Normal57"/>
              <w:spacing w:before="0" w:after="0" w:line="240" w:lineRule="auto"/>
              <w:jc w:val="center"/>
              <w:rPr>
                <w:noProof/>
              </w:rPr>
            </w:pPr>
            <w:r>
              <w:rPr>
                <w:noProof/>
              </w:rPr>
              <w:t>Ciljna</w:t>
            </w:r>
          </w:p>
        </w:tc>
        <w:tc>
          <w:tcPr>
            <w:tcW w:w="3220" w:type="dxa"/>
            <w:tcBorders>
              <w:top w:val="single" w:sz="4" w:space="0" w:color="auto"/>
              <w:left w:val="nil"/>
              <w:bottom w:val="single" w:sz="8" w:space="0" w:color="000000" w:themeColor="text1"/>
              <w:right w:val="single" w:sz="8" w:space="0" w:color="auto"/>
            </w:tcBorders>
            <w:shd w:val="clear" w:color="auto" w:fill="C6EFCE"/>
            <w:vAlign w:val="center"/>
            <w:hideMark/>
          </w:tcPr>
          <w:p w14:paraId="513123B7" w14:textId="6E21A346" w:rsidR="00615E2D" w:rsidRDefault="00C83E46">
            <w:pPr>
              <w:pStyle w:val="P68B1DB1-Normal56"/>
              <w:spacing w:before="0" w:after="0" w:line="240" w:lineRule="auto"/>
              <w:jc w:val="center"/>
              <w:rPr>
                <w:noProof/>
              </w:rPr>
            </w:pPr>
            <w:r>
              <w:rPr>
                <w:noProof/>
              </w:rPr>
              <w:t>Potpora projektima usmjerenima na inovacije u području medicinskih i digitalnih rješenja za suočavanje s posljedicama bolesti COVID-19 i njezinim gospodarskim i socijalnim posljedicama</w:t>
            </w:r>
          </w:p>
        </w:tc>
      </w:tr>
      <w:tr w:rsidR="00615E2D" w14:paraId="60D68A06" w14:textId="77777777">
        <w:trPr>
          <w:trHeight w:val="600"/>
        </w:trPr>
        <w:tc>
          <w:tcPr>
            <w:tcW w:w="1290" w:type="dxa"/>
            <w:tcBorders>
              <w:top w:val="nil"/>
              <w:left w:val="single" w:sz="8" w:space="0" w:color="auto"/>
              <w:bottom w:val="single" w:sz="4" w:space="0" w:color="auto"/>
              <w:right w:val="single" w:sz="8" w:space="0" w:color="000000" w:themeColor="text1"/>
            </w:tcBorders>
            <w:shd w:val="clear" w:color="auto" w:fill="C6EFCE"/>
            <w:vAlign w:val="center"/>
            <w:hideMark/>
          </w:tcPr>
          <w:p w14:paraId="4A08F2AF" w14:textId="77777777" w:rsidR="00615E2D" w:rsidRDefault="00C83E46">
            <w:pPr>
              <w:pStyle w:val="P68B1DB1-Normal57"/>
              <w:spacing w:before="0" w:after="0" w:line="240" w:lineRule="auto"/>
              <w:jc w:val="center"/>
              <w:rPr>
                <w:noProof/>
              </w:rPr>
            </w:pPr>
            <w:r>
              <w:rPr>
                <w:noProof/>
              </w:rPr>
              <w:t>79</w:t>
            </w:r>
          </w:p>
        </w:tc>
        <w:tc>
          <w:tcPr>
            <w:tcW w:w="3975" w:type="dxa"/>
            <w:tcBorders>
              <w:top w:val="nil"/>
              <w:left w:val="nil"/>
              <w:bottom w:val="single" w:sz="4" w:space="0" w:color="auto"/>
              <w:right w:val="single" w:sz="8" w:space="0" w:color="000000" w:themeColor="text1"/>
            </w:tcBorders>
            <w:shd w:val="clear" w:color="auto" w:fill="C6EFCE"/>
            <w:vAlign w:val="center"/>
            <w:hideMark/>
          </w:tcPr>
          <w:p w14:paraId="5453019C" w14:textId="77777777" w:rsidR="00615E2D" w:rsidRDefault="00C83E46">
            <w:pPr>
              <w:pStyle w:val="P68B1DB1-Normal57"/>
              <w:spacing w:before="0" w:after="0" w:line="240" w:lineRule="auto"/>
              <w:jc w:val="center"/>
              <w:rPr>
                <w:noProof/>
              </w:rPr>
            </w:pPr>
            <w:r>
              <w:rPr>
                <w:noProof/>
              </w:rPr>
              <w:t>C 2.1.: Održivi promet – reforma 1.: Stvaranje alternativa za energetski i prostorno intenzivan cestovni promet</w:t>
            </w:r>
          </w:p>
        </w:tc>
        <w:tc>
          <w:tcPr>
            <w:tcW w:w="1800" w:type="dxa"/>
            <w:tcBorders>
              <w:top w:val="nil"/>
              <w:left w:val="nil"/>
              <w:bottom w:val="single" w:sz="4" w:space="0" w:color="auto"/>
              <w:right w:val="single" w:sz="8" w:space="0" w:color="000000" w:themeColor="text1"/>
            </w:tcBorders>
            <w:shd w:val="clear" w:color="auto" w:fill="C6EFCE"/>
            <w:vAlign w:val="center"/>
            <w:hideMark/>
          </w:tcPr>
          <w:p w14:paraId="0F7195F1"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4" w:space="0" w:color="auto"/>
              <w:right w:val="single" w:sz="8" w:space="0" w:color="auto"/>
            </w:tcBorders>
            <w:shd w:val="clear" w:color="auto" w:fill="C6EFCE"/>
            <w:vAlign w:val="center"/>
            <w:hideMark/>
          </w:tcPr>
          <w:p w14:paraId="1391F0FB" w14:textId="77777777" w:rsidR="00615E2D" w:rsidRDefault="00C83E46">
            <w:pPr>
              <w:pStyle w:val="P68B1DB1-Normal57"/>
              <w:spacing w:before="0" w:after="0" w:line="240" w:lineRule="auto"/>
              <w:jc w:val="center"/>
              <w:rPr>
                <w:noProof/>
              </w:rPr>
            </w:pPr>
            <w:r>
              <w:rPr>
                <w:noProof/>
              </w:rPr>
              <w:t>Odobrenje i stupanje na snagu novog koncepta prijevoza tereta</w:t>
            </w:r>
          </w:p>
        </w:tc>
      </w:tr>
      <w:tr w:rsidR="00615E2D" w14:paraId="4039D8C4" w14:textId="77777777">
        <w:trPr>
          <w:trHeight w:val="600"/>
        </w:trPr>
        <w:tc>
          <w:tcPr>
            <w:tcW w:w="129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179F4E7" w14:textId="77777777" w:rsidR="00615E2D" w:rsidRDefault="00C83E46">
            <w:pPr>
              <w:pStyle w:val="P68B1DB1-Normal57"/>
              <w:spacing w:before="0" w:after="0" w:line="240" w:lineRule="auto"/>
              <w:jc w:val="center"/>
              <w:rPr>
                <w:noProof/>
              </w:rPr>
            </w:pPr>
            <w:r>
              <w:rPr>
                <w:noProof/>
              </w:rPr>
              <w:t>80</w:t>
            </w:r>
          </w:p>
        </w:tc>
        <w:tc>
          <w:tcPr>
            <w:tcW w:w="3975"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EB50AE6" w14:textId="77777777" w:rsidR="00615E2D" w:rsidRDefault="00C83E46">
            <w:pPr>
              <w:pStyle w:val="P68B1DB1-Normal57"/>
              <w:spacing w:before="0" w:after="0" w:line="240" w:lineRule="auto"/>
              <w:jc w:val="center"/>
              <w:rPr>
                <w:noProof/>
              </w:rPr>
            </w:pPr>
            <w:r>
              <w:rPr>
                <w:noProof/>
              </w:rPr>
              <w:t>C 2.1.: Održivi promet – reforma 1.: Stvaranje alternativa za energetski i prostorno intenzivan cestovni promet</w:t>
            </w:r>
          </w:p>
        </w:tc>
        <w:tc>
          <w:tcPr>
            <w:tcW w:w="180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26FF03F" w14:textId="77777777" w:rsidR="00615E2D" w:rsidRDefault="00C83E46">
            <w:pPr>
              <w:pStyle w:val="P68B1DB1-Normal57"/>
              <w:spacing w:before="0" w:after="0" w:line="240" w:lineRule="auto"/>
              <w:jc w:val="center"/>
              <w:rPr>
                <w:noProof/>
              </w:rPr>
            </w:pPr>
            <w:r>
              <w:rPr>
                <w:noProof/>
              </w:rPr>
              <w:t>Prekretnica</w:t>
            </w:r>
          </w:p>
        </w:tc>
        <w:tc>
          <w:tcPr>
            <w:tcW w:w="322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B6080CB" w14:textId="77777777" w:rsidR="00615E2D" w:rsidRDefault="00C83E46">
            <w:pPr>
              <w:pStyle w:val="P68B1DB1-Normal57"/>
              <w:spacing w:before="0" w:after="0" w:line="240" w:lineRule="auto"/>
              <w:jc w:val="center"/>
              <w:rPr>
                <w:noProof/>
              </w:rPr>
            </w:pPr>
            <w:r>
              <w:rPr>
                <w:noProof/>
              </w:rPr>
              <w:t>Odobrenje nacrta usluga prijevoza.</w:t>
            </w:r>
          </w:p>
        </w:tc>
      </w:tr>
      <w:tr w:rsidR="00615E2D" w14:paraId="35357C99" w14:textId="77777777">
        <w:trPr>
          <w:trHeight w:val="600"/>
        </w:trPr>
        <w:tc>
          <w:tcPr>
            <w:tcW w:w="129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C59A5D7" w14:textId="77777777" w:rsidR="00615E2D" w:rsidRDefault="00C83E46">
            <w:pPr>
              <w:pStyle w:val="P68B1DB1-Normal57"/>
              <w:spacing w:before="0" w:after="0"/>
              <w:jc w:val="center"/>
              <w:rPr>
                <w:noProof/>
              </w:rPr>
            </w:pPr>
            <w:r>
              <w:rPr>
                <w:noProof/>
              </w:rPr>
              <w:t>88</w:t>
            </w:r>
          </w:p>
        </w:tc>
        <w:tc>
          <w:tcPr>
            <w:tcW w:w="3975"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441BB56" w14:textId="77777777" w:rsidR="00615E2D" w:rsidRDefault="00C83E46">
            <w:pPr>
              <w:pStyle w:val="P68B1DB1-Normal57"/>
              <w:spacing w:before="0" w:after="0"/>
              <w:jc w:val="center"/>
              <w:rPr>
                <w:noProof/>
              </w:rPr>
            </w:pPr>
            <w:r>
              <w:rPr>
                <w:noProof/>
              </w:rPr>
              <w:t>C 2.1.: Održivi promet – ulaganje 2: Elektrifikacija željeznica</w:t>
            </w:r>
          </w:p>
        </w:tc>
        <w:tc>
          <w:tcPr>
            <w:tcW w:w="180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F7B7B96" w14:textId="77777777" w:rsidR="00615E2D" w:rsidRDefault="00C83E46">
            <w:pPr>
              <w:pStyle w:val="P68B1DB1-Normal57"/>
              <w:spacing w:before="0" w:after="0"/>
              <w:jc w:val="center"/>
              <w:rPr>
                <w:noProof/>
              </w:rPr>
            </w:pPr>
            <w:r>
              <w:rPr>
                <w:noProof/>
              </w:rPr>
              <w:t>Ciljna</w:t>
            </w:r>
          </w:p>
        </w:tc>
        <w:tc>
          <w:tcPr>
            <w:tcW w:w="322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7AB7AD6" w14:textId="77777777" w:rsidR="00615E2D" w:rsidRDefault="00C83E46">
            <w:pPr>
              <w:pStyle w:val="P68B1DB1-Normal57"/>
              <w:spacing w:before="0" w:after="0"/>
              <w:jc w:val="center"/>
              <w:rPr>
                <w:noProof/>
              </w:rPr>
            </w:pPr>
            <w:r>
              <w:rPr>
                <w:noProof/>
              </w:rPr>
              <w:t xml:space="preserve">Završetak šest dodatnih projekata iz unaprijed definiranog skupa projekata </w:t>
            </w:r>
          </w:p>
        </w:tc>
      </w:tr>
      <w:tr w:rsidR="00615E2D" w14:paraId="5055308F" w14:textId="77777777">
        <w:trPr>
          <w:trHeight w:val="600"/>
        </w:trPr>
        <w:tc>
          <w:tcPr>
            <w:tcW w:w="1290" w:type="dxa"/>
            <w:tcBorders>
              <w:top w:val="single" w:sz="4" w:space="0" w:color="auto"/>
              <w:left w:val="single" w:sz="8" w:space="0" w:color="auto"/>
              <w:bottom w:val="single" w:sz="8" w:space="0" w:color="000000" w:themeColor="text1"/>
              <w:right w:val="single" w:sz="8" w:space="0" w:color="000000" w:themeColor="text1"/>
            </w:tcBorders>
            <w:shd w:val="clear" w:color="auto" w:fill="C6EFCE"/>
            <w:vAlign w:val="center"/>
            <w:hideMark/>
          </w:tcPr>
          <w:p w14:paraId="6E159E6A" w14:textId="74378C96" w:rsidR="00615E2D" w:rsidRDefault="00C83E46">
            <w:pPr>
              <w:pStyle w:val="P68B1DB1-Normal57"/>
              <w:spacing w:before="0" w:after="0" w:line="240" w:lineRule="auto"/>
              <w:jc w:val="center"/>
              <w:rPr>
                <w:noProof/>
              </w:rPr>
            </w:pPr>
            <w:r>
              <w:rPr>
                <w:noProof/>
              </w:rPr>
              <w:t>91</w:t>
            </w:r>
          </w:p>
        </w:tc>
        <w:tc>
          <w:tcPr>
            <w:tcW w:w="3975"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4E6B390D" w14:textId="77777777" w:rsidR="00615E2D" w:rsidRDefault="00C83E46">
            <w:pPr>
              <w:pStyle w:val="P68B1DB1-Normal57"/>
              <w:spacing w:before="0" w:after="0" w:line="240" w:lineRule="auto"/>
              <w:jc w:val="center"/>
              <w:rPr>
                <w:noProof/>
              </w:rPr>
            </w:pPr>
            <w:r>
              <w:rPr>
                <w:noProof/>
              </w:rPr>
              <w:t>C 2.1.: Održivi promet – ulaganje 3: Poboljšanje okoliša (potpora željezničkoj infrastrukturi)</w:t>
            </w:r>
          </w:p>
        </w:tc>
        <w:tc>
          <w:tcPr>
            <w:tcW w:w="1800"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02787AF9" w14:textId="77777777" w:rsidR="00615E2D" w:rsidRDefault="00C83E46">
            <w:pPr>
              <w:pStyle w:val="P68B1DB1-Normal57"/>
              <w:spacing w:before="0" w:after="0" w:line="240" w:lineRule="auto"/>
              <w:jc w:val="center"/>
              <w:rPr>
                <w:noProof/>
              </w:rPr>
            </w:pPr>
            <w:r>
              <w:rPr>
                <w:noProof/>
              </w:rPr>
              <w:t>Ciljna</w:t>
            </w:r>
          </w:p>
        </w:tc>
        <w:tc>
          <w:tcPr>
            <w:tcW w:w="3220" w:type="dxa"/>
            <w:tcBorders>
              <w:top w:val="single" w:sz="4" w:space="0" w:color="auto"/>
              <w:left w:val="nil"/>
              <w:bottom w:val="single" w:sz="8" w:space="0" w:color="000000" w:themeColor="text1"/>
              <w:right w:val="single" w:sz="8" w:space="0" w:color="auto"/>
            </w:tcBorders>
            <w:shd w:val="clear" w:color="auto" w:fill="C6EFCE"/>
            <w:vAlign w:val="center"/>
            <w:hideMark/>
          </w:tcPr>
          <w:p w14:paraId="63124E5D" w14:textId="468FCDFE" w:rsidR="00615E2D" w:rsidRDefault="00C83E46">
            <w:pPr>
              <w:pStyle w:val="P68B1DB1-Normal57"/>
              <w:spacing w:before="0" w:after="0" w:line="240" w:lineRule="auto"/>
              <w:jc w:val="center"/>
              <w:rPr>
                <w:noProof/>
              </w:rPr>
            </w:pPr>
            <w:r>
              <w:rPr>
                <w:noProof/>
              </w:rPr>
              <w:t xml:space="preserve">Završetak 11 dodatnih projekata iz unaprijed definiranog skupa projekata   </w:t>
            </w:r>
          </w:p>
        </w:tc>
      </w:tr>
      <w:tr w:rsidR="00615E2D" w14:paraId="4AEE9253" w14:textId="77777777">
        <w:trPr>
          <w:trHeight w:val="600"/>
        </w:trPr>
        <w:tc>
          <w:tcPr>
            <w:tcW w:w="1290" w:type="dxa"/>
            <w:tcBorders>
              <w:top w:val="single" w:sz="4" w:space="0" w:color="000000" w:themeColor="text1"/>
              <w:left w:val="single" w:sz="8" w:space="0" w:color="auto"/>
              <w:bottom w:val="single" w:sz="8" w:space="0" w:color="000000" w:themeColor="text1"/>
              <w:right w:val="single" w:sz="8" w:space="0" w:color="000000" w:themeColor="text1"/>
            </w:tcBorders>
            <w:shd w:val="clear" w:color="auto" w:fill="C6EFCE"/>
            <w:vAlign w:val="center"/>
            <w:hideMark/>
          </w:tcPr>
          <w:p w14:paraId="69B0B66D" w14:textId="4FA25F1F" w:rsidR="00615E2D" w:rsidRDefault="00C83E46">
            <w:pPr>
              <w:pStyle w:val="P68B1DB1-Normal57"/>
              <w:spacing w:line="240" w:lineRule="auto"/>
              <w:jc w:val="center"/>
              <w:rPr>
                <w:noProof/>
              </w:rPr>
            </w:pPr>
            <w:r>
              <w:rPr>
                <w:noProof/>
              </w:rPr>
              <w:t>343</w:t>
            </w:r>
          </w:p>
        </w:tc>
        <w:tc>
          <w:tcPr>
            <w:tcW w:w="3975"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14913FC7" w14:textId="7EA5DDA7" w:rsidR="00615E2D" w:rsidRDefault="00C83E46">
            <w:pPr>
              <w:pStyle w:val="P68B1DB1-Normal57"/>
              <w:spacing w:before="0" w:after="0" w:line="240" w:lineRule="auto"/>
              <w:jc w:val="center"/>
              <w:rPr>
                <w:noProof/>
              </w:rPr>
            </w:pPr>
            <w:r>
              <w:rPr>
                <w:noProof/>
              </w:rPr>
              <w:t xml:space="preserve">C 7.7. Pojednostavnjenje postupaka izdavanja okolišnih dozvola i definiranje područja za razvoj obnovljivih izvora energije – Reforma 2.: Područja za ubrzanje proizvodnje energije iz obnovljivih izvora </w:t>
            </w:r>
          </w:p>
        </w:tc>
        <w:tc>
          <w:tcPr>
            <w:tcW w:w="1800"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2755BEF8" w14:textId="04401103" w:rsidR="00615E2D" w:rsidRDefault="00C83E46">
            <w:pPr>
              <w:pStyle w:val="P68B1DB1-Normal57"/>
              <w:spacing w:line="240" w:lineRule="auto"/>
              <w:jc w:val="center"/>
              <w:rPr>
                <w:noProof/>
              </w:rPr>
            </w:pPr>
            <w:r>
              <w:rPr>
                <w:noProof/>
              </w:rPr>
              <w:t>Prekretnica</w:t>
            </w:r>
          </w:p>
        </w:tc>
        <w:tc>
          <w:tcPr>
            <w:tcW w:w="3220" w:type="dxa"/>
            <w:tcBorders>
              <w:top w:val="single" w:sz="4" w:space="0" w:color="000000" w:themeColor="text1"/>
              <w:left w:val="nil"/>
              <w:bottom w:val="single" w:sz="8" w:space="0" w:color="000000" w:themeColor="text1"/>
              <w:right w:val="single" w:sz="8" w:space="0" w:color="auto"/>
            </w:tcBorders>
            <w:shd w:val="clear" w:color="auto" w:fill="C6EFCE"/>
            <w:vAlign w:val="center"/>
            <w:hideMark/>
          </w:tcPr>
          <w:p w14:paraId="5528389D" w14:textId="1A2D1E61" w:rsidR="00615E2D" w:rsidRDefault="00C83E46">
            <w:pPr>
              <w:pStyle w:val="P68B1DB1-Normal57"/>
              <w:spacing w:before="0" w:after="0" w:line="240" w:lineRule="auto"/>
              <w:jc w:val="center"/>
              <w:rPr>
                <w:noProof/>
              </w:rPr>
            </w:pPr>
            <w:r>
              <w:rPr>
                <w:noProof/>
              </w:rPr>
              <w:t xml:space="preserve">Metodologija za određivanje područja ubrzane proizvodnje energije iz obnovljivih izvora  </w:t>
            </w:r>
          </w:p>
        </w:tc>
      </w:tr>
      <w:tr w:rsidR="00615E2D" w14:paraId="3F393FD2" w14:textId="77777777">
        <w:trPr>
          <w:trHeight w:val="600"/>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3955AB2C" w14:textId="49B3A922" w:rsidR="00615E2D" w:rsidRDefault="00C83E46">
            <w:pPr>
              <w:pStyle w:val="P68B1DB1-Normal57"/>
              <w:spacing w:line="240" w:lineRule="auto"/>
              <w:jc w:val="center"/>
              <w:rPr>
                <w:noProof/>
              </w:rPr>
            </w:pPr>
            <w:r>
              <w:rPr>
                <w:noProof/>
              </w:rPr>
              <w:t>341</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4EC87A94" w14:textId="733E7885" w:rsidR="00615E2D" w:rsidRDefault="00C83E46">
            <w:pPr>
              <w:pStyle w:val="P68B1DB1-Normal57"/>
              <w:spacing w:before="0" w:after="0" w:line="240" w:lineRule="auto"/>
              <w:jc w:val="center"/>
              <w:rPr>
                <w:noProof/>
              </w:rPr>
            </w:pPr>
            <w:r>
              <w:rPr>
                <w:noProof/>
              </w:rPr>
              <w:t xml:space="preserve">C 7.7. Pojednostavnjenje postupaka izdavanja okolišnih dozvola i definiranje područja za razvoj obnovljivih izvora energije- Reforma 1: </w:t>
            </w:r>
          </w:p>
          <w:p w14:paraId="4E2B9443" w14:textId="13D73E71" w:rsidR="00615E2D" w:rsidRDefault="00C83E46">
            <w:pPr>
              <w:pStyle w:val="P68B1DB1-Normal57"/>
              <w:spacing w:before="0" w:after="0" w:line="240" w:lineRule="auto"/>
              <w:jc w:val="center"/>
              <w:rPr>
                <w:noProof/>
              </w:rPr>
            </w:pPr>
            <w:r>
              <w:rPr>
                <w:noProof/>
              </w:rPr>
              <w:t xml:space="preserve">Jedinstveno mišljenje o okolišu  </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70A2A34E" w14:textId="0DAC5A58" w:rsidR="00615E2D" w:rsidRDefault="00C83E46">
            <w:pPr>
              <w:pStyle w:val="P68B1DB1-Normal57"/>
              <w:spacing w:line="240" w:lineRule="auto"/>
              <w:jc w:val="center"/>
              <w:rPr>
                <w:noProof/>
              </w:rPr>
            </w:pPr>
            <w:r>
              <w:rPr>
                <w:noProof/>
              </w:rPr>
              <w:t>Prekretnica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03C96AB5" w14:textId="4741AE6E" w:rsidR="00615E2D" w:rsidRDefault="00C83E46">
            <w:pPr>
              <w:pStyle w:val="P68B1DB1-Normal57"/>
              <w:spacing w:before="0" w:after="0" w:line="240" w:lineRule="auto"/>
              <w:jc w:val="center"/>
              <w:rPr>
                <w:noProof/>
              </w:rPr>
            </w:pPr>
            <w:r>
              <w:rPr>
                <w:noProof/>
              </w:rPr>
              <w:t>Tehnička pomoć za ubrzavanje i poboljšanje kvalitete postupaka izdavanja okolišnih dozvola   </w:t>
            </w:r>
          </w:p>
        </w:tc>
      </w:tr>
      <w:tr w:rsidR="00615E2D" w14:paraId="2127B8C9" w14:textId="77777777">
        <w:trPr>
          <w:trHeight w:val="600"/>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6C803042" w14:textId="72058CAB" w:rsidR="00615E2D" w:rsidRDefault="00C83E46">
            <w:pPr>
              <w:pStyle w:val="P68B1DB1-Normal57"/>
              <w:spacing w:line="240" w:lineRule="auto"/>
              <w:jc w:val="center"/>
              <w:rPr>
                <w:noProof/>
              </w:rPr>
            </w:pPr>
            <w:r>
              <w:rPr>
                <w:noProof/>
              </w:rPr>
              <w:t>325</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0B8B73C8" w14:textId="22CFFBDA" w:rsidR="00615E2D" w:rsidRDefault="00C83E46">
            <w:pPr>
              <w:pStyle w:val="P68B1DB1-Normal57"/>
              <w:spacing w:before="0" w:after="0" w:line="240" w:lineRule="auto"/>
              <w:jc w:val="center"/>
              <w:rPr>
                <w:noProof/>
              </w:rPr>
            </w:pPr>
            <w:r>
              <w:rPr>
                <w:noProof/>
              </w:rPr>
              <w:t xml:space="preserve">C 7.4.: Prilagodba škola – Promicanje zelenih vještina i održivosti na sveučilištima – Reforma 1: Preobrazba sveučilišta radi prilagodbe promjenjivim potrebama tržišta rada </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292B722C" w14:textId="288AD612" w:rsidR="00615E2D" w:rsidRDefault="00C83E46">
            <w:pPr>
              <w:pStyle w:val="P68B1DB1-Normal57"/>
              <w:spacing w:before="0" w:after="0" w:line="240" w:lineRule="auto"/>
              <w:jc w:val="center"/>
              <w:rPr>
                <w:noProof/>
              </w:rPr>
            </w:pPr>
            <w:r>
              <w:rPr>
                <w:noProof/>
              </w:rPr>
              <w:t xml:space="preserve">Prekretnica </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382A4846" w14:textId="479AB0F8" w:rsidR="00615E2D" w:rsidRDefault="00C83E46">
            <w:pPr>
              <w:pStyle w:val="P68B1DB1-Normal57"/>
              <w:spacing w:before="0" w:after="0" w:line="240" w:lineRule="auto"/>
              <w:jc w:val="center"/>
              <w:rPr>
                <w:noProof/>
              </w:rPr>
            </w:pPr>
            <w:r>
              <w:rPr>
                <w:noProof/>
              </w:rPr>
              <w:t>Pokretanje programa za potporu transformaciji sveučilišta</w:t>
            </w:r>
          </w:p>
        </w:tc>
      </w:tr>
      <w:tr w:rsidR="00615E2D" w14:paraId="17D9E70D" w14:textId="77777777">
        <w:trPr>
          <w:trHeight w:val="600"/>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6F34C892" w14:textId="77777777" w:rsidR="00615E2D" w:rsidRDefault="00C83E46">
            <w:pPr>
              <w:pStyle w:val="P68B1DB1-Normal57"/>
              <w:spacing w:before="0" w:after="0" w:line="240" w:lineRule="auto"/>
              <w:jc w:val="center"/>
              <w:rPr>
                <w:noProof/>
              </w:rPr>
            </w:pPr>
            <w:r>
              <w:rPr>
                <w:noProof/>
              </w:rPr>
              <w:t>100</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56FF7516"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213BA423" w14:textId="77777777" w:rsidR="00615E2D" w:rsidRDefault="00C83E46">
            <w:pPr>
              <w:pStyle w:val="P68B1DB1-Normal57"/>
              <w:spacing w:before="0" w:after="0" w:line="240" w:lineRule="auto"/>
              <w:jc w:val="center"/>
              <w:rPr>
                <w:noProof/>
              </w:rPr>
            </w:pPr>
            <w:r>
              <w:rPr>
                <w:noProof/>
              </w:rPr>
              <w:t>Ciljna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08148FB6" w14:textId="77777777" w:rsidR="00615E2D" w:rsidRDefault="00C83E46">
            <w:pPr>
              <w:pStyle w:val="P68B1DB1-Normal57"/>
              <w:spacing w:before="0" w:after="0" w:line="240" w:lineRule="auto"/>
              <w:jc w:val="center"/>
              <w:rPr>
                <w:noProof/>
              </w:rPr>
            </w:pPr>
            <w:r>
              <w:rPr>
                <w:noProof/>
              </w:rPr>
              <w:t>Završetak izgrađenih biciklističkih staza, pločnika i putova bez prepreka</w:t>
            </w:r>
          </w:p>
        </w:tc>
      </w:tr>
      <w:tr w:rsidR="00615E2D" w14:paraId="759C46A5" w14:textId="77777777">
        <w:trPr>
          <w:trHeight w:val="600"/>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1D819E77" w14:textId="77777777" w:rsidR="00615E2D" w:rsidRDefault="00C83E46">
            <w:pPr>
              <w:pStyle w:val="P68B1DB1-Normal57"/>
              <w:spacing w:before="0" w:after="0" w:line="240" w:lineRule="auto"/>
              <w:jc w:val="center"/>
              <w:rPr>
                <w:noProof/>
              </w:rPr>
            </w:pPr>
            <w:r>
              <w:rPr>
                <w:noProof/>
              </w:rPr>
              <w:t>101</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10A8EC50"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3B7E6B91" w14:textId="77777777" w:rsidR="00615E2D" w:rsidRDefault="00C83E46">
            <w:pPr>
              <w:pStyle w:val="P68B1DB1-Normal57"/>
              <w:spacing w:before="0" w:after="0" w:line="240" w:lineRule="auto"/>
              <w:jc w:val="center"/>
              <w:rPr>
                <w:noProof/>
              </w:rPr>
            </w:pPr>
            <w:r>
              <w:rPr>
                <w:noProof/>
              </w:rPr>
              <w:t>Ciljna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7BF15D7C" w14:textId="77777777" w:rsidR="00615E2D" w:rsidRDefault="00C83E46">
            <w:pPr>
              <w:pStyle w:val="P68B1DB1-Normal57"/>
              <w:spacing w:before="0" w:after="0" w:line="240" w:lineRule="auto"/>
              <w:jc w:val="center"/>
              <w:rPr>
                <w:noProof/>
              </w:rPr>
            </w:pPr>
            <w:r>
              <w:rPr>
                <w:noProof/>
              </w:rPr>
              <w:t>Dovršetak moderniziranih željezničkih mostova ili tunela</w:t>
            </w:r>
          </w:p>
        </w:tc>
      </w:tr>
      <w:tr w:rsidR="00615E2D" w14:paraId="2E8384E5" w14:textId="77777777">
        <w:trPr>
          <w:trHeight w:val="600"/>
        </w:trPr>
        <w:tc>
          <w:tcPr>
            <w:tcW w:w="129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22F6A40" w14:textId="77777777" w:rsidR="00615E2D" w:rsidRDefault="00C83E46">
            <w:pPr>
              <w:pStyle w:val="P68B1DB1-Normal56"/>
              <w:spacing w:before="0" w:after="0" w:line="240" w:lineRule="auto"/>
              <w:jc w:val="center"/>
              <w:rPr>
                <w:noProof/>
              </w:rPr>
            </w:pPr>
            <w:r>
              <w:rPr>
                <w:noProof/>
              </w:rPr>
              <w:t>108</w:t>
            </w:r>
          </w:p>
        </w:tc>
        <w:tc>
          <w:tcPr>
            <w:tcW w:w="3975"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00BF9AF" w14:textId="2E0004BC" w:rsidR="00615E2D" w:rsidRDefault="00C83E46">
            <w:pPr>
              <w:pStyle w:val="P68B1DB1-Normal57"/>
              <w:spacing w:before="0" w:after="0" w:line="240" w:lineRule="auto"/>
              <w:jc w:val="center"/>
              <w:rPr>
                <w:noProof/>
              </w:rPr>
            </w:pPr>
            <w:r>
              <w:rPr>
                <w:noProof/>
              </w:rPr>
              <w:t>C 2.2: Smanjenje potrošnje energije u javnom sektoru – ulaganje 3: Poboljšanje energetske učinkovitosti javnih zgrada</w:t>
            </w:r>
          </w:p>
        </w:tc>
        <w:tc>
          <w:tcPr>
            <w:tcW w:w="180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6767FA5" w14:textId="77777777" w:rsidR="00615E2D" w:rsidRDefault="00C83E46">
            <w:pPr>
              <w:pStyle w:val="P68B1DB1-Normal57"/>
              <w:spacing w:before="0" w:after="0" w:line="240" w:lineRule="auto"/>
              <w:jc w:val="center"/>
              <w:rPr>
                <w:noProof/>
              </w:rPr>
            </w:pPr>
            <w:r>
              <w:rPr>
                <w:noProof/>
              </w:rPr>
              <w:t>Ciljna</w:t>
            </w:r>
          </w:p>
        </w:tc>
        <w:tc>
          <w:tcPr>
            <w:tcW w:w="3220"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B0BCB50" w14:textId="77777777" w:rsidR="00615E2D" w:rsidRDefault="00C83E46">
            <w:pPr>
              <w:pStyle w:val="P68B1DB1-Normal56"/>
              <w:spacing w:before="0" w:after="0" w:line="240" w:lineRule="auto"/>
              <w:jc w:val="center"/>
              <w:rPr>
                <w:noProof/>
              </w:rPr>
            </w:pPr>
            <w:r>
              <w:rPr>
                <w:noProof/>
              </w:rPr>
              <w:t>Dodjela 75 % svih ugovora o javnoj nabavi za projekte obnove zgrada kojima se ostvaruje ušteda primarne energije od najmanje 30 %</w:t>
            </w:r>
          </w:p>
        </w:tc>
      </w:tr>
      <w:tr w:rsidR="00615E2D" w14:paraId="5AA60FF6" w14:textId="77777777">
        <w:trPr>
          <w:trHeight w:val="600"/>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7215043D" w14:textId="77777777" w:rsidR="00615E2D" w:rsidRDefault="00C83E46">
            <w:pPr>
              <w:pStyle w:val="P68B1DB1-Normal56"/>
              <w:spacing w:before="0" w:after="0" w:line="240" w:lineRule="auto"/>
              <w:jc w:val="center"/>
              <w:rPr>
                <w:noProof/>
              </w:rPr>
            </w:pPr>
            <w:r>
              <w:rPr>
                <w:noProof/>
              </w:rPr>
              <w:t>136</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2B5091FF" w14:textId="77777777" w:rsidR="00615E2D" w:rsidRDefault="00C83E46">
            <w:pPr>
              <w:pStyle w:val="P68B1DB1-Normal57"/>
              <w:spacing w:before="0" w:after="0" w:line="240" w:lineRule="auto"/>
              <w:jc w:val="center"/>
              <w:rPr>
                <w:noProof/>
              </w:rPr>
            </w:pPr>
            <w:r>
              <w:rPr>
                <w:noProof/>
              </w:rPr>
              <w:t xml:space="preserve">C 2.6.: Zaštita prirode i prilagodba klimatskim promjenama – ulaganje 2: Mali vodotoci i spremnici vode </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4CFDA499" w14:textId="77777777" w:rsidR="00615E2D" w:rsidRDefault="00C83E46">
            <w:pPr>
              <w:pStyle w:val="P68B1DB1-Normal57"/>
              <w:spacing w:before="0" w:after="0" w:line="240" w:lineRule="auto"/>
              <w:jc w:val="center"/>
              <w:rPr>
                <w:noProof/>
              </w:rPr>
            </w:pPr>
            <w:r>
              <w:rPr>
                <w:noProof/>
              </w:rPr>
              <w:t>Ciljna</w:t>
            </w:r>
          </w:p>
        </w:tc>
        <w:tc>
          <w:tcPr>
            <w:tcW w:w="3220" w:type="dxa"/>
            <w:tcBorders>
              <w:top w:val="nil"/>
              <w:left w:val="nil"/>
              <w:bottom w:val="single" w:sz="8" w:space="0" w:color="000000" w:themeColor="text1"/>
              <w:right w:val="single" w:sz="8" w:space="0" w:color="auto"/>
            </w:tcBorders>
            <w:shd w:val="clear" w:color="auto" w:fill="C6EFCE"/>
            <w:vAlign w:val="center"/>
            <w:hideMark/>
          </w:tcPr>
          <w:p w14:paraId="39A06DEE" w14:textId="77777777" w:rsidR="00615E2D" w:rsidRDefault="00C83E46">
            <w:pPr>
              <w:pStyle w:val="P68B1DB1-Normal56"/>
              <w:spacing w:before="0" w:after="0" w:line="240" w:lineRule="auto"/>
              <w:jc w:val="center"/>
              <w:rPr>
                <w:noProof/>
              </w:rPr>
            </w:pPr>
            <w:r>
              <w:rPr>
                <w:noProof/>
              </w:rPr>
              <w:t xml:space="preserve">T2: Završetak dodatnih 50 % malih vodotoka i spremnika vode </w:t>
            </w:r>
          </w:p>
        </w:tc>
      </w:tr>
      <w:tr w:rsidR="00615E2D" w14:paraId="0F4C3528" w14:textId="77777777">
        <w:trPr>
          <w:trHeight w:val="600"/>
        </w:trPr>
        <w:tc>
          <w:tcPr>
            <w:tcW w:w="1290"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DE88C6A" w14:textId="77777777" w:rsidR="00615E2D" w:rsidRDefault="00C83E46">
            <w:pPr>
              <w:pStyle w:val="P68B1DB1-Normal57"/>
              <w:spacing w:before="0" w:after="0" w:line="240" w:lineRule="auto"/>
              <w:jc w:val="center"/>
              <w:rPr>
                <w:noProof/>
              </w:rPr>
            </w:pPr>
            <w:r>
              <w:rPr>
                <w:noProof/>
              </w:rPr>
              <w:t>145</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2D5F7DAD" w14:textId="77777777" w:rsidR="00615E2D" w:rsidRDefault="00C83E46">
            <w:pPr>
              <w:pStyle w:val="P68B1DB1-Normal57"/>
              <w:spacing w:before="0" w:after="0" w:line="240" w:lineRule="auto"/>
              <w:jc w:val="center"/>
              <w:rPr>
                <w:noProof/>
              </w:rPr>
            </w:pPr>
            <w:r>
              <w:rPr>
                <w:noProof/>
              </w:rPr>
              <w:t>C 2.7.: Kružno gospodarstvo, recikliranje i industrijska voda – reforma 1.: Provedba novog zakonodavstva o gospodarenju otpadom u Češkoj Republici</w:t>
            </w:r>
          </w:p>
        </w:tc>
        <w:tc>
          <w:tcPr>
            <w:tcW w:w="1800" w:type="dxa"/>
            <w:tcBorders>
              <w:top w:val="single" w:sz="8" w:space="0" w:color="000000" w:themeColor="text1"/>
              <w:left w:val="nil"/>
              <w:bottom w:val="single" w:sz="8" w:space="0" w:color="000000" w:themeColor="text1"/>
              <w:right w:val="single" w:sz="8" w:space="0" w:color="000000" w:themeColor="text1"/>
            </w:tcBorders>
            <w:shd w:val="clear" w:color="auto" w:fill="C6EFCE"/>
            <w:vAlign w:val="center"/>
            <w:hideMark/>
          </w:tcPr>
          <w:p w14:paraId="43650E0B" w14:textId="77777777" w:rsidR="00615E2D" w:rsidRDefault="00C83E46">
            <w:pPr>
              <w:pStyle w:val="P68B1DB1-Normal57"/>
              <w:spacing w:before="0" w:after="0" w:line="240" w:lineRule="auto"/>
              <w:jc w:val="center"/>
              <w:rPr>
                <w:noProof/>
              </w:rPr>
            </w:pPr>
            <w:r>
              <w:rPr>
                <w:noProof/>
              </w:rPr>
              <w:t>Prekretnica</w:t>
            </w:r>
          </w:p>
        </w:tc>
        <w:tc>
          <w:tcPr>
            <w:tcW w:w="3220" w:type="dxa"/>
            <w:tcBorders>
              <w:top w:val="single" w:sz="8" w:space="0" w:color="000000" w:themeColor="text1"/>
              <w:left w:val="nil"/>
              <w:bottom w:val="single" w:sz="8" w:space="0" w:color="000000" w:themeColor="text1"/>
              <w:right w:val="single" w:sz="8" w:space="0" w:color="auto"/>
            </w:tcBorders>
            <w:shd w:val="clear" w:color="auto" w:fill="C6EFCE"/>
            <w:vAlign w:val="center"/>
            <w:hideMark/>
          </w:tcPr>
          <w:p w14:paraId="16D89EAE" w14:textId="77777777" w:rsidR="00615E2D" w:rsidRDefault="00C83E46">
            <w:pPr>
              <w:pStyle w:val="P68B1DB1-Normal57"/>
              <w:spacing w:before="0" w:after="0" w:line="240" w:lineRule="auto"/>
              <w:jc w:val="center"/>
              <w:rPr>
                <w:noProof/>
              </w:rPr>
            </w:pPr>
            <w:r>
              <w:rPr>
                <w:noProof/>
              </w:rPr>
              <w:t>Stupanje na snagu nacionalnog i regionalnog plana gospodarenja otpadom</w:t>
            </w:r>
          </w:p>
        </w:tc>
      </w:tr>
      <w:tr w:rsidR="00615E2D" w14:paraId="5902F026" w14:textId="77777777">
        <w:trPr>
          <w:trHeight w:val="405"/>
        </w:trPr>
        <w:tc>
          <w:tcPr>
            <w:tcW w:w="1290" w:type="dxa"/>
            <w:tcBorders>
              <w:top w:val="nil"/>
              <w:left w:val="single" w:sz="8" w:space="0" w:color="auto"/>
              <w:bottom w:val="nil"/>
              <w:right w:val="single" w:sz="8" w:space="0" w:color="000000" w:themeColor="text1"/>
            </w:tcBorders>
            <w:shd w:val="clear" w:color="auto" w:fill="C6EFCE"/>
            <w:vAlign w:val="center"/>
            <w:hideMark/>
          </w:tcPr>
          <w:p w14:paraId="799FFEFE" w14:textId="77777777" w:rsidR="00615E2D" w:rsidRDefault="00C83E46">
            <w:pPr>
              <w:pStyle w:val="P68B1DB1-Normal56"/>
              <w:spacing w:before="0" w:after="0" w:line="240" w:lineRule="auto"/>
              <w:jc w:val="center"/>
              <w:rPr>
                <w:noProof/>
              </w:rPr>
            </w:pPr>
            <w:r>
              <w:rPr>
                <w:noProof/>
              </w:rPr>
              <w:t>154</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0A0650B6" w14:textId="77777777" w:rsidR="00615E2D" w:rsidRDefault="00C83E46">
            <w:pPr>
              <w:pStyle w:val="P68B1DB1-Normal57"/>
              <w:spacing w:before="0" w:after="0" w:line="240" w:lineRule="auto"/>
              <w:jc w:val="center"/>
              <w:rPr>
                <w:noProof/>
              </w:rPr>
            </w:pPr>
            <w:r>
              <w:rPr>
                <w:noProof/>
              </w:rPr>
              <w:t>C 2.8.: Oživljavanje neiskorištenih područja – ulaganje 1: Potpora za revitalizaciju određenih područja</w:t>
            </w:r>
          </w:p>
        </w:tc>
        <w:tc>
          <w:tcPr>
            <w:tcW w:w="1800"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2F53021A" w14:textId="77777777" w:rsidR="00615E2D" w:rsidRDefault="00C83E46">
            <w:pPr>
              <w:pStyle w:val="P68B1DB1-Normal57"/>
              <w:spacing w:before="0" w:after="0" w:line="240" w:lineRule="auto"/>
              <w:jc w:val="center"/>
              <w:rPr>
                <w:noProof/>
              </w:rPr>
            </w:pPr>
            <w:r>
              <w:rPr>
                <w:noProof/>
              </w:rPr>
              <w:t>Prekretnica</w:t>
            </w:r>
          </w:p>
        </w:tc>
        <w:tc>
          <w:tcPr>
            <w:tcW w:w="3220" w:type="dxa"/>
            <w:tcBorders>
              <w:top w:val="single" w:sz="8" w:space="0" w:color="000000" w:themeColor="text1"/>
              <w:left w:val="nil"/>
              <w:bottom w:val="single" w:sz="4" w:space="0" w:color="auto"/>
              <w:right w:val="single" w:sz="8" w:space="0" w:color="auto"/>
            </w:tcBorders>
            <w:shd w:val="clear" w:color="auto" w:fill="C6EFCE"/>
            <w:vAlign w:val="center"/>
            <w:hideMark/>
          </w:tcPr>
          <w:p w14:paraId="1E846AD3" w14:textId="35B72863" w:rsidR="00615E2D" w:rsidRDefault="00C83E46">
            <w:pPr>
              <w:pStyle w:val="P68B1DB1-Normal56"/>
              <w:spacing w:before="0" w:after="0" w:line="240" w:lineRule="auto"/>
              <w:jc w:val="center"/>
              <w:rPr>
                <w:noProof/>
              </w:rPr>
            </w:pPr>
            <w:r>
              <w:rPr>
                <w:noProof/>
              </w:rPr>
              <w:t xml:space="preserve">Stupanje na snagu svih ugovora o subvenciji između Državnog investicijskog fonda i odabranih nositelja napuštenih ili neiskorištenih industrijskih projekata  </w:t>
            </w:r>
          </w:p>
        </w:tc>
      </w:tr>
      <w:tr w:rsidR="00615E2D" w14:paraId="2D9652A4" w14:textId="77777777">
        <w:trPr>
          <w:trHeight w:val="600"/>
        </w:trPr>
        <w:tc>
          <w:tcPr>
            <w:tcW w:w="1290"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60C3D74A" w14:textId="77777777" w:rsidR="00615E2D" w:rsidRDefault="00C83E46">
            <w:pPr>
              <w:pStyle w:val="P68B1DB1-Normal56"/>
              <w:spacing w:before="0" w:after="0" w:line="240" w:lineRule="auto"/>
              <w:jc w:val="center"/>
              <w:rPr>
                <w:noProof/>
              </w:rPr>
            </w:pPr>
            <w:r>
              <w:rPr>
                <w:noProof/>
              </w:rPr>
              <w:t>156</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54272AE4" w14:textId="77777777" w:rsidR="00615E2D" w:rsidRDefault="00C83E46">
            <w:pPr>
              <w:pStyle w:val="P68B1DB1-Normal57"/>
              <w:spacing w:before="0" w:after="0" w:line="240" w:lineRule="auto"/>
              <w:jc w:val="center"/>
              <w:rPr>
                <w:noProof/>
              </w:rPr>
            </w:pPr>
            <w:r>
              <w:rPr>
                <w:noProof/>
              </w:rPr>
              <w:t>C 2.8.: Revitalizacija neiskorištenih područja – ulaganje 2: Potpora revitalizaciji područja u javnom vlasništvu za neposlovnu uporabu</w:t>
            </w:r>
          </w:p>
        </w:tc>
        <w:tc>
          <w:tcPr>
            <w:tcW w:w="1800"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7DA55413" w14:textId="77777777" w:rsidR="00615E2D" w:rsidRDefault="00C83E46">
            <w:pPr>
              <w:pStyle w:val="P68B1DB1-Normal57"/>
              <w:spacing w:before="0" w:after="0" w:line="240" w:lineRule="auto"/>
              <w:jc w:val="center"/>
              <w:rPr>
                <w:noProof/>
              </w:rPr>
            </w:pPr>
            <w:r>
              <w:rPr>
                <w:noProof/>
              </w:rPr>
              <w:t>Prekretnica</w:t>
            </w:r>
          </w:p>
        </w:tc>
        <w:tc>
          <w:tcPr>
            <w:tcW w:w="3220" w:type="dxa"/>
            <w:tcBorders>
              <w:top w:val="single" w:sz="4" w:space="0" w:color="auto"/>
              <w:left w:val="nil"/>
              <w:bottom w:val="single" w:sz="8" w:space="0" w:color="auto"/>
              <w:right w:val="single" w:sz="8" w:space="0" w:color="auto"/>
            </w:tcBorders>
            <w:shd w:val="clear" w:color="auto" w:fill="C6EFCE"/>
            <w:vAlign w:val="center"/>
            <w:hideMark/>
          </w:tcPr>
          <w:p w14:paraId="4A9768A5" w14:textId="67AF85BE" w:rsidR="00615E2D" w:rsidRDefault="00C83E46">
            <w:pPr>
              <w:pStyle w:val="P68B1DB1-Normal56"/>
              <w:spacing w:before="0" w:after="0" w:line="240" w:lineRule="auto"/>
              <w:jc w:val="center"/>
              <w:rPr>
                <w:noProof/>
              </w:rPr>
            </w:pPr>
            <w:r>
              <w:rPr>
                <w:noProof/>
              </w:rPr>
              <w:t xml:space="preserve">Stupanje na snagu svih ugovora između Državnog investicijskog fonda i odabranih nositelja neiskorištenih industrijskih projekata  </w:t>
            </w:r>
          </w:p>
        </w:tc>
      </w:tr>
      <w:tr w:rsidR="00615E2D" w14:paraId="14733457" w14:textId="77777777">
        <w:trPr>
          <w:trHeight w:val="600"/>
        </w:trPr>
        <w:tc>
          <w:tcPr>
            <w:tcW w:w="1290" w:type="dxa"/>
            <w:tcBorders>
              <w:top w:val="nil"/>
              <w:left w:val="single" w:sz="8" w:space="0" w:color="auto"/>
              <w:bottom w:val="single" w:sz="4" w:space="0" w:color="auto"/>
              <w:right w:val="single" w:sz="8" w:space="0" w:color="000000" w:themeColor="text1"/>
            </w:tcBorders>
            <w:shd w:val="clear" w:color="auto" w:fill="C6EFCE"/>
            <w:vAlign w:val="center"/>
            <w:hideMark/>
          </w:tcPr>
          <w:p w14:paraId="7AED291A" w14:textId="7FA685D4" w:rsidR="00615E2D" w:rsidRDefault="00C83E46">
            <w:pPr>
              <w:pStyle w:val="P68B1DB1-Normal56"/>
              <w:spacing w:before="0" w:after="0" w:line="240" w:lineRule="auto"/>
              <w:jc w:val="center"/>
              <w:rPr>
                <w:noProof/>
              </w:rPr>
            </w:pPr>
            <w:r>
              <w:rPr>
                <w:noProof/>
              </w:rPr>
              <w:t>158</w:t>
            </w:r>
          </w:p>
        </w:tc>
        <w:tc>
          <w:tcPr>
            <w:tcW w:w="3975" w:type="dxa"/>
            <w:tcBorders>
              <w:top w:val="nil"/>
              <w:left w:val="nil"/>
              <w:bottom w:val="single" w:sz="4" w:space="0" w:color="auto"/>
              <w:right w:val="single" w:sz="8" w:space="0" w:color="000000" w:themeColor="text1"/>
            </w:tcBorders>
            <w:shd w:val="clear" w:color="auto" w:fill="C6EFCE"/>
            <w:vAlign w:val="center"/>
            <w:hideMark/>
          </w:tcPr>
          <w:p w14:paraId="774ECE3E" w14:textId="77777777" w:rsidR="00615E2D" w:rsidRDefault="00C83E46">
            <w:pPr>
              <w:pStyle w:val="P68B1DB1-Normal57"/>
              <w:spacing w:before="0" w:after="0" w:line="240" w:lineRule="auto"/>
              <w:jc w:val="center"/>
              <w:rPr>
                <w:noProof/>
              </w:rPr>
            </w:pPr>
            <w:r>
              <w:rPr>
                <w:noProof/>
              </w:rPr>
              <w:t>C 2.8.: Revitalizacija neiskorištenih područja – ulaganje 3: Potpora za revitalizaciju područja u javnom vlasništvu za poslovnu uporabu</w:t>
            </w:r>
          </w:p>
        </w:tc>
        <w:tc>
          <w:tcPr>
            <w:tcW w:w="1800" w:type="dxa"/>
            <w:tcBorders>
              <w:top w:val="nil"/>
              <w:left w:val="nil"/>
              <w:bottom w:val="single" w:sz="4" w:space="0" w:color="auto"/>
              <w:right w:val="single" w:sz="8" w:space="0" w:color="000000" w:themeColor="text1"/>
            </w:tcBorders>
            <w:shd w:val="clear" w:color="auto" w:fill="C6EFCE"/>
            <w:vAlign w:val="center"/>
            <w:hideMark/>
          </w:tcPr>
          <w:p w14:paraId="254B0DD9"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4" w:space="0" w:color="auto"/>
              <w:right w:val="single" w:sz="8" w:space="0" w:color="auto"/>
            </w:tcBorders>
            <w:shd w:val="clear" w:color="auto" w:fill="C6EFCE"/>
            <w:vAlign w:val="center"/>
            <w:hideMark/>
          </w:tcPr>
          <w:p w14:paraId="4B5EF1E8" w14:textId="78F2AE8D" w:rsidR="00615E2D" w:rsidRDefault="00C83E46">
            <w:pPr>
              <w:pStyle w:val="P68B1DB1-Normal56"/>
              <w:spacing w:before="0" w:after="0" w:line="240" w:lineRule="auto"/>
              <w:jc w:val="center"/>
              <w:rPr>
                <w:noProof/>
              </w:rPr>
            </w:pPr>
            <w:r>
              <w:rPr>
                <w:noProof/>
              </w:rPr>
              <w:t xml:space="preserve">Stupanje na snagu svih ugovora o javnoj nabavi za obnovu napuštenih industrijskih područja u javnom vlasništvu za poslovnu uporabu  </w:t>
            </w:r>
          </w:p>
        </w:tc>
      </w:tr>
      <w:tr w:rsidR="00615E2D" w14:paraId="56D9CA32" w14:textId="77777777">
        <w:trPr>
          <w:trHeight w:val="405"/>
        </w:trPr>
        <w:tc>
          <w:tcPr>
            <w:tcW w:w="1290" w:type="dxa"/>
            <w:tcBorders>
              <w:top w:val="single" w:sz="4" w:space="0" w:color="auto"/>
              <w:left w:val="single" w:sz="8" w:space="0" w:color="auto"/>
              <w:bottom w:val="single" w:sz="8" w:space="0" w:color="auto"/>
              <w:right w:val="single" w:sz="8" w:space="0" w:color="000000" w:themeColor="text1"/>
            </w:tcBorders>
            <w:shd w:val="clear" w:color="auto" w:fill="C6EFCE"/>
            <w:vAlign w:val="center"/>
            <w:hideMark/>
          </w:tcPr>
          <w:p w14:paraId="22ABA607" w14:textId="77777777" w:rsidR="00615E2D" w:rsidRDefault="00C83E46">
            <w:pPr>
              <w:pStyle w:val="P68B1DB1-Normal56"/>
              <w:spacing w:before="0" w:after="0" w:line="240" w:lineRule="auto"/>
              <w:jc w:val="center"/>
              <w:rPr>
                <w:noProof/>
              </w:rPr>
            </w:pPr>
            <w:r>
              <w:rPr>
                <w:noProof/>
              </w:rPr>
              <w:t>183</w:t>
            </w:r>
          </w:p>
        </w:tc>
        <w:tc>
          <w:tcPr>
            <w:tcW w:w="3975"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2E0D2BC4" w14:textId="77777777" w:rsidR="00615E2D" w:rsidRDefault="00C83E46">
            <w:pPr>
              <w:pStyle w:val="P68B1DB1-Normal57"/>
              <w:spacing w:before="0" w:after="0" w:line="240" w:lineRule="auto"/>
              <w:jc w:val="center"/>
              <w:rPr>
                <w:noProof/>
              </w:rPr>
            </w:pPr>
            <w:r>
              <w:rPr>
                <w:noProof/>
              </w:rPr>
              <w:t xml:space="preserve">C 3.2.: Prilagodba školskih programa – ulaganje 2: Mentorstvo učenika </w:t>
            </w:r>
          </w:p>
        </w:tc>
        <w:tc>
          <w:tcPr>
            <w:tcW w:w="1800"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4A54D425" w14:textId="77777777" w:rsidR="00615E2D" w:rsidRDefault="00C83E46">
            <w:pPr>
              <w:pStyle w:val="P68B1DB1-Normal57"/>
              <w:spacing w:before="0" w:after="0" w:line="240" w:lineRule="auto"/>
              <w:jc w:val="center"/>
              <w:rPr>
                <w:noProof/>
              </w:rPr>
            </w:pPr>
            <w:r>
              <w:rPr>
                <w:noProof/>
              </w:rPr>
              <w:t>Ciljna</w:t>
            </w:r>
          </w:p>
        </w:tc>
        <w:tc>
          <w:tcPr>
            <w:tcW w:w="3220" w:type="dxa"/>
            <w:tcBorders>
              <w:top w:val="single" w:sz="4" w:space="0" w:color="auto"/>
              <w:left w:val="nil"/>
              <w:bottom w:val="single" w:sz="8" w:space="0" w:color="auto"/>
              <w:right w:val="single" w:sz="8" w:space="0" w:color="auto"/>
            </w:tcBorders>
            <w:shd w:val="clear" w:color="auto" w:fill="C6EFCE"/>
            <w:vAlign w:val="center"/>
            <w:hideMark/>
          </w:tcPr>
          <w:p w14:paraId="335B7665" w14:textId="0DB14A3F" w:rsidR="00615E2D" w:rsidRDefault="00C83E46">
            <w:pPr>
              <w:pStyle w:val="P68B1DB1-Normal57"/>
              <w:spacing w:before="0" w:after="0" w:line="240" w:lineRule="auto"/>
              <w:jc w:val="center"/>
              <w:rPr>
                <w:noProof/>
              </w:rPr>
            </w:pPr>
            <w:r>
              <w:rPr>
                <w:noProof/>
              </w:rPr>
              <w:t xml:space="preserve">Broj pojedinačnih upisa za poduku   </w:t>
            </w:r>
          </w:p>
        </w:tc>
      </w:tr>
      <w:tr w:rsidR="00615E2D" w14:paraId="19289533" w14:textId="77777777">
        <w:trPr>
          <w:trHeight w:val="600"/>
        </w:trPr>
        <w:tc>
          <w:tcPr>
            <w:tcW w:w="1290" w:type="dxa"/>
            <w:tcBorders>
              <w:top w:val="nil"/>
              <w:left w:val="single" w:sz="8" w:space="0" w:color="auto"/>
              <w:bottom w:val="nil"/>
              <w:right w:val="single" w:sz="8" w:space="0" w:color="000000" w:themeColor="text1"/>
            </w:tcBorders>
            <w:shd w:val="clear" w:color="auto" w:fill="C6EFCE"/>
            <w:vAlign w:val="center"/>
            <w:hideMark/>
          </w:tcPr>
          <w:p w14:paraId="7C2EC145" w14:textId="77777777" w:rsidR="00615E2D" w:rsidRDefault="00C83E46">
            <w:pPr>
              <w:pStyle w:val="P68B1DB1-Normal57"/>
              <w:spacing w:before="0" w:after="0" w:line="240" w:lineRule="auto"/>
              <w:jc w:val="center"/>
              <w:rPr>
                <w:noProof/>
              </w:rPr>
            </w:pPr>
            <w:r>
              <w:rPr>
                <w:noProof/>
              </w:rPr>
              <w:t>186</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28B95D7E" w14:textId="77777777" w:rsidR="00615E2D" w:rsidRDefault="00C83E46">
            <w:pPr>
              <w:pStyle w:val="P68B1DB1-Normal57"/>
              <w:spacing w:before="0" w:after="0" w:line="240" w:lineRule="auto"/>
              <w:jc w:val="center"/>
              <w:rPr>
                <w:noProof/>
              </w:rPr>
            </w:pPr>
            <w:r>
              <w:rPr>
                <w:noProof/>
              </w:rPr>
              <w:t>C 3.3: Modernizacija službi za zapošljavanje i razvoj tržišta rada – reforma 1.: Razvoj politika tržišta rada</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6A447420"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nil"/>
              <w:right w:val="single" w:sz="8" w:space="0" w:color="auto"/>
            </w:tcBorders>
            <w:shd w:val="clear" w:color="auto" w:fill="C6EFCE"/>
            <w:vAlign w:val="center"/>
            <w:hideMark/>
          </w:tcPr>
          <w:p w14:paraId="5F27E928" w14:textId="77777777" w:rsidR="00615E2D" w:rsidRDefault="00C83E46">
            <w:pPr>
              <w:pStyle w:val="P68B1DB1-Normal57"/>
              <w:spacing w:before="0" w:after="0" w:line="240" w:lineRule="auto"/>
              <w:jc w:val="center"/>
              <w:rPr>
                <w:noProof/>
              </w:rPr>
            </w:pPr>
            <w:r>
              <w:rPr>
                <w:noProof/>
              </w:rPr>
              <w:t>Baza podataka o tečajevima prekvalifikacije i usavršavanja</w:t>
            </w:r>
          </w:p>
        </w:tc>
      </w:tr>
      <w:tr w:rsidR="00615E2D" w14:paraId="2882E634" w14:textId="77777777">
        <w:trPr>
          <w:trHeight w:val="600"/>
        </w:trPr>
        <w:tc>
          <w:tcPr>
            <w:tcW w:w="1290" w:type="dxa"/>
            <w:tcBorders>
              <w:top w:val="single" w:sz="8" w:space="0" w:color="000000" w:themeColor="text1"/>
              <w:left w:val="single" w:sz="8" w:space="0" w:color="auto"/>
              <w:bottom w:val="single" w:sz="8" w:space="0" w:color="auto"/>
              <w:right w:val="single" w:sz="8" w:space="0" w:color="000000" w:themeColor="text1"/>
            </w:tcBorders>
            <w:shd w:val="clear" w:color="auto" w:fill="C6EFCE"/>
            <w:vAlign w:val="center"/>
            <w:hideMark/>
          </w:tcPr>
          <w:p w14:paraId="44F08E0F" w14:textId="77777777" w:rsidR="00615E2D" w:rsidRDefault="00C83E46">
            <w:pPr>
              <w:pStyle w:val="P68B1DB1-Normal57"/>
              <w:spacing w:before="0" w:after="0" w:line="240" w:lineRule="auto"/>
              <w:jc w:val="center"/>
              <w:rPr>
                <w:noProof/>
              </w:rPr>
            </w:pPr>
            <w:r>
              <w:rPr>
                <w:noProof/>
              </w:rPr>
              <w:t>192</w:t>
            </w:r>
          </w:p>
        </w:tc>
        <w:tc>
          <w:tcPr>
            <w:tcW w:w="3975" w:type="dxa"/>
            <w:tcBorders>
              <w:top w:val="nil"/>
              <w:left w:val="nil"/>
              <w:bottom w:val="single" w:sz="8" w:space="0" w:color="000000" w:themeColor="text1"/>
              <w:right w:val="single" w:sz="8" w:space="0" w:color="000000" w:themeColor="text1"/>
            </w:tcBorders>
            <w:shd w:val="clear" w:color="auto" w:fill="C6EFCE"/>
            <w:vAlign w:val="center"/>
            <w:hideMark/>
          </w:tcPr>
          <w:p w14:paraId="5B86A8B1" w14:textId="77777777" w:rsidR="00615E2D" w:rsidRDefault="00C83E46">
            <w:pPr>
              <w:pStyle w:val="P68B1DB1-Normal57"/>
              <w:spacing w:before="0" w:after="0" w:line="240" w:lineRule="auto"/>
              <w:jc w:val="center"/>
              <w:rPr>
                <w:noProof/>
              </w:rPr>
            </w:pPr>
            <w:r>
              <w:rPr>
                <w:noProof/>
              </w:rPr>
              <w:t xml:space="preserve">C 3.3: Modernizacija službi za zapošljavanje i razvoj tržišta rada – reforma 2.: Osiguravanje održivosti financiranja ustanova za skrb o djeci </w:t>
            </w:r>
          </w:p>
        </w:tc>
        <w:tc>
          <w:tcPr>
            <w:tcW w:w="1800" w:type="dxa"/>
            <w:tcBorders>
              <w:top w:val="nil"/>
              <w:left w:val="nil"/>
              <w:bottom w:val="single" w:sz="8" w:space="0" w:color="000000" w:themeColor="text1"/>
              <w:right w:val="single" w:sz="8" w:space="0" w:color="000000" w:themeColor="text1"/>
            </w:tcBorders>
            <w:shd w:val="clear" w:color="auto" w:fill="C6EFCE"/>
            <w:vAlign w:val="center"/>
            <w:hideMark/>
          </w:tcPr>
          <w:p w14:paraId="580286EF" w14:textId="77777777" w:rsidR="00615E2D" w:rsidRDefault="00C83E46">
            <w:pPr>
              <w:pStyle w:val="P68B1DB1-Normal57"/>
              <w:spacing w:before="0" w:after="0" w:line="240" w:lineRule="auto"/>
              <w:jc w:val="center"/>
              <w:rPr>
                <w:noProof/>
              </w:rPr>
            </w:pPr>
            <w:r>
              <w:rPr>
                <w:noProof/>
              </w:rPr>
              <w:t>Prekretnica</w:t>
            </w:r>
          </w:p>
        </w:tc>
        <w:tc>
          <w:tcPr>
            <w:tcW w:w="3220" w:type="dxa"/>
            <w:tcBorders>
              <w:top w:val="single" w:sz="8" w:space="0" w:color="000000" w:themeColor="text1"/>
              <w:left w:val="nil"/>
              <w:bottom w:val="single" w:sz="8" w:space="0" w:color="auto"/>
              <w:right w:val="single" w:sz="8" w:space="0" w:color="auto"/>
            </w:tcBorders>
            <w:shd w:val="clear" w:color="auto" w:fill="C6EFCE"/>
            <w:vAlign w:val="center"/>
            <w:hideMark/>
          </w:tcPr>
          <w:p w14:paraId="73FF6998" w14:textId="23A481AD" w:rsidR="00615E2D" w:rsidRDefault="00C83E46">
            <w:pPr>
              <w:pStyle w:val="P68B1DB1-Normal57"/>
              <w:spacing w:before="0" w:after="0" w:line="240" w:lineRule="auto"/>
              <w:jc w:val="center"/>
              <w:rPr>
                <w:noProof/>
              </w:rPr>
            </w:pPr>
            <w:r>
              <w:rPr>
                <w:noProof/>
              </w:rPr>
              <w:t xml:space="preserve">Stupanje na snagu zakona o skrbi o djeci (izmjena Zakona br. 247/2014 o pružanju usluga skrbi o djeci u dječjoj skupini) </w:t>
            </w:r>
          </w:p>
        </w:tc>
      </w:tr>
      <w:tr w:rsidR="00615E2D" w14:paraId="287073C2" w14:textId="77777777">
        <w:trPr>
          <w:trHeight w:val="600"/>
        </w:trPr>
        <w:tc>
          <w:tcPr>
            <w:tcW w:w="1290" w:type="dxa"/>
            <w:tcBorders>
              <w:top w:val="single" w:sz="8" w:space="0" w:color="auto"/>
              <w:left w:val="single" w:sz="8" w:space="0" w:color="auto"/>
              <w:bottom w:val="single" w:sz="4" w:space="0" w:color="auto"/>
              <w:right w:val="single" w:sz="8" w:space="0" w:color="000000" w:themeColor="text1"/>
            </w:tcBorders>
            <w:shd w:val="clear" w:color="auto" w:fill="C6EFCE"/>
            <w:vAlign w:val="center"/>
            <w:hideMark/>
          </w:tcPr>
          <w:p w14:paraId="40C627A4" w14:textId="77777777" w:rsidR="00615E2D" w:rsidRDefault="00C83E46">
            <w:pPr>
              <w:pStyle w:val="P68B1DB1-Normal57"/>
              <w:spacing w:before="0" w:after="0" w:line="240" w:lineRule="auto"/>
              <w:jc w:val="center"/>
              <w:rPr>
                <w:noProof/>
              </w:rPr>
            </w:pPr>
            <w:r>
              <w:rPr>
                <w:noProof/>
              </w:rPr>
              <w:t>193</w:t>
            </w:r>
          </w:p>
        </w:tc>
        <w:tc>
          <w:tcPr>
            <w:tcW w:w="3975"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0CEB94C0" w14:textId="77777777" w:rsidR="00615E2D" w:rsidRDefault="00C83E46">
            <w:pPr>
              <w:pStyle w:val="P68B1DB1-Normal57"/>
              <w:spacing w:before="0" w:after="0" w:line="240" w:lineRule="auto"/>
              <w:jc w:val="center"/>
              <w:rPr>
                <w:noProof/>
              </w:rPr>
            </w:pPr>
            <w:r>
              <w:rPr>
                <w:noProof/>
              </w:rPr>
              <w:t>C 3.3: Modernizacija službi za zapošljavanje i razvoj tržišta rada – reforma 3.: Reforma dugotrajne skrbi</w:t>
            </w:r>
          </w:p>
        </w:tc>
        <w:tc>
          <w:tcPr>
            <w:tcW w:w="1800"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44B638E1" w14:textId="77777777" w:rsidR="00615E2D" w:rsidRDefault="00C83E46">
            <w:pPr>
              <w:pStyle w:val="P68B1DB1-Normal57"/>
              <w:spacing w:before="0" w:after="0" w:line="240" w:lineRule="auto"/>
              <w:jc w:val="center"/>
              <w:rPr>
                <w:noProof/>
              </w:rPr>
            </w:pPr>
            <w:r>
              <w:rPr>
                <w:noProof/>
              </w:rPr>
              <w:t>Prekretnica</w:t>
            </w:r>
          </w:p>
        </w:tc>
        <w:tc>
          <w:tcPr>
            <w:tcW w:w="3220" w:type="dxa"/>
            <w:tcBorders>
              <w:top w:val="single" w:sz="8" w:space="0" w:color="auto"/>
              <w:left w:val="nil"/>
              <w:bottom w:val="single" w:sz="4" w:space="0" w:color="auto"/>
              <w:right w:val="single" w:sz="8" w:space="0" w:color="auto"/>
            </w:tcBorders>
            <w:shd w:val="clear" w:color="auto" w:fill="C6EFCE"/>
            <w:vAlign w:val="center"/>
            <w:hideMark/>
          </w:tcPr>
          <w:p w14:paraId="1DB0F33F" w14:textId="77777777" w:rsidR="00615E2D" w:rsidRDefault="00C83E46">
            <w:pPr>
              <w:pStyle w:val="P68B1DB1-Normal57"/>
              <w:spacing w:before="0" w:after="0" w:line="240" w:lineRule="auto"/>
              <w:jc w:val="center"/>
              <w:rPr>
                <w:noProof/>
              </w:rPr>
            </w:pPr>
            <w:r>
              <w:rPr>
                <w:noProof/>
              </w:rPr>
              <w:t>Stupanje na snagu zakona o dugotrajnoj skrbi</w:t>
            </w:r>
          </w:p>
        </w:tc>
      </w:tr>
      <w:tr w:rsidR="00615E2D" w14:paraId="6A21672C" w14:textId="77777777">
        <w:trPr>
          <w:trHeight w:val="405"/>
        </w:trPr>
        <w:tc>
          <w:tcPr>
            <w:tcW w:w="1290" w:type="dxa"/>
            <w:tcBorders>
              <w:top w:val="single" w:sz="4" w:space="0" w:color="auto"/>
              <w:left w:val="single" w:sz="8" w:space="0" w:color="auto"/>
              <w:bottom w:val="single" w:sz="8" w:space="0" w:color="000000" w:themeColor="text1"/>
              <w:right w:val="single" w:sz="8" w:space="0" w:color="000000" w:themeColor="text1"/>
            </w:tcBorders>
            <w:shd w:val="clear" w:color="auto" w:fill="C6EFCE"/>
            <w:vAlign w:val="center"/>
            <w:hideMark/>
          </w:tcPr>
          <w:p w14:paraId="59211879" w14:textId="51C28BA9" w:rsidR="00615E2D" w:rsidRDefault="00C83E46">
            <w:pPr>
              <w:pStyle w:val="P68B1DB1-Normal57"/>
              <w:spacing w:before="0" w:after="0"/>
              <w:jc w:val="center"/>
              <w:rPr>
                <w:noProof/>
              </w:rPr>
            </w:pPr>
            <w:r>
              <w:rPr>
                <w:noProof/>
              </w:rPr>
              <w:t xml:space="preserve">301 </w:t>
            </w:r>
          </w:p>
        </w:tc>
        <w:tc>
          <w:tcPr>
            <w:tcW w:w="3975"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3A62811C" w14:textId="51C28BA9" w:rsidR="00615E2D" w:rsidRDefault="00C83E46">
            <w:pPr>
              <w:pStyle w:val="P68B1DB1-Normal57"/>
              <w:spacing w:before="0" w:after="0"/>
              <w:rPr>
                <w:noProof/>
              </w:rPr>
            </w:pPr>
            <w:r>
              <w:rPr>
                <w:noProof/>
              </w:rPr>
              <w:t xml:space="preserve">C 7.1.:  Infrastruktura za obnovljivu energiju i električnu energiju – Reforma 1.: Pojednostavnjenje postupaka izdavanja dozvola za obnovljive izvore energije </w:t>
            </w:r>
          </w:p>
        </w:tc>
        <w:tc>
          <w:tcPr>
            <w:tcW w:w="1800"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793EB97A" w14:textId="51C28BA9" w:rsidR="00615E2D" w:rsidRDefault="00C83E46">
            <w:pPr>
              <w:pStyle w:val="P68B1DB1-Normal57"/>
              <w:spacing w:before="0" w:after="0" w:line="240" w:lineRule="auto"/>
              <w:jc w:val="center"/>
              <w:rPr>
                <w:noProof/>
              </w:rPr>
            </w:pPr>
            <w:r>
              <w:rPr>
                <w:noProof/>
              </w:rPr>
              <w:t xml:space="preserve">Prekretnica </w:t>
            </w:r>
          </w:p>
        </w:tc>
        <w:tc>
          <w:tcPr>
            <w:tcW w:w="3220" w:type="dxa"/>
            <w:tcBorders>
              <w:top w:val="single" w:sz="4" w:space="0" w:color="auto"/>
              <w:left w:val="nil"/>
              <w:bottom w:val="single" w:sz="8" w:space="0" w:color="000000" w:themeColor="text1"/>
              <w:right w:val="single" w:sz="8" w:space="0" w:color="auto"/>
            </w:tcBorders>
            <w:shd w:val="clear" w:color="auto" w:fill="C6EFCE"/>
            <w:vAlign w:val="center"/>
            <w:hideMark/>
          </w:tcPr>
          <w:p w14:paraId="56BCCB16" w14:textId="51C28BA9" w:rsidR="00615E2D" w:rsidRDefault="00C83E46">
            <w:pPr>
              <w:pStyle w:val="P68B1DB1-Normal57"/>
              <w:spacing w:before="0" w:after="0"/>
              <w:jc w:val="both"/>
              <w:rPr>
                <w:noProof/>
              </w:rPr>
            </w:pPr>
            <w:r>
              <w:rPr>
                <w:noProof/>
              </w:rPr>
              <w:t xml:space="preserve">Stupanje na snagu izmijenjenog zakonodavstva </w:t>
            </w:r>
          </w:p>
          <w:p w14:paraId="5B3636C1" w14:textId="51C28BA9" w:rsidR="00615E2D" w:rsidRDefault="00615E2D">
            <w:pPr>
              <w:spacing w:before="0" w:after="0"/>
              <w:rPr>
                <w:rFonts w:eastAsia="Times New Roman"/>
                <w:noProof/>
                <w:color w:val="006100"/>
                <w:sz w:val="20"/>
              </w:rPr>
            </w:pPr>
          </w:p>
        </w:tc>
      </w:tr>
      <w:tr w:rsidR="00615E2D" w14:paraId="59E21990" w14:textId="77777777">
        <w:trPr>
          <w:trHeight w:val="405"/>
        </w:trPr>
        <w:tc>
          <w:tcPr>
            <w:tcW w:w="1290" w:type="dxa"/>
            <w:tcBorders>
              <w:top w:val="single" w:sz="4" w:space="0" w:color="000000" w:themeColor="text1"/>
              <w:left w:val="single" w:sz="8" w:space="0" w:color="auto"/>
              <w:bottom w:val="single" w:sz="8" w:space="0" w:color="auto"/>
              <w:right w:val="single" w:sz="8" w:space="0" w:color="000000" w:themeColor="text1"/>
            </w:tcBorders>
            <w:shd w:val="clear" w:color="auto" w:fill="C6EFCE"/>
            <w:vAlign w:val="center"/>
            <w:hideMark/>
          </w:tcPr>
          <w:p w14:paraId="166F5430" w14:textId="6EC0DAE6" w:rsidR="00615E2D" w:rsidRDefault="00C83E46">
            <w:pPr>
              <w:pStyle w:val="P68B1DB1-Normal57"/>
              <w:spacing w:before="0" w:after="0" w:line="240" w:lineRule="auto"/>
              <w:jc w:val="center"/>
              <w:rPr>
                <w:noProof/>
              </w:rPr>
            </w:pPr>
            <w:r>
              <w:rPr>
                <w:noProof/>
              </w:rPr>
              <w:t xml:space="preserve">340 </w:t>
            </w:r>
          </w:p>
        </w:tc>
        <w:tc>
          <w:tcPr>
            <w:tcW w:w="3975" w:type="dxa"/>
            <w:tcBorders>
              <w:top w:val="single" w:sz="4" w:space="0" w:color="000000" w:themeColor="text1"/>
              <w:left w:val="nil"/>
              <w:bottom w:val="single" w:sz="8" w:space="0" w:color="auto"/>
              <w:right w:val="single" w:sz="8" w:space="0" w:color="000000" w:themeColor="text1"/>
            </w:tcBorders>
            <w:shd w:val="clear" w:color="auto" w:fill="C6EFCE"/>
            <w:vAlign w:val="center"/>
            <w:hideMark/>
          </w:tcPr>
          <w:p w14:paraId="66A70883" w14:textId="7E988E80" w:rsidR="00615E2D" w:rsidRDefault="00C83E46">
            <w:pPr>
              <w:pStyle w:val="P68B1DB1-Normal57"/>
              <w:spacing w:before="0" w:after="0" w:line="240" w:lineRule="auto"/>
              <w:jc w:val="center"/>
              <w:rPr>
                <w:noProof/>
              </w:rPr>
            </w:pPr>
            <w:r>
              <w:rPr>
                <w:noProof/>
              </w:rPr>
              <w:t>C 7.7. Pojednostavnjenje postupaka izdavanja okolišnih dozvola i definiranje područja za razvoj obnovljivih izvora energije</w:t>
            </w:r>
          </w:p>
          <w:p w14:paraId="48EECAFB" w14:textId="3341C560" w:rsidR="00615E2D" w:rsidRDefault="00C83E46">
            <w:pPr>
              <w:pStyle w:val="P68B1DB1-Normal57"/>
              <w:spacing w:before="0" w:after="0" w:line="240" w:lineRule="auto"/>
              <w:jc w:val="center"/>
              <w:rPr>
                <w:noProof/>
              </w:rPr>
            </w:pPr>
            <w:r>
              <w:rPr>
                <w:noProof/>
              </w:rPr>
              <w:t xml:space="preserve">Reforma 1.: </w:t>
            </w:r>
          </w:p>
          <w:p w14:paraId="53F3C8EB" w14:textId="6DFB59B1" w:rsidR="00615E2D" w:rsidRDefault="00C83E46">
            <w:pPr>
              <w:pStyle w:val="P68B1DB1-Normal57"/>
              <w:spacing w:before="0" w:after="0" w:line="240" w:lineRule="auto"/>
              <w:jc w:val="center"/>
              <w:rPr>
                <w:noProof/>
              </w:rPr>
            </w:pPr>
            <w:r>
              <w:rPr>
                <w:noProof/>
              </w:rPr>
              <w:t xml:space="preserve">Jedinstveno mišljenje o okolišu   </w:t>
            </w:r>
          </w:p>
        </w:tc>
        <w:tc>
          <w:tcPr>
            <w:tcW w:w="1800" w:type="dxa"/>
            <w:tcBorders>
              <w:top w:val="single" w:sz="4" w:space="0" w:color="000000" w:themeColor="text1"/>
              <w:left w:val="nil"/>
              <w:bottom w:val="single" w:sz="8" w:space="0" w:color="auto"/>
              <w:right w:val="single" w:sz="8" w:space="0" w:color="000000" w:themeColor="text1"/>
            </w:tcBorders>
            <w:shd w:val="clear" w:color="auto" w:fill="C6EFCE"/>
            <w:vAlign w:val="center"/>
            <w:hideMark/>
          </w:tcPr>
          <w:p w14:paraId="77BF8AC7" w14:textId="67C5F647" w:rsidR="00615E2D" w:rsidRDefault="00C83E46">
            <w:pPr>
              <w:pStyle w:val="P68B1DB1-Normal57"/>
              <w:spacing w:before="0" w:after="0" w:line="240" w:lineRule="auto"/>
              <w:jc w:val="center"/>
              <w:rPr>
                <w:noProof/>
              </w:rPr>
            </w:pPr>
            <w:r>
              <w:rPr>
                <w:noProof/>
              </w:rPr>
              <w:t xml:space="preserve">Prekretnica  </w:t>
            </w:r>
          </w:p>
        </w:tc>
        <w:tc>
          <w:tcPr>
            <w:tcW w:w="3220" w:type="dxa"/>
            <w:tcBorders>
              <w:top w:val="single" w:sz="4" w:space="0" w:color="000000" w:themeColor="text1"/>
              <w:left w:val="nil"/>
              <w:bottom w:val="single" w:sz="8" w:space="0" w:color="auto"/>
              <w:right w:val="single" w:sz="8" w:space="0" w:color="auto"/>
            </w:tcBorders>
            <w:shd w:val="clear" w:color="auto" w:fill="C6EFCE"/>
            <w:vAlign w:val="center"/>
            <w:hideMark/>
          </w:tcPr>
          <w:p w14:paraId="5F4F4F84" w14:textId="2CD95A6C" w:rsidR="00615E2D" w:rsidRDefault="00C83E46">
            <w:pPr>
              <w:pStyle w:val="P68B1DB1-Normal57"/>
              <w:spacing w:before="0" w:after="0" w:line="240" w:lineRule="auto"/>
              <w:jc w:val="center"/>
              <w:rPr>
                <w:noProof/>
              </w:rPr>
            </w:pPr>
            <w:r>
              <w:rPr>
                <w:noProof/>
              </w:rPr>
              <w:t>Stupanje na snagu jedinstvenog mišljenja o okolišu </w:t>
            </w:r>
          </w:p>
        </w:tc>
      </w:tr>
      <w:tr w:rsidR="00615E2D" w14:paraId="13788A3E" w14:textId="77777777">
        <w:trPr>
          <w:trHeight w:val="405"/>
        </w:trPr>
        <w:tc>
          <w:tcPr>
            <w:tcW w:w="1290" w:type="dxa"/>
            <w:tcBorders>
              <w:top w:val="nil"/>
              <w:left w:val="single" w:sz="8" w:space="0" w:color="auto"/>
              <w:bottom w:val="single" w:sz="8" w:space="0" w:color="auto"/>
              <w:right w:val="single" w:sz="8" w:space="0" w:color="000000" w:themeColor="text1"/>
            </w:tcBorders>
            <w:shd w:val="clear" w:color="auto" w:fill="C6EFCE"/>
            <w:vAlign w:val="center"/>
            <w:hideMark/>
          </w:tcPr>
          <w:p w14:paraId="5E380A96" w14:textId="478DF843" w:rsidR="00615E2D" w:rsidRDefault="00C83E46">
            <w:pPr>
              <w:pStyle w:val="P68B1DB1-Normal56"/>
              <w:spacing w:line="240" w:lineRule="auto"/>
              <w:jc w:val="center"/>
              <w:rPr>
                <w:noProof/>
              </w:rPr>
            </w:pPr>
            <w:r>
              <w:rPr>
                <w:noProof/>
              </w:rPr>
              <w:t>284</w:t>
            </w:r>
          </w:p>
        </w:tc>
        <w:tc>
          <w:tcPr>
            <w:tcW w:w="3975" w:type="dxa"/>
            <w:tcBorders>
              <w:top w:val="nil"/>
              <w:left w:val="nil"/>
              <w:bottom w:val="single" w:sz="8" w:space="0" w:color="auto"/>
              <w:right w:val="single" w:sz="8" w:space="0" w:color="000000" w:themeColor="text1"/>
            </w:tcBorders>
            <w:shd w:val="clear" w:color="auto" w:fill="C6EFCE"/>
            <w:vAlign w:val="center"/>
            <w:hideMark/>
          </w:tcPr>
          <w:p w14:paraId="62609D83" w14:textId="6FAF52ED" w:rsidR="00615E2D" w:rsidRDefault="00C83E46">
            <w:pPr>
              <w:pStyle w:val="P68B1DB1-Normal57"/>
              <w:spacing w:before="0" w:after="0" w:line="240" w:lineRule="auto"/>
              <w:rPr>
                <w:noProof/>
              </w:rPr>
            </w:pPr>
            <w:r>
              <w:rPr>
                <w:noProof/>
              </w:rPr>
              <w:t>C4.1.: Sustavna potpora za javna ulaganja- reforma 4: Povećanje učinkovitosti i poboljšanje provedbe plana za oporavak i otpornost</w:t>
            </w:r>
          </w:p>
        </w:tc>
        <w:tc>
          <w:tcPr>
            <w:tcW w:w="1800" w:type="dxa"/>
            <w:tcBorders>
              <w:top w:val="nil"/>
              <w:left w:val="nil"/>
              <w:bottom w:val="single" w:sz="8" w:space="0" w:color="auto"/>
              <w:right w:val="single" w:sz="8" w:space="0" w:color="000000" w:themeColor="text1"/>
            </w:tcBorders>
            <w:shd w:val="clear" w:color="auto" w:fill="C6EFCE"/>
            <w:vAlign w:val="center"/>
            <w:hideMark/>
          </w:tcPr>
          <w:p w14:paraId="595B14D7" w14:textId="2C4AE619"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auto"/>
              <w:right w:val="single" w:sz="8" w:space="0" w:color="auto"/>
            </w:tcBorders>
            <w:shd w:val="clear" w:color="auto" w:fill="C6EFCE"/>
            <w:vAlign w:val="center"/>
            <w:hideMark/>
          </w:tcPr>
          <w:p w14:paraId="7FE76ACA" w14:textId="506A2A84" w:rsidR="00615E2D" w:rsidRDefault="00C83E46">
            <w:pPr>
              <w:pStyle w:val="P68B1DB1-Normal57"/>
              <w:spacing w:before="0" w:after="0" w:line="240" w:lineRule="auto"/>
              <w:rPr>
                <w:noProof/>
              </w:rPr>
            </w:pPr>
            <w:r>
              <w:rPr>
                <w:noProof/>
              </w:rPr>
              <w:t>Odobrenje rezolucije vlade o povećanju administrativnih kapaciteta za provedbu nacionalnog plana za oporavak i otpornost (odluka o sistematizaciji) i odobrenje povezanog proračuna</w:t>
            </w:r>
          </w:p>
        </w:tc>
      </w:tr>
      <w:tr w:rsidR="00615E2D" w14:paraId="773DE333" w14:textId="77777777">
        <w:trPr>
          <w:trHeight w:val="405"/>
        </w:trPr>
        <w:tc>
          <w:tcPr>
            <w:tcW w:w="1290" w:type="dxa"/>
            <w:tcBorders>
              <w:top w:val="nil"/>
              <w:left w:val="single" w:sz="8" w:space="0" w:color="auto"/>
              <w:bottom w:val="single" w:sz="8" w:space="0" w:color="auto"/>
              <w:right w:val="single" w:sz="8" w:space="0" w:color="000000" w:themeColor="text1"/>
            </w:tcBorders>
            <w:shd w:val="clear" w:color="auto" w:fill="C6EFCE"/>
            <w:vAlign w:val="center"/>
            <w:hideMark/>
          </w:tcPr>
          <w:p w14:paraId="629732F8" w14:textId="7A8ED838" w:rsidR="00615E2D" w:rsidRDefault="00C83E46">
            <w:pPr>
              <w:pStyle w:val="P68B1DB1-Normal57"/>
              <w:spacing w:before="0" w:after="0" w:line="240" w:lineRule="auto"/>
              <w:jc w:val="center"/>
              <w:rPr>
                <w:noProof/>
              </w:rPr>
            </w:pPr>
            <w:r>
              <w:rPr>
                <w:noProof/>
              </w:rPr>
              <w:t xml:space="preserve">285 </w:t>
            </w:r>
          </w:p>
        </w:tc>
        <w:tc>
          <w:tcPr>
            <w:tcW w:w="3975" w:type="dxa"/>
            <w:tcBorders>
              <w:top w:val="nil"/>
              <w:left w:val="nil"/>
              <w:bottom w:val="single" w:sz="8" w:space="0" w:color="auto"/>
              <w:right w:val="single" w:sz="8" w:space="0" w:color="000000" w:themeColor="text1"/>
            </w:tcBorders>
            <w:shd w:val="clear" w:color="auto" w:fill="C6EFCE"/>
            <w:vAlign w:val="center"/>
            <w:hideMark/>
          </w:tcPr>
          <w:p w14:paraId="51348394" w14:textId="6BA48943" w:rsidR="00615E2D" w:rsidRDefault="00C83E46">
            <w:pPr>
              <w:pStyle w:val="P68B1DB1-Normal57"/>
              <w:spacing w:before="0" w:after="0" w:line="240" w:lineRule="auto"/>
              <w:jc w:val="center"/>
              <w:rPr>
                <w:noProof/>
              </w:rPr>
            </w:pPr>
            <w:r>
              <w:rPr>
                <w:noProof/>
              </w:rPr>
              <w:t>C 4.1.: Sustavna potpora za javna ulaganja —</w:t>
            </w:r>
          </w:p>
          <w:p w14:paraId="5927B2EC" w14:textId="4C4A2802" w:rsidR="00615E2D" w:rsidRDefault="00C83E46">
            <w:pPr>
              <w:pStyle w:val="P68B1DB1-Normal57"/>
              <w:spacing w:before="0" w:after="0" w:line="240" w:lineRule="auto"/>
              <w:jc w:val="center"/>
              <w:rPr>
                <w:noProof/>
              </w:rPr>
            </w:pPr>
            <w:r>
              <w:rPr>
                <w:noProof/>
              </w:rPr>
              <w:t xml:space="preserve">Reforma 4.:  </w:t>
            </w:r>
          </w:p>
          <w:p w14:paraId="37E440B5" w14:textId="2EDEB65D" w:rsidR="00615E2D" w:rsidRDefault="00C83E46">
            <w:pPr>
              <w:pStyle w:val="P68B1DB1-Normal57"/>
              <w:spacing w:before="0" w:after="0" w:line="240" w:lineRule="auto"/>
              <w:jc w:val="center"/>
              <w:rPr>
                <w:noProof/>
              </w:rPr>
            </w:pPr>
            <w:r>
              <w:rPr>
                <w:noProof/>
              </w:rPr>
              <w:t xml:space="preserve">Povećanje učinkovitosti i poboljšanje provedbe plana za oporavak i otpornost </w:t>
            </w:r>
          </w:p>
        </w:tc>
        <w:tc>
          <w:tcPr>
            <w:tcW w:w="1800" w:type="dxa"/>
            <w:tcBorders>
              <w:top w:val="nil"/>
              <w:left w:val="nil"/>
              <w:bottom w:val="single" w:sz="8" w:space="0" w:color="auto"/>
              <w:right w:val="single" w:sz="8" w:space="0" w:color="000000" w:themeColor="text1"/>
            </w:tcBorders>
            <w:shd w:val="clear" w:color="auto" w:fill="C6EFCE"/>
            <w:vAlign w:val="center"/>
            <w:hideMark/>
          </w:tcPr>
          <w:p w14:paraId="6DB3E7E1" w14:textId="50957659" w:rsidR="00615E2D" w:rsidRDefault="00C83E46">
            <w:pPr>
              <w:pStyle w:val="P68B1DB1-Normal57"/>
              <w:spacing w:before="0" w:after="0" w:line="240" w:lineRule="auto"/>
              <w:jc w:val="center"/>
              <w:rPr>
                <w:noProof/>
              </w:rPr>
            </w:pPr>
            <w:r>
              <w:rPr>
                <w:noProof/>
              </w:rPr>
              <w:t xml:space="preserve">Ciljna </w:t>
            </w:r>
          </w:p>
        </w:tc>
        <w:tc>
          <w:tcPr>
            <w:tcW w:w="3220" w:type="dxa"/>
            <w:tcBorders>
              <w:top w:val="nil"/>
              <w:left w:val="nil"/>
              <w:bottom w:val="single" w:sz="8" w:space="0" w:color="auto"/>
              <w:right w:val="single" w:sz="8" w:space="0" w:color="auto"/>
            </w:tcBorders>
            <w:shd w:val="clear" w:color="auto" w:fill="C6EFCE"/>
            <w:vAlign w:val="center"/>
            <w:hideMark/>
          </w:tcPr>
          <w:p w14:paraId="295441B1" w14:textId="7990FB6E" w:rsidR="00615E2D" w:rsidRDefault="00C83E46">
            <w:pPr>
              <w:pStyle w:val="P68B1DB1-Normal57"/>
              <w:spacing w:before="0" w:after="0" w:line="240" w:lineRule="auto"/>
              <w:jc w:val="center"/>
              <w:rPr>
                <w:noProof/>
              </w:rPr>
            </w:pPr>
            <w:r>
              <w:rPr>
                <w:noProof/>
              </w:rPr>
              <w:t>Povećanje broja osoba koje rade na planu za oporavak i otpornost do 2023.</w:t>
            </w:r>
          </w:p>
        </w:tc>
      </w:tr>
      <w:tr w:rsidR="00615E2D" w14:paraId="407241AD" w14:textId="77777777">
        <w:trPr>
          <w:trHeight w:val="405"/>
        </w:trPr>
        <w:tc>
          <w:tcPr>
            <w:tcW w:w="1290" w:type="dxa"/>
            <w:tcBorders>
              <w:top w:val="nil"/>
              <w:left w:val="single" w:sz="8" w:space="0" w:color="auto"/>
              <w:bottom w:val="single" w:sz="8" w:space="0" w:color="auto"/>
              <w:right w:val="single" w:sz="8" w:space="0" w:color="000000" w:themeColor="text1"/>
            </w:tcBorders>
            <w:shd w:val="clear" w:color="auto" w:fill="C6EFCE"/>
            <w:vAlign w:val="center"/>
          </w:tcPr>
          <w:p w14:paraId="4B23DADF" w14:textId="267E0B69" w:rsidR="00615E2D" w:rsidRDefault="00C83E46">
            <w:pPr>
              <w:pStyle w:val="P68B1DB1-Normal57"/>
              <w:spacing w:before="0" w:after="0" w:line="240" w:lineRule="auto"/>
              <w:jc w:val="center"/>
              <w:rPr>
                <w:noProof/>
              </w:rPr>
            </w:pPr>
            <w:r>
              <w:rPr>
                <w:noProof/>
              </w:rPr>
              <w:t>280</w:t>
            </w:r>
          </w:p>
        </w:tc>
        <w:tc>
          <w:tcPr>
            <w:tcW w:w="3975" w:type="dxa"/>
            <w:tcBorders>
              <w:top w:val="nil"/>
              <w:left w:val="nil"/>
              <w:bottom w:val="single" w:sz="8" w:space="0" w:color="auto"/>
              <w:right w:val="single" w:sz="8" w:space="0" w:color="000000" w:themeColor="text1"/>
            </w:tcBorders>
            <w:shd w:val="clear" w:color="auto" w:fill="C6EFCE"/>
            <w:vAlign w:val="center"/>
          </w:tcPr>
          <w:p w14:paraId="39907E1F" w14:textId="70579EB8" w:rsidR="00615E2D" w:rsidRDefault="00C83E46">
            <w:pPr>
              <w:pStyle w:val="P68B1DB1-Normal57"/>
              <w:spacing w:before="0" w:after="0" w:line="240" w:lineRule="auto"/>
              <w:jc w:val="center"/>
              <w:rPr>
                <w:noProof/>
              </w:rPr>
            </w:pPr>
            <w:r>
              <w:rPr>
                <w:noProof/>
              </w:rPr>
              <w:t>C 4.1.: Sustavna potpora za javna ulaganja – Reforma 1:  Metodološka potpora za pripremu projekata u skladu s ciljevima EU-a</w:t>
            </w:r>
          </w:p>
        </w:tc>
        <w:tc>
          <w:tcPr>
            <w:tcW w:w="1800" w:type="dxa"/>
            <w:tcBorders>
              <w:top w:val="nil"/>
              <w:left w:val="nil"/>
              <w:bottom w:val="single" w:sz="8" w:space="0" w:color="auto"/>
              <w:right w:val="single" w:sz="8" w:space="0" w:color="000000" w:themeColor="text1"/>
            </w:tcBorders>
            <w:shd w:val="clear" w:color="auto" w:fill="C6EFCE"/>
            <w:vAlign w:val="center"/>
          </w:tcPr>
          <w:p w14:paraId="77432E52" w14:textId="1B8403F5"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auto"/>
              <w:right w:val="single" w:sz="8" w:space="0" w:color="auto"/>
            </w:tcBorders>
            <w:shd w:val="clear" w:color="auto" w:fill="C6EFCE"/>
            <w:vAlign w:val="center"/>
          </w:tcPr>
          <w:p w14:paraId="6754EF6E" w14:textId="1FCEBC36" w:rsidR="00615E2D" w:rsidRDefault="00C83E46">
            <w:pPr>
              <w:pStyle w:val="P68B1DB1-Normal57"/>
              <w:spacing w:before="0" w:after="0" w:line="240" w:lineRule="auto"/>
              <w:jc w:val="center"/>
              <w:rPr>
                <w:noProof/>
              </w:rPr>
            </w:pPr>
            <w:r>
              <w:rPr>
                <w:noProof/>
              </w:rPr>
              <w:t xml:space="preserve">Osnivanje Centra za koordinaciju i stručnost i donošenje njegova plana upravljanja.   </w:t>
            </w:r>
          </w:p>
        </w:tc>
      </w:tr>
      <w:tr w:rsidR="00615E2D" w14:paraId="54673897" w14:textId="77777777">
        <w:trPr>
          <w:trHeight w:val="405"/>
        </w:trPr>
        <w:tc>
          <w:tcPr>
            <w:tcW w:w="1290" w:type="dxa"/>
            <w:tcBorders>
              <w:top w:val="nil"/>
              <w:left w:val="single" w:sz="8" w:space="0" w:color="auto"/>
              <w:bottom w:val="single" w:sz="8" w:space="0" w:color="auto"/>
              <w:right w:val="single" w:sz="8" w:space="0" w:color="000000" w:themeColor="text1"/>
            </w:tcBorders>
            <w:shd w:val="clear" w:color="auto" w:fill="C6EFCE"/>
            <w:vAlign w:val="center"/>
            <w:hideMark/>
          </w:tcPr>
          <w:p w14:paraId="35BA75D5" w14:textId="77777777" w:rsidR="00615E2D" w:rsidRDefault="00C83E46">
            <w:pPr>
              <w:pStyle w:val="P68B1DB1-Normal56"/>
              <w:spacing w:before="0" w:after="0" w:line="240" w:lineRule="auto"/>
              <w:jc w:val="center"/>
              <w:rPr>
                <w:noProof/>
              </w:rPr>
            </w:pPr>
            <w:r>
              <w:rPr>
                <w:noProof/>
              </w:rPr>
              <w:t>205</w:t>
            </w:r>
          </w:p>
        </w:tc>
        <w:tc>
          <w:tcPr>
            <w:tcW w:w="3975" w:type="dxa"/>
            <w:tcBorders>
              <w:top w:val="nil"/>
              <w:left w:val="nil"/>
              <w:bottom w:val="single" w:sz="8" w:space="0" w:color="auto"/>
              <w:right w:val="single" w:sz="8" w:space="0" w:color="000000" w:themeColor="text1"/>
            </w:tcBorders>
            <w:shd w:val="clear" w:color="auto" w:fill="C6EFCE"/>
            <w:vAlign w:val="center"/>
            <w:hideMark/>
          </w:tcPr>
          <w:p w14:paraId="4D472DCA" w14:textId="77777777" w:rsidR="00615E2D" w:rsidRDefault="00C83E46">
            <w:pPr>
              <w:pStyle w:val="P68B1DB1-Normal57"/>
              <w:spacing w:before="0" w:after="0" w:line="240" w:lineRule="auto"/>
              <w:jc w:val="center"/>
              <w:rPr>
                <w:noProof/>
              </w:rPr>
            </w:pPr>
            <w:r>
              <w:rPr>
                <w:noProof/>
              </w:rPr>
              <w:t>C 4.3: Reforme borbe protiv korupcije – 3. reforma: Prikupljanje i analiza podataka o korupciji</w:t>
            </w:r>
          </w:p>
        </w:tc>
        <w:tc>
          <w:tcPr>
            <w:tcW w:w="1800" w:type="dxa"/>
            <w:tcBorders>
              <w:top w:val="nil"/>
              <w:left w:val="nil"/>
              <w:bottom w:val="single" w:sz="8" w:space="0" w:color="auto"/>
              <w:right w:val="single" w:sz="8" w:space="0" w:color="000000" w:themeColor="text1"/>
            </w:tcBorders>
            <w:shd w:val="clear" w:color="auto" w:fill="C6EFCE"/>
            <w:vAlign w:val="center"/>
            <w:hideMark/>
          </w:tcPr>
          <w:p w14:paraId="3EB48E2D" w14:textId="77777777" w:rsidR="00615E2D" w:rsidRDefault="00C83E46">
            <w:pPr>
              <w:pStyle w:val="P68B1DB1-Normal57"/>
              <w:spacing w:before="0" w:after="0" w:line="240" w:lineRule="auto"/>
              <w:jc w:val="center"/>
              <w:rPr>
                <w:noProof/>
              </w:rPr>
            </w:pPr>
            <w:r>
              <w:rPr>
                <w:noProof/>
              </w:rPr>
              <w:t>Prekretnica</w:t>
            </w:r>
          </w:p>
        </w:tc>
        <w:tc>
          <w:tcPr>
            <w:tcW w:w="3220" w:type="dxa"/>
            <w:tcBorders>
              <w:top w:val="nil"/>
              <w:left w:val="nil"/>
              <w:bottom w:val="single" w:sz="8" w:space="0" w:color="auto"/>
              <w:right w:val="single" w:sz="8" w:space="0" w:color="auto"/>
            </w:tcBorders>
            <w:shd w:val="clear" w:color="auto" w:fill="C6EFCE"/>
            <w:vAlign w:val="center"/>
            <w:hideMark/>
          </w:tcPr>
          <w:p w14:paraId="2FBF2E7D" w14:textId="77777777" w:rsidR="00615E2D" w:rsidRDefault="00C83E46">
            <w:pPr>
              <w:pStyle w:val="P68B1DB1-Normal56"/>
              <w:spacing w:before="0" w:after="0" w:line="240" w:lineRule="auto"/>
              <w:jc w:val="center"/>
              <w:rPr>
                <w:noProof/>
              </w:rPr>
            </w:pPr>
            <w:r>
              <w:rPr>
                <w:noProof/>
              </w:rPr>
              <w:t>Izrada metodologije za mjerenje korupcije u Češkoj Republici</w:t>
            </w:r>
          </w:p>
        </w:tc>
      </w:tr>
      <w:tr w:rsidR="00615E2D" w14:paraId="564B6B7F" w14:textId="77777777">
        <w:trPr>
          <w:trHeight w:val="543"/>
        </w:trPr>
        <w:tc>
          <w:tcPr>
            <w:tcW w:w="1290" w:type="dxa"/>
            <w:tcBorders>
              <w:top w:val="nil"/>
              <w:left w:val="single" w:sz="8" w:space="0" w:color="auto"/>
              <w:bottom w:val="single" w:sz="8" w:space="0" w:color="auto"/>
              <w:right w:val="single" w:sz="8" w:space="0" w:color="000000" w:themeColor="text1"/>
            </w:tcBorders>
            <w:shd w:val="clear" w:color="auto" w:fill="C6EFCE"/>
            <w:vAlign w:val="center"/>
            <w:hideMark/>
          </w:tcPr>
          <w:p w14:paraId="16F2E820" w14:textId="77777777" w:rsidR="00615E2D" w:rsidRDefault="00C83E46">
            <w:pPr>
              <w:pStyle w:val="P68B1DB1-Normal56"/>
              <w:spacing w:before="0" w:after="0" w:line="240" w:lineRule="auto"/>
              <w:jc w:val="center"/>
              <w:rPr>
                <w:noProof/>
              </w:rPr>
            </w:pPr>
            <w:r>
              <w:rPr>
                <w:noProof/>
              </w:rPr>
              <w:t xml:space="preserve"> </w:t>
            </w:r>
          </w:p>
        </w:tc>
        <w:tc>
          <w:tcPr>
            <w:tcW w:w="3975" w:type="dxa"/>
            <w:tcBorders>
              <w:top w:val="nil"/>
              <w:left w:val="nil"/>
              <w:bottom w:val="single" w:sz="8" w:space="0" w:color="auto"/>
              <w:right w:val="single" w:sz="8" w:space="0" w:color="000000" w:themeColor="text1"/>
            </w:tcBorders>
            <w:shd w:val="clear" w:color="auto" w:fill="C6EFCE"/>
            <w:vAlign w:val="center"/>
            <w:hideMark/>
          </w:tcPr>
          <w:p w14:paraId="7FBFE358" w14:textId="77777777" w:rsidR="00615E2D" w:rsidRDefault="00C83E46">
            <w:pPr>
              <w:pStyle w:val="P68B1DB1-Normal57"/>
              <w:spacing w:before="0" w:after="0" w:line="240" w:lineRule="auto"/>
              <w:jc w:val="center"/>
              <w:rPr>
                <w:noProof/>
              </w:rPr>
            </w:pPr>
            <w:r>
              <w:rPr>
                <w:noProof/>
              </w:rPr>
              <w:t xml:space="preserve"> </w:t>
            </w:r>
          </w:p>
        </w:tc>
        <w:tc>
          <w:tcPr>
            <w:tcW w:w="1800" w:type="dxa"/>
            <w:tcBorders>
              <w:top w:val="nil"/>
              <w:left w:val="nil"/>
              <w:bottom w:val="single" w:sz="8" w:space="0" w:color="auto"/>
              <w:right w:val="single" w:sz="8" w:space="0" w:color="000000" w:themeColor="text1"/>
            </w:tcBorders>
            <w:shd w:val="clear" w:color="auto" w:fill="C6EFCE"/>
            <w:vAlign w:val="center"/>
            <w:hideMark/>
          </w:tcPr>
          <w:p w14:paraId="7F81B15C" w14:textId="77777777" w:rsidR="00615E2D" w:rsidRDefault="00C83E46">
            <w:pPr>
              <w:pStyle w:val="P68B1DB1-Normal59"/>
              <w:spacing w:before="0" w:after="0" w:line="240" w:lineRule="auto"/>
              <w:jc w:val="center"/>
              <w:rPr>
                <w:noProof/>
              </w:rPr>
            </w:pPr>
            <w:r>
              <w:rPr>
                <w:noProof/>
              </w:rPr>
              <w:t>Iznos obroka</w:t>
            </w:r>
          </w:p>
        </w:tc>
        <w:tc>
          <w:tcPr>
            <w:tcW w:w="3220" w:type="dxa"/>
            <w:tcBorders>
              <w:top w:val="nil"/>
              <w:left w:val="nil"/>
              <w:bottom w:val="single" w:sz="8" w:space="0" w:color="auto"/>
              <w:right w:val="single" w:sz="8" w:space="0" w:color="auto"/>
            </w:tcBorders>
            <w:shd w:val="clear" w:color="auto" w:fill="C6EFCE"/>
            <w:vAlign w:val="center"/>
            <w:hideMark/>
          </w:tcPr>
          <w:p w14:paraId="2D7E0325" w14:textId="6BCE2C15" w:rsidR="00615E2D" w:rsidRDefault="00C83E46">
            <w:pPr>
              <w:pStyle w:val="P68B1DB1-Normal59"/>
              <w:spacing w:before="0" w:after="0" w:line="240" w:lineRule="auto"/>
              <w:jc w:val="center"/>
              <w:rPr>
                <w:noProof/>
              </w:rPr>
            </w:pPr>
            <w:r>
              <w:rPr>
                <w:noProof/>
              </w:rPr>
              <w:t>1268379005 EURA</w:t>
            </w:r>
          </w:p>
        </w:tc>
      </w:tr>
    </w:tbl>
    <w:p w14:paraId="2667C4CD" w14:textId="77777777" w:rsidR="00615E2D" w:rsidRDefault="00615E2D">
      <w:pPr>
        <w:spacing w:line="240" w:lineRule="auto"/>
        <w:jc w:val="both"/>
        <w:rPr>
          <w:noProof/>
        </w:rPr>
      </w:pPr>
    </w:p>
    <w:p w14:paraId="75F5A1E5" w14:textId="77777777" w:rsidR="00615E2D" w:rsidRDefault="00C83E46">
      <w:pPr>
        <w:numPr>
          <w:ilvl w:val="1"/>
          <w:numId w:val="198"/>
        </w:numPr>
        <w:spacing w:line="240" w:lineRule="auto"/>
        <w:jc w:val="both"/>
        <w:rPr>
          <w:noProof/>
        </w:rPr>
      </w:pPr>
      <w:r>
        <w:rPr>
          <w:noProof/>
        </w:rPr>
        <w:t xml:space="preserve">Peti obrok (bespovratna potpora): </w:t>
      </w:r>
    </w:p>
    <w:tbl>
      <w:tblPr>
        <w:tblW w:w="10490" w:type="dxa"/>
        <w:tblInd w:w="-601" w:type="dxa"/>
        <w:tblLook w:val="04A0" w:firstRow="1" w:lastRow="0" w:firstColumn="1" w:lastColumn="0" w:noHBand="0" w:noVBand="1"/>
      </w:tblPr>
      <w:tblGrid>
        <w:gridCol w:w="1276"/>
        <w:gridCol w:w="3969"/>
        <w:gridCol w:w="1843"/>
        <w:gridCol w:w="3402"/>
      </w:tblGrid>
      <w:tr w:rsidR="00615E2D" w14:paraId="036BEB33" w14:textId="77777777">
        <w:trPr>
          <w:trHeight w:val="825"/>
          <w:tblHeader/>
        </w:trPr>
        <w:tc>
          <w:tcPr>
            <w:tcW w:w="1276" w:type="dxa"/>
            <w:tcBorders>
              <w:top w:val="single" w:sz="8" w:space="0" w:color="auto"/>
              <w:left w:val="single" w:sz="8" w:space="0" w:color="auto"/>
              <w:bottom w:val="single" w:sz="4" w:space="0" w:color="auto"/>
              <w:right w:val="single" w:sz="8" w:space="0" w:color="auto"/>
            </w:tcBorders>
            <w:shd w:val="clear" w:color="auto" w:fill="BDD7EE"/>
            <w:vAlign w:val="center"/>
            <w:hideMark/>
          </w:tcPr>
          <w:p w14:paraId="13394AD4" w14:textId="77777777" w:rsidR="00615E2D" w:rsidRDefault="00C83E46">
            <w:pPr>
              <w:pStyle w:val="P68B1DB1-Normal55"/>
              <w:spacing w:before="0" w:after="0" w:line="240" w:lineRule="auto"/>
              <w:jc w:val="center"/>
              <w:rPr>
                <w:noProof/>
              </w:rPr>
            </w:pPr>
            <w:r>
              <w:rPr>
                <w:noProof/>
              </w:rPr>
              <w:t>Redni broj</w:t>
            </w:r>
          </w:p>
        </w:tc>
        <w:tc>
          <w:tcPr>
            <w:tcW w:w="3969" w:type="dxa"/>
            <w:tcBorders>
              <w:top w:val="single" w:sz="8" w:space="0" w:color="auto"/>
              <w:left w:val="nil"/>
              <w:bottom w:val="single" w:sz="4" w:space="0" w:color="auto"/>
              <w:right w:val="single" w:sz="8" w:space="0" w:color="auto"/>
            </w:tcBorders>
            <w:shd w:val="clear" w:color="auto" w:fill="BDD7EE"/>
            <w:vAlign w:val="center"/>
            <w:hideMark/>
          </w:tcPr>
          <w:p w14:paraId="17F858B2" w14:textId="77777777" w:rsidR="00615E2D" w:rsidRDefault="00C83E46">
            <w:pPr>
              <w:pStyle w:val="P68B1DB1-Normal55"/>
              <w:spacing w:before="0" w:after="0" w:line="240" w:lineRule="auto"/>
              <w:jc w:val="center"/>
              <w:rPr>
                <w:noProof/>
              </w:rPr>
            </w:pPr>
            <w:r>
              <w:rPr>
                <w:noProof/>
              </w:rPr>
              <w:t>Povezana mjera (reforma ili ulaganje)</w:t>
            </w:r>
          </w:p>
        </w:tc>
        <w:tc>
          <w:tcPr>
            <w:tcW w:w="1843" w:type="dxa"/>
            <w:tcBorders>
              <w:top w:val="single" w:sz="8" w:space="0" w:color="auto"/>
              <w:left w:val="nil"/>
              <w:bottom w:val="single" w:sz="4" w:space="0" w:color="auto"/>
              <w:right w:val="single" w:sz="8" w:space="0" w:color="auto"/>
            </w:tcBorders>
            <w:shd w:val="clear" w:color="auto" w:fill="BDD7EE"/>
            <w:vAlign w:val="center"/>
            <w:hideMark/>
          </w:tcPr>
          <w:p w14:paraId="2D6F688D" w14:textId="77777777" w:rsidR="00615E2D" w:rsidRDefault="00C83E46">
            <w:pPr>
              <w:pStyle w:val="P68B1DB1-Normal55"/>
              <w:spacing w:before="0" w:after="0" w:line="240" w:lineRule="auto"/>
              <w:jc w:val="center"/>
              <w:rPr>
                <w:noProof/>
              </w:rPr>
            </w:pPr>
            <w:r>
              <w:rPr>
                <w:noProof/>
              </w:rPr>
              <w:t>Ključna etapa/ciljna vrijednost</w:t>
            </w:r>
          </w:p>
        </w:tc>
        <w:tc>
          <w:tcPr>
            <w:tcW w:w="3402" w:type="dxa"/>
            <w:tcBorders>
              <w:top w:val="single" w:sz="8" w:space="0" w:color="auto"/>
              <w:left w:val="nil"/>
              <w:bottom w:val="single" w:sz="4" w:space="0" w:color="auto"/>
              <w:right w:val="single" w:sz="8" w:space="0" w:color="auto"/>
            </w:tcBorders>
            <w:shd w:val="clear" w:color="auto" w:fill="BDD7EE"/>
            <w:vAlign w:val="center"/>
            <w:hideMark/>
          </w:tcPr>
          <w:p w14:paraId="260AB26E" w14:textId="77777777" w:rsidR="00615E2D" w:rsidRDefault="00C83E46">
            <w:pPr>
              <w:pStyle w:val="P68B1DB1-Normal55"/>
              <w:spacing w:before="0" w:after="0" w:line="240" w:lineRule="auto"/>
              <w:jc w:val="center"/>
              <w:rPr>
                <w:noProof/>
              </w:rPr>
            </w:pPr>
            <w:r>
              <w:rPr>
                <w:noProof/>
              </w:rPr>
              <w:t>Ime</w:t>
            </w:r>
          </w:p>
        </w:tc>
      </w:tr>
      <w:tr w:rsidR="00615E2D" w14:paraId="7CAE7284" w14:textId="77777777">
        <w:trPr>
          <w:trHeight w:val="99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E2AB0B5" w14:textId="77777777" w:rsidR="00615E2D" w:rsidRDefault="00C83E46">
            <w:pPr>
              <w:pStyle w:val="P68B1DB1-Normal56"/>
              <w:spacing w:before="0" w:after="0" w:line="240" w:lineRule="auto"/>
              <w:jc w:val="center"/>
              <w:rPr>
                <w:noProof/>
              </w:rPr>
            </w:pPr>
            <w:r>
              <w:rPr>
                <w:noProof/>
              </w:rPr>
              <w:t>143</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6C9FDE6" w14:textId="77777777" w:rsidR="00615E2D" w:rsidRDefault="00C83E46">
            <w:pPr>
              <w:pStyle w:val="P68B1DB1-Normal57"/>
              <w:spacing w:before="0" w:after="0" w:line="240" w:lineRule="auto"/>
              <w:jc w:val="center"/>
              <w:rPr>
                <w:noProof/>
              </w:rPr>
            </w:pPr>
            <w:r>
              <w:rPr>
                <w:noProof/>
              </w:rPr>
              <w:t>C 2.6.: Zaštita prirode i prilagodba klimatskim promjenama – ulaganje 5: Zadržavanje vode u šumama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E1E3AD8" w14:textId="49C4638F" w:rsidR="00615E2D" w:rsidRDefault="00C83E46">
            <w:pPr>
              <w:pStyle w:val="P68B1DB1-Normal28"/>
              <w:spacing w:before="0" w:after="0" w:line="240" w:lineRule="auto"/>
              <w:jc w:val="center"/>
              <w:rPr>
                <w:rFonts w:eastAsia="Times New Roman"/>
                <w:noProof/>
                <w:sz w:val="20"/>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8C44596" w14:textId="1401D7A8" w:rsidR="00615E2D" w:rsidRDefault="00C83E46">
            <w:pPr>
              <w:pStyle w:val="P68B1DB1-Normal56"/>
              <w:spacing w:before="0" w:after="0" w:line="240" w:lineRule="auto"/>
              <w:jc w:val="center"/>
              <w:rPr>
                <w:noProof/>
              </w:rPr>
            </w:pPr>
            <w:r>
              <w:rPr>
                <w:noProof/>
              </w:rPr>
              <w:t>T2: Završetak 20 dodatnih projekata torrentne kontrole (male drvene i prirodne kamene brane) za usporavanje površinskog otjecanja i projekata zadržavanja vode u šumama (zadržavanje i mali rezervoari).</w:t>
            </w:r>
          </w:p>
        </w:tc>
      </w:tr>
      <w:tr w:rsidR="00615E2D" w14:paraId="1EE6D0A3"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B6C28CA" w14:textId="77777777" w:rsidR="00615E2D" w:rsidRDefault="00C83E46">
            <w:pPr>
              <w:pStyle w:val="P68B1DB1-Normal56"/>
              <w:spacing w:before="0" w:after="0" w:line="240" w:lineRule="auto"/>
              <w:jc w:val="center"/>
              <w:rPr>
                <w:noProof/>
              </w:rPr>
            </w:pPr>
            <w:r>
              <w:rPr>
                <w:noProof/>
              </w:rPr>
              <w:t>174</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F65AA86" w14:textId="77777777" w:rsidR="00615E2D" w:rsidRDefault="00C83E46">
            <w:pPr>
              <w:pStyle w:val="P68B1DB1-Normal57"/>
              <w:spacing w:before="0" w:after="0" w:line="240" w:lineRule="auto"/>
              <w:jc w:val="center"/>
              <w:rPr>
                <w:noProof/>
              </w:rPr>
            </w:pPr>
            <w:r>
              <w:rPr>
                <w:noProof/>
              </w:rPr>
              <w:t>C 3.1: Inovacije u obrazovanju u kontekstu digitalizacije – ulaganje 2: Digitalna oprema za škole</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A4B81B0"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DBB20D1" w14:textId="77777777" w:rsidR="00615E2D" w:rsidRDefault="00C83E46">
            <w:pPr>
              <w:pStyle w:val="P68B1DB1-Normal56"/>
              <w:spacing w:before="0" w:after="0" w:line="240" w:lineRule="auto"/>
              <w:jc w:val="center"/>
              <w:rPr>
                <w:noProof/>
              </w:rPr>
            </w:pPr>
            <w:r>
              <w:rPr>
                <w:noProof/>
              </w:rPr>
              <w:t xml:space="preserve">Broj škola s pomoću digitalnih tehnologija i opreme za promicanje digitalne pismenosti i provedbu novih kurikuluma u području IT-a </w:t>
            </w:r>
          </w:p>
        </w:tc>
      </w:tr>
      <w:tr w:rsidR="00615E2D" w14:paraId="1BD98661" w14:textId="77777777">
        <w:trPr>
          <w:trHeight w:val="795"/>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hideMark/>
          </w:tcPr>
          <w:p w14:paraId="17DEC779" w14:textId="77777777" w:rsidR="00615E2D" w:rsidRDefault="00C83E46">
            <w:pPr>
              <w:pStyle w:val="P68B1DB1-Normal56"/>
              <w:spacing w:before="0" w:after="0" w:line="240" w:lineRule="auto"/>
              <w:jc w:val="center"/>
              <w:rPr>
                <w:noProof/>
              </w:rPr>
            </w:pPr>
            <w:r>
              <w:rPr>
                <w:noProof/>
              </w:rPr>
              <w:t>18</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589720A8" w14:textId="77777777" w:rsidR="00615E2D" w:rsidRDefault="00C83E46">
            <w:pPr>
              <w:pStyle w:val="P68B1DB1-Normal57"/>
              <w:spacing w:before="0" w:after="0" w:line="240" w:lineRule="auto"/>
              <w:jc w:val="center"/>
              <w:rPr>
                <w:noProof/>
              </w:rPr>
            </w:pPr>
            <w:r>
              <w:rPr>
                <w:noProof/>
              </w:rPr>
              <w:t>C 1.2.: Sustavi digitalne javne uprave – ulaganja 1:</w:t>
            </w:r>
            <w:r>
              <w:rPr>
                <w:noProof/>
              </w:rPr>
              <w:br/>
              <w:t>Razvoj informacijskih sustava</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38CCB39C"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single" w:sz="8" w:space="0" w:color="auto"/>
              <w:right w:val="single" w:sz="8" w:space="0" w:color="auto"/>
            </w:tcBorders>
            <w:shd w:val="clear" w:color="auto" w:fill="C6EFCE"/>
            <w:vAlign w:val="center"/>
            <w:hideMark/>
          </w:tcPr>
          <w:p w14:paraId="201334B3" w14:textId="72E5B44D" w:rsidR="00615E2D" w:rsidRDefault="00C83E46">
            <w:pPr>
              <w:pStyle w:val="P68B1DB1-Normal56"/>
              <w:spacing w:before="0" w:after="0" w:line="240" w:lineRule="auto"/>
              <w:jc w:val="center"/>
              <w:rPr>
                <w:noProof/>
              </w:rPr>
            </w:pPr>
            <w:r>
              <w:rPr>
                <w:noProof/>
              </w:rPr>
              <w:t>Ugovaranje izvođenja navedenih projekata informacijskih sustava koji čine pozadinsku osnovu za razvoj informacijskih sustava za javnu upravu</w:t>
            </w:r>
          </w:p>
        </w:tc>
      </w:tr>
      <w:tr w:rsidR="00615E2D" w14:paraId="2814F29B" w14:textId="77777777">
        <w:trPr>
          <w:trHeight w:val="600"/>
        </w:trPr>
        <w:tc>
          <w:tcPr>
            <w:tcW w:w="1276" w:type="dxa"/>
            <w:tcBorders>
              <w:top w:val="nil"/>
              <w:left w:val="single" w:sz="8" w:space="0" w:color="auto"/>
              <w:bottom w:val="nil"/>
              <w:right w:val="single" w:sz="8" w:space="0" w:color="000000" w:themeColor="text1"/>
            </w:tcBorders>
            <w:shd w:val="clear" w:color="auto" w:fill="C6EFCE"/>
            <w:vAlign w:val="center"/>
            <w:hideMark/>
          </w:tcPr>
          <w:p w14:paraId="327ADEA0" w14:textId="77777777" w:rsidR="00615E2D" w:rsidRDefault="00C83E46">
            <w:pPr>
              <w:pStyle w:val="P68B1DB1-Normal57"/>
              <w:spacing w:before="0" w:after="0" w:line="240" w:lineRule="auto"/>
              <w:jc w:val="center"/>
              <w:rPr>
                <w:noProof/>
              </w:rPr>
            </w:pPr>
            <w:r>
              <w:rPr>
                <w:noProof/>
              </w:rPr>
              <w:t>84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EBB7ED6" w14:textId="77777777" w:rsidR="00615E2D" w:rsidRDefault="00C83E46">
            <w:pPr>
              <w:pStyle w:val="P68B1DB1-Normal57"/>
              <w:spacing w:before="0" w:after="0" w:line="240" w:lineRule="auto"/>
              <w:jc w:val="center"/>
              <w:rPr>
                <w:noProof/>
              </w:rPr>
            </w:pPr>
            <w:r>
              <w:rPr>
                <w:noProof/>
              </w:rPr>
              <w:t>C 2.1.: Održivi promet – ulaganja 1: Nove tehnologije i digitalizacija željezničke infrastrukture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69FDA1FE"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nil"/>
              <w:right w:val="single" w:sz="8" w:space="0" w:color="auto"/>
            </w:tcBorders>
            <w:shd w:val="clear" w:color="auto" w:fill="C6EFCE"/>
            <w:vAlign w:val="center"/>
            <w:hideMark/>
          </w:tcPr>
          <w:p w14:paraId="423C8DB3" w14:textId="77777777" w:rsidR="00615E2D" w:rsidRDefault="00C83E46">
            <w:pPr>
              <w:pStyle w:val="P68B1DB1-Normal57"/>
              <w:spacing w:before="0" w:after="0" w:line="240" w:lineRule="auto"/>
              <w:jc w:val="center"/>
              <w:rPr>
                <w:noProof/>
              </w:rPr>
            </w:pPr>
            <w:r>
              <w:rPr>
                <w:noProof/>
              </w:rPr>
              <w:t>Završetak dvaju projekata iz unaprijed definiranog skupa projekata.</w:t>
            </w:r>
          </w:p>
        </w:tc>
      </w:tr>
      <w:tr w:rsidR="00615E2D" w14:paraId="337731DC" w14:textId="77777777">
        <w:trPr>
          <w:trHeight w:val="60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tcPr>
          <w:p w14:paraId="1E0C0B28" w14:textId="77777777" w:rsidR="00615E2D" w:rsidRDefault="00C83E46">
            <w:pPr>
              <w:pStyle w:val="P68B1DB1-Normal56"/>
              <w:spacing w:before="0" w:after="0" w:line="240" w:lineRule="auto"/>
              <w:jc w:val="center"/>
              <w:rPr>
                <w:noProof/>
              </w:rPr>
            </w:pPr>
            <w:r>
              <w:rPr>
                <w:noProof/>
              </w:rPr>
              <w:t>56</w:t>
            </w:r>
          </w:p>
        </w:tc>
        <w:tc>
          <w:tcPr>
            <w:tcW w:w="3969" w:type="dxa"/>
            <w:tcBorders>
              <w:top w:val="nil"/>
              <w:left w:val="nil"/>
              <w:bottom w:val="single" w:sz="8" w:space="0" w:color="000000" w:themeColor="text1"/>
              <w:right w:val="single" w:sz="8" w:space="0" w:color="000000" w:themeColor="text1"/>
            </w:tcBorders>
            <w:shd w:val="clear" w:color="auto" w:fill="C6EFCE"/>
            <w:vAlign w:val="center"/>
          </w:tcPr>
          <w:p w14:paraId="474277DA" w14:textId="77777777" w:rsidR="00615E2D" w:rsidRDefault="00C83E46">
            <w:pPr>
              <w:pStyle w:val="P68B1DB1-Normal56"/>
              <w:spacing w:before="0" w:after="0" w:line="240" w:lineRule="auto"/>
              <w:jc w:val="center"/>
              <w:rPr>
                <w:noProof/>
              </w:rPr>
            </w:pPr>
            <w:r>
              <w:rPr>
                <w:noProof/>
              </w:rPr>
              <w:t>C 1.4.: Digitalno gospodarstvo i društvo, Inovativan početak i nova tehnologija – ulaganje 5: Europska infrastruktura za usluge lanca blokova (EBSI) – obveznice DLT za financiranje MSP-ova</w:t>
            </w:r>
          </w:p>
        </w:tc>
        <w:tc>
          <w:tcPr>
            <w:tcW w:w="1843" w:type="dxa"/>
            <w:tcBorders>
              <w:top w:val="nil"/>
              <w:left w:val="nil"/>
              <w:bottom w:val="single" w:sz="8" w:space="0" w:color="000000" w:themeColor="text1"/>
              <w:right w:val="single" w:sz="8" w:space="0" w:color="000000" w:themeColor="text1"/>
            </w:tcBorders>
            <w:shd w:val="clear" w:color="auto" w:fill="C6EFCE"/>
            <w:vAlign w:val="center"/>
          </w:tcPr>
          <w:p w14:paraId="6F782698" w14:textId="77777777" w:rsidR="00615E2D" w:rsidRDefault="00C83E46">
            <w:pPr>
              <w:pStyle w:val="P68B1DB1-Normal56"/>
              <w:spacing w:before="0" w:after="0"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auto"/>
            </w:tcBorders>
            <w:shd w:val="clear" w:color="auto" w:fill="C6EFCE"/>
            <w:vAlign w:val="center"/>
          </w:tcPr>
          <w:p w14:paraId="644A1ED5" w14:textId="3C6C38AF" w:rsidR="00615E2D" w:rsidRDefault="00C83E46">
            <w:pPr>
              <w:pStyle w:val="P68B1DB1-Normal57"/>
              <w:spacing w:before="0" w:after="0" w:line="240" w:lineRule="auto"/>
              <w:jc w:val="center"/>
              <w:rPr>
                <w:noProof/>
                <w:color w:val="004300"/>
              </w:rPr>
            </w:pPr>
            <w:r>
              <w:rPr>
                <w:noProof/>
              </w:rPr>
              <w:t>Broj MSP-ova koji mogu nuditi digitalne obveznice na temelju EBSI-ja</w:t>
            </w:r>
          </w:p>
        </w:tc>
      </w:tr>
      <w:tr w:rsidR="00615E2D" w14:paraId="06F8C8DE" w14:textId="77777777">
        <w:trPr>
          <w:trHeight w:val="60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tcPr>
          <w:p w14:paraId="2A08099E" w14:textId="3BA7447D" w:rsidR="00615E2D" w:rsidRDefault="00C83E46">
            <w:pPr>
              <w:pStyle w:val="P68B1DB1-Normal56"/>
              <w:spacing w:before="0" w:after="0" w:line="240" w:lineRule="auto"/>
              <w:jc w:val="center"/>
              <w:rPr>
                <w:noProof/>
              </w:rPr>
            </w:pPr>
            <w:r>
              <w:rPr>
                <w:noProof/>
              </w:rPr>
              <w:t>64</w:t>
            </w:r>
          </w:p>
        </w:tc>
        <w:tc>
          <w:tcPr>
            <w:tcW w:w="396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tcPr>
          <w:p w14:paraId="2157E650" w14:textId="35B1138C" w:rsidR="00615E2D" w:rsidRDefault="00C83E46">
            <w:pPr>
              <w:pStyle w:val="P68B1DB1-Normal57"/>
              <w:spacing w:before="0" w:after="0" w:line="240" w:lineRule="auto"/>
              <w:jc w:val="center"/>
              <w:rPr>
                <w:noProof/>
              </w:rPr>
            </w:pPr>
            <w:r>
              <w:rPr>
                <w:noProof/>
              </w:rPr>
              <w:t>C 1.4.: Digitalno gospodarstvo i društvo, Inovativni početak i nova tehnologija – ulaganje 11: Digitalna regulatorna izolirana okruženja u skladu s prioritetima EU-a</w:t>
            </w:r>
          </w:p>
        </w:tc>
        <w:tc>
          <w:tcPr>
            <w:tcW w:w="1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tcPr>
          <w:p w14:paraId="6450545D" w14:textId="3BA7447D"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auto"/>
            </w:tcBorders>
            <w:shd w:val="clear" w:color="auto" w:fill="C6EFCE"/>
            <w:vAlign w:val="center"/>
          </w:tcPr>
          <w:p w14:paraId="64C60B25" w14:textId="1A4B7008" w:rsidR="00615E2D" w:rsidRDefault="00C83E46">
            <w:pPr>
              <w:pStyle w:val="P68B1DB1-Normal56"/>
              <w:spacing w:before="0" w:after="0" w:line="240" w:lineRule="auto"/>
              <w:jc w:val="center"/>
              <w:rPr>
                <w:noProof/>
              </w:rPr>
            </w:pPr>
            <w:r>
              <w:rPr>
                <w:noProof/>
              </w:rPr>
              <w:t>Pokretanje digitalnog regulatornog izoliranog okruženja</w:t>
            </w:r>
          </w:p>
        </w:tc>
      </w:tr>
      <w:tr w:rsidR="00615E2D" w14:paraId="005039A1" w14:textId="77777777">
        <w:trPr>
          <w:trHeight w:val="60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46ABF156" w14:textId="77777777" w:rsidR="00615E2D" w:rsidRDefault="00C83E46">
            <w:pPr>
              <w:pStyle w:val="P68B1DB1-Normal57"/>
              <w:spacing w:before="0" w:after="0" w:line="240" w:lineRule="auto"/>
              <w:jc w:val="center"/>
              <w:rPr>
                <w:noProof/>
              </w:rPr>
            </w:pPr>
            <w:r>
              <w:rPr>
                <w:noProof/>
              </w:rPr>
              <w:t>113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D563F97" w14:textId="77777777" w:rsidR="00615E2D" w:rsidRDefault="00C83E46">
            <w:pPr>
              <w:pStyle w:val="P68B1DB1-Normal57"/>
              <w:spacing w:before="0" w:after="0" w:line="240" w:lineRule="auto"/>
              <w:jc w:val="center"/>
              <w:rPr>
                <w:noProof/>
              </w:rPr>
            </w:pPr>
            <w:r>
              <w:rPr>
                <w:noProof/>
              </w:rPr>
              <w:t>C 2.3.: Prijelaz na čišće izvore energije – ulaganje 2: Modernizacija distribucije toplinske energije u sustavima centraliziranog grijanja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00D26B69"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auto"/>
            </w:tcBorders>
            <w:shd w:val="clear" w:color="auto" w:fill="C6EFCE"/>
            <w:vAlign w:val="center"/>
            <w:hideMark/>
          </w:tcPr>
          <w:p w14:paraId="236F4FAC" w14:textId="77777777" w:rsidR="00615E2D" w:rsidRDefault="00C83E46">
            <w:pPr>
              <w:pStyle w:val="P68B1DB1-Normal57"/>
              <w:spacing w:before="0" w:after="0" w:line="240" w:lineRule="auto"/>
              <w:jc w:val="center"/>
              <w:rPr>
                <w:noProof/>
              </w:rPr>
            </w:pPr>
            <w:r>
              <w:rPr>
                <w:noProof/>
              </w:rPr>
              <w:t>Plan ulaganja u postrojenja za proizvodnju toplinske i električne energije</w:t>
            </w:r>
          </w:p>
        </w:tc>
      </w:tr>
      <w:tr w:rsidR="00615E2D" w14:paraId="079545E5" w14:textId="77777777">
        <w:trPr>
          <w:trHeight w:val="600"/>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20BF80B0" w14:textId="77777777" w:rsidR="00615E2D" w:rsidRDefault="00C83E46">
            <w:pPr>
              <w:pStyle w:val="P68B1DB1-Normal57"/>
              <w:spacing w:before="0" w:after="0" w:line="240" w:lineRule="auto"/>
              <w:jc w:val="center"/>
              <w:rPr>
                <w:noProof/>
              </w:rPr>
            </w:pPr>
            <w:r>
              <w:rPr>
                <w:noProof/>
              </w:rPr>
              <w:t>179</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6DB89BB1" w14:textId="77777777" w:rsidR="00615E2D" w:rsidRDefault="00C83E46">
            <w:pPr>
              <w:pStyle w:val="P68B1DB1-Normal57"/>
              <w:spacing w:before="0" w:after="0" w:line="240" w:lineRule="auto"/>
              <w:jc w:val="center"/>
              <w:rPr>
                <w:noProof/>
              </w:rPr>
            </w:pPr>
            <w:r>
              <w:rPr>
                <w:noProof/>
              </w:rPr>
              <w:t>C 3.2.: Prilagodba školskih programa – ulaganje 1: Razvoj odabranih ključnih akademskih lokacija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5E39CB46"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auto"/>
              <w:right w:val="single" w:sz="8" w:space="0" w:color="auto"/>
            </w:tcBorders>
            <w:shd w:val="clear" w:color="auto" w:fill="C6EFCE"/>
            <w:vAlign w:val="center"/>
            <w:hideMark/>
          </w:tcPr>
          <w:p w14:paraId="6A38294C" w14:textId="77777777" w:rsidR="00615E2D" w:rsidRDefault="00C83E46">
            <w:pPr>
              <w:pStyle w:val="P68B1DB1-Normal57"/>
              <w:spacing w:before="0" w:after="0" w:line="240" w:lineRule="auto"/>
              <w:jc w:val="center"/>
              <w:rPr>
                <w:noProof/>
              </w:rPr>
            </w:pPr>
            <w:r>
              <w:rPr>
                <w:noProof/>
              </w:rPr>
              <w:t xml:space="preserve">Dodjela ugovora za izgradnju novih sveučilišnih objekata </w:t>
            </w:r>
          </w:p>
        </w:tc>
      </w:tr>
      <w:tr w:rsidR="00615E2D" w14:paraId="49D4EC37"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hideMark/>
          </w:tcPr>
          <w:p w14:paraId="04A70A48" w14:textId="77777777" w:rsidR="00615E2D" w:rsidRDefault="00C83E46">
            <w:pPr>
              <w:pStyle w:val="P68B1DB1-Normal57"/>
              <w:spacing w:before="0" w:after="0" w:line="240" w:lineRule="auto"/>
              <w:jc w:val="center"/>
              <w:rPr>
                <w:noProof/>
              </w:rPr>
            </w:pPr>
            <w:r>
              <w:rPr>
                <w:noProof/>
              </w:rPr>
              <w:t>231</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17422674" w14:textId="2A30C75A" w:rsidR="00615E2D" w:rsidRDefault="00C83E46">
            <w:pPr>
              <w:pStyle w:val="P68B1DB1-Normal57"/>
              <w:spacing w:before="0" w:after="0" w:line="240" w:lineRule="auto"/>
              <w:jc w:val="center"/>
              <w:rPr>
                <w:noProof/>
              </w:rPr>
            </w:pPr>
            <w:r>
              <w:rPr>
                <w:noProof/>
              </w:rPr>
              <w:t xml:space="preserve">C 6.1.: Povećanje otpornosti zdravstvenog sustava – reforma 1.: Poboljšanje obrazovanja zdravstvenih djelatnika </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5FC9EFC1"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4" w:space="0" w:color="auto"/>
              <w:right w:val="single" w:sz="8" w:space="0" w:color="auto"/>
            </w:tcBorders>
            <w:shd w:val="clear" w:color="auto" w:fill="C6EFCE"/>
            <w:vAlign w:val="center"/>
            <w:hideMark/>
          </w:tcPr>
          <w:p w14:paraId="60FFA11E" w14:textId="77777777" w:rsidR="00615E2D" w:rsidRDefault="00C83E46">
            <w:pPr>
              <w:pStyle w:val="P68B1DB1-Normal57"/>
              <w:spacing w:before="0" w:after="0" w:line="240" w:lineRule="auto"/>
              <w:jc w:val="center"/>
              <w:rPr>
                <w:noProof/>
              </w:rPr>
            </w:pPr>
            <w:r>
              <w:rPr>
                <w:noProof/>
              </w:rPr>
              <w:t xml:space="preserve">Elektronički sustav za upravljanje, administraciju i evaluaciju osposobljavanja zdravstvenih </w:t>
            </w:r>
            <w:r>
              <w:rPr>
                <w:noProof/>
                <w:u w:val="single"/>
              </w:rPr>
              <w:t>djelatnika</w:t>
            </w:r>
          </w:p>
        </w:tc>
      </w:tr>
      <w:tr w:rsidR="00615E2D" w14:paraId="22BB72A7"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2C2536CB" w14:textId="1E087176" w:rsidR="00615E2D" w:rsidRDefault="00C83E46">
            <w:pPr>
              <w:pStyle w:val="P68B1DB1-Normal57"/>
              <w:spacing w:before="0" w:after="0" w:line="240" w:lineRule="auto"/>
              <w:jc w:val="center"/>
              <w:rPr>
                <w:noProof/>
              </w:rPr>
            </w:pPr>
            <w:r>
              <w:rPr>
                <w:noProof/>
              </w:rPr>
              <w:t xml:space="preserve">274 </w:t>
            </w:r>
          </w:p>
        </w:tc>
        <w:tc>
          <w:tcPr>
            <w:tcW w:w="3969" w:type="dxa"/>
            <w:tcBorders>
              <w:top w:val="nil"/>
              <w:left w:val="nil"/>
              <w:bottom w:val="single" w:sz="4" w:space="0" w:color="auto"/>
              <w:right w:val="single" w:sz="8" w:space="0" w:color="000000" w:themeColor="text1"/>
            </w:tcBorders>
            <w:shd w:val="clear" w:color="auto" w:fill="C6EFCE"/>
            <w:vAlign w:val="center"/>
          </w:tcPr>
          <w:p w14:paraId="5CD75AC4" w14:textId="79CD8393" w:rsidR="00615E2D" w:rsidRDefault="00C83E46">
            <w:pPr>
              <w:pStyle w:val="P68B1DB1-Normal57"/>
              <w:spacing w:before="0" w:after="0" w:line="240" w:lineRule="auto"/>
              <w:jc w:val="center"/>
              <w:rPr>
                <w:noProof/>
              </w:rPr>
            </w:pPr>
            <w:r>
              <w:rPr>
                <w:noProof/>
              </w:rPr>
              <w:t>C3.3.: Modernizacija službi za zapošljavanje i razvoj tržišta rada —</w:t>
            </w:r>
          </w:p>
          <w:p w14:paraId="173B5CCA" w14:textId="6ADF2173" w:rsidR="00615E2D" w:rsidRDefault="00C83E46">
            <w:pPr>
              <w:pStyle w:val="P68B1DB1-Normal57"/>
              <w:spacing w:before="0" w:after="0" w:line="240" w:lineRule="auto"/>
              <w:jc w:val="center"/>
              <w:rPr>
                <w:noProof/>
              </w:rPr>
            </w:pPr>
            <w:r>
              <w:rPr>
                <w:noProof/>
              </w:rPr>
              <w:t xml:space="preserve">Ulaganje 4: Razvoj i modernizacija infrastrukture za socijalnu skrb o djeci </w:t>
            </w:r>
          </w:p>
          <w:p w14:paraId="66826C4F" w14:textId="6C1E52B6" w:rsidR="00615E2D" w:rsidRDefault="00C83E46">
            <w:pPr>
              <w:pStyle w:val="P68B1DB1-Normal57"/>
              <w:spacing w:before="0" w:after="0" w:line="240" w:lineRule="auto"/>
              <w:jc w:val="center"/>
              <w:rPr>
                <w:noProof/>
              </w:rPr>
            </w:pPr>
            <w:r>
              <w:rPr>
                <w:noProof/>
              </w:rPr>
              <w:t xml:space="preserve"> </w:t>
            </w:r>
          </w:p>
        </w:tc>
        <w:tc>
          <w:tcPr>
            <w:tcW w:w="1843" w:type="dxa"/>
            <w:tcBorders>
              <w:top w:val="nil"/>
              <w:left w:val="nil"/>
              <w:bottom w:val="single" w:sz="4" w:space="0" w:color="auto"/>
              <w:right w:val="single" w:sz="8" w:space="0" w:color="000000" w:themeColor="text1"/>
            </w:tcBorders>
            <w:shd w:val="clear" w:color="auto" w:fill="C6EFCE"/>
            <w:vAlign w:val="center"/>
          </w:tcPr>
          <w:p w14:paraId="0A1EF1A5" w14:textId="3E005D13"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7B1CD112" w14:textId="7ED67E63" w:rsidR="00615E2D" w:rsidRDefault="00C83E46">
            <w:pPr>
              <w:pStyle w:val="P68B1DB1-Normal57"/>
              <w:spacing w:before="0" w:after="0" w:line="240" w:lineRule="auto"/>
              <w:jc w:val="center"/>
              <w:rPr>
                <w:noProof/>
              </w:rPr>
            </w:pPr>
            <w:r>
              <w:rPr>
                <w:noProof/>
              </w:rPr>
              <w:t xml:space="preserve">Objavljen poziv na podnošenje projekata za smještaj ugrožene djece </w:t>
            </w:r>
          </w:p>
        </w:tc>
      </w:tr>
      <w:tr w:rsidR="00615E2D" w14:paraId="00CE47F5"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66F79E09" w14:textId="46DC12D0" w:rsidR="00615E2D" w:rsidRDefault="00C83E46">
            <w:pPr>
              <w:pStyle w:val="P68B1DB1-Normal57"/>
              <w:spacing w:before="0" w:after="0" w:line="240" w:lineRule="auto"/>
              <w:jc w:val="center"/>
              <w:rPr>
                <w:noProof/>
              </w:rPr>
            </w:pPr>
            <w:r>
              <w:rPr>
                <w:noProof/>
              </w:rPr>
              <w:t xml:space="preserve">275 </w:t>
            </w:r>
          </w:p>
        </w:tc>
        <w:tc>
          <w:tcPr>
            <w:tcW w:w="3969" w:type="dxa"/>
            <w:tcBorders>
              <w:top w:val="nil"/>
              <w:left w:val="nil"/>
              <w:bottom w:val="single" w:sz="4" w:space="0" w:color="auto"/>
              <w:right w:val="single" w:sz="8" w:space="0" w:color="000000" w:themeColor="text1"/>
            </w:tcBorders>
            <w:shd w:val="clear" w:color="auto" w:fill="C6EFCE"/>
            <w:vAlign w:val="center"/>
          </w:tcPr>
          <w:p w14:paraId="75C901D6" w14:textId="56182923" w:rsidR="00615E2D" w:rsidRDefault="00C83E46">
            <w:pPr>
              <w:pStyle w:val="P68B1DB1-Normal57"/>
              <w:spacing w:before="0" w:after="0" w:line="240" w:lineRule="auto"/>
              <w:jc w:val="center"/>
              <w:rPr>
                <w:noProof/>
              </w:rPr>
            </w:pPr>
            <w:r>
              <w:rPr>
                <w:noProof/>
              </w:rPr>
              <w:t>C3.3.: Modernizacija službi za zapošljavanje i razvoj tržišta rada —</w:t>
            </w:r>
          </w:p>
          <w:p w14:paraId="7C747A25" w14:textId="29AE3C61" w:rsidR="00615E2D" w:rsidRDefault="00C83E46">
            <w:pPr>
              <w:pStyle w:val="P68B1DB1-Normal57"/>
              <w:spacing w:before="0" w:after="0" w:line="240" w:lineRule="auto"/>
              <w:jc w:val="center"/>
              <w:rPr>
                <w:noProof/>
              </w:rPr>
            </w:pPr>
            <w:r>
              <w:rPr>
                <w:noProof/>
              </w:rPr>
              <w:t xml:space="preserve">Ulaganje 4: Razvoj i modernizacija infrastrukture za socijalnu skrb o djeci </w:t>
            </w:r>
          </w:p>
        </w:tc>
        <w:tc>
          <w:tcPr>
            <w:tcW w:w="1843" w:type="dxa"/>
            <w:tcBorders>
              <w:top w:val="nil"/>
              <w:left w:val="nil"/>
              <w:bottom w:val="single" w:sz="4" w:space="0" w:color="auto"/>
              <w:right w:val="single" w:sz="8" w:space="0" w:color="000000" w:themeColor="text1"/>
            </w:tcBorders>
            <w:shd w:val="clear" w:color="auto" w:fill="C6EFCE"/>
            <w:vAlign w:val="center"/>
          </w:tcPr>
          <w:p w14:paraId="72888984" w14:textId="60518946"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04D73618" w14:textId="1EB665AE" w:rsidR="00615E2D" w:rsidRDefault="00C83E46">
            <w:pPr>
              <w:pStyle w:val="P68B1DB1-Normal57"/>
              <w:spacing w:before="0" w:after="0" w:line="240" w:lineRule="auto"/>
              <w:jc w:val="center"/>
              <w:rPr>
                <w:noProof/>
              </w:rPr>
            </w:pPr>
            <w:r>
              <w:rPr>
                <w:noProof/>
              </w:rPr>
              <w:t>Objavljen poziv na podnošenje projekata za ustanove za ugroženu djecu</w:t>
            </w:r>
          </w:p>
        </w:tc>
      </w:tr>
      <w:tr w:rsidR="00615E2D" w14:paraId="7F30D91B"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5F781ADC" w14:textId="67EE7A81" w:rsidR="00615E2D" w:rsidRDefault="00C83E46">
            <w:pPr>
              <w:pStyle w:val="P68B1DB1-Normal57"/>
              <w:spacing w:before="0" w:after="0" w:line="240" w:lineRule="auto"/>
              <w:jc w:val="center"/>
              <w:rPr>
                <w:noProof/>
              </w:rPr>
            </w:pPr>
            <w:r>
              <w:rPr>
                <w:noProof/>
              </w:rPr>
              <w:t xml:space="preserve">281 </w:t>
            </w:r>
          </w:p>
        </w:tc>
        <w:tc>
          <w:tcPr>
            <w:tcW w:w="3969" w:type="dxa"/>
            <w:tcBorders>
              <w:top w:val="nil"/>
              <w:left w:val="nil"/>
              <w:bottom w:val="single" w:sz="4" w:space="0" w:color="auto"/>
              <w:right w:val="single" w:sz="8" w:space="0" w:color="000000" w:themeColor="text1"/>
            </w:tcBorders>
            <w:shd w:val="clear" w:color="auto" w:fill="C6EFCE"/>
            <w:vAlign w:val="center"/>
          </w:tcPr>
          <w:p w14:paraId="7D4F38AB" w14:textId="7D740218" w:rsidR="00615E2D" w:rsidRDefault="00C83E46">
            <w:pPr>
              <w:pStyle w:val="P68B1DB1-Normal57"/>
              <w:spacing w:before="0" w:after="0" w:line="240" w:lineRule="auto"/>
              <w:jc w:val="center"/>
              <w:rPr>
                <w:noProof/>
              </w:rPr>
            </w:pPr>
            <w:r>
              <w:rPr>
                <w:noProof/>
              </w:rPr>
              <w:t xml:space="preserve">C 4.1.: Sustavna potpora za javna ulaganja – Reforma 2: Metodološka potpora i modernizacija javnih ulaganja  </w:t>
            </w:r>
          </w:p>
        </w:tc>
        <w:tc>
          <w:tcPr>
            <w:tcW w:w="1843" w:type="dxa"/>
            <w:tcBorders>
              <w:top w:val="nil"/>
              <w:left w:val="nil"/>
              <w:bottom w:val="single" w:sz="4" w:space="0" w:color="auto"/>
              <w:right w:val="single" w:sz="8" w:space="0" w:color="000000" w:themeColor="text1"/>
            </w:tcBorders>
            <w:shd w:val="clear" w:color="auto" w:fill="C6EFCE"/>
            <w:vAlign w:val="center"/>
          </w:tcPr>
          <w:p w14:paraId="718BD7BF" w14:textId="4070C848"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0C168423" w14:textId="61C30F8B" w:rsidR="00615E2D" w:rsidRDefault="00C83E46">
            <w:pPr>
              <w:pStyle w:val="P68B1DB1-Normal57"/>
              <w:spacing w:before="0" w:after="0" w:line="240" w:lineRule="auto"/>
              <w:jc w:val="center"/>
              <w:rPr>
                <w:noProof/>
              </w:rPr>
            </w:pPr>
            <w:r>
              <w:rPr>
                <w:noProof/>
              </w:rPr>
              <w:t>Vlada Češke Republike donijela novu strategiju javne nabave i akcijski plan za njezinu provedbu</w:t>
            </w:r>
          </w:p>
        </w:tc>
      </w:tr>
      <w:tr w:rsidR="00615E2D" w14:paraId="727346BC"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2B1EA487" w14:textId="02666EAC" w:rsidR="00615E2D" w:rsidRDefault="00C83E46">
            <w:pPr>
              <w:pStyle w:val="P68B1DB1-Normal57"/>
              <w:spacing w:before="0" w:after="0" w:line="240" w:lineRule="auto"/>
              <w:jc w:val="center"/>
              <w:rPr>
                <w:noProof/>
              </w:rPr>
            </w:pPr>
            <w:r>
              <w:rPr>
                <w:noProof/>
              </w:rPr>
              <w:t xml:space="preserve">286 </w:t>
            </w:r>
          </w:p>
        </w:tc>
        <w:tc>
          <w:tcPr>
            <w:tcW w:w="3969" w:type="dxa"/>
            <w:tcBorders>
              <w:top w:val="nil"/>
              <w:left w:val="nil"/>
              <w:bottom w:val="single" w:sz="4" w:space="0" w:color="auto"/>
              <w:right w:val="single" w:sz="8" w:space="0" w:color="000000" w:themeColor="text1"/>
            </w:tcBorders>
            <w:shd w:val="clear" w:color="auto" w:fill="C6EFCE"/>
            <w:vAlign w:val="center"/>
          </w:tcPr>
          <w:p w14:paraId="0647713B" w14:textId="02E26D87" w:rsidR="00615E2D" w:rsidRDefault="00C83E46">
            <w:pPr>
              <w:pStyle w:val="P68B1DB1-Normal57"/>
              <w:spacing w:before="0" w:after="0" w:line="240" w:lineRule="auto"/>
              <w:jc w:val="center"/>
              <w:rPr>
                <w:noProof/>
              </w:rPr>
            </w:pPr>
            <w:r>
              <w:rPr>
                <w:noProof/>
              </w:rPr>
              <w:t xml:space="preserve">C 4.1.: Sustavna potpora za javna ulaganja- reforma 4:  </w:t>
            </w:r>
          </w:p>
          <w:p w14:paraId="6DE061DB" w14:textId="5B35FA36" w:rsidR="00615E2D" w:rsidRDefault="00C83E46">
            <w:pPr>
              <w:pStyle w:val="P68B1DB1-Normal57"/>
              <w:spacing w:before="0" w:after="0" w:line="240" w:lineRule="auto"/>
              <w:jc w:val="center"/>
              <w:rPr>
                <w:noProof/>
              </w:rPr>
            </w:pPr>
            <w:r>
              <w:rPr>
                <w:noProof/>
              </w:rPr>
              <w:t xml:space="preserve">Povećanje učinkovitosti i poboljšanje provedbe plana za oporavak i otpornost </w:t>
            </w:r>
          </w:p>
        </w:tc>
        <w:tc>
          <w:tcPr>
            <w:tcW w:w="1843" w:type="dxa"/>
            <w:tcBorders>
              <w:top w:val="nil"/>
              <w:left w:val="nil"/>
              <w:bottom w:val="single" w:sz="4" w:space="0" w:color="auto"/>
              <w:right w:val="single" w:sz="8" w:space="0" w:color="000000" w:themeColor="text1"/>
            </w:tcBorders>
            <w:shd w:val="clear" w:color="auto" w:fill="C6EFCE"/>
            <w:vAlign w:val="center"/>
          </w:tcPr>
          <w:p w14:paraId="192F03D0" w14:textId="1512B7B7"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363D9243" w14:textId="7EC62C6B" w:rsidR="00615E2D" w:rsidRDefault="00C83E46">
            <w:pPr>
              <w:pStyle w:val="P68B1DB1-Normal57"/>
              <w:spacing w:before="0" w:after="0" w:line="240" w:lineRule="auto"/>
              <w:jc w:val="center"/>
              <w:rPr>
                <w:noProof/>
              </w:rPr>
            </w:pPr>
            <w:r>
              <w:rPr>
                <w:noProof/>
              </w:rPr>
              <w:t>Odobreni medijski i komunikacijski plan za revidirani plan za oporavak i otpornost</w:t>
            </w:r>
          </w:p>
        </w:tc>
      </w:tr>
      <w:tr w:rsidR="00615E2D" w14:paraId="35D7182B"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46424E3D" w14:textId="37595877" w:rsidR="00615E2D" w:rsidRDefault="00C83E46">
            <w:pPr>
              <w:pStyle w:val="P68B1DB1-Normal57"/>
              <w:spacing w:before="0" w:after="0" w:line="240" w:lineRule="auto"/>
              <w:jc w:val="center"/>
              <w:rPr>
                <w:noProof/>
              </w:rPr>
            </w:pPr>
            <w:r>
              <w:rPr>
                <w:noProof/>
              </w:rPr>
              <w:t xml:space="preserve">304 </w:t>
            </w:r>
          </w:p>
        </w:tc>
        <w:tc>
          <w:tcPr>
            <w:tcW w:w="3969" w:type="dxa"/>
            <w:tcBorders>
              <w:top w:val="nil"/>
              <w:left w:val="nil"/>
              <w:bottom w:val="single" w:sz="4" w:space="0" w:color="auto"/>
              <w:right w:val="single" w:sz="8" w:space="0" w:color="000000" w:themeColor="text1"/>
            </w:tcBorders>
            <w:shd w:val="clear" w:color="auto" w:fill="C6EFCE"/>
            <w:vAlign w:val="center"/>
          </w:tcPr>
          <w:p w14:paraId="677E6458" w14:textId="76ED4C81" w:rsidR="00615E2D" w:rsidRDefault="00C83E46">
            <w:pPr>
              <w:pStyle w:val="P68B1DB1-Normal57"/>
              <w:spacing w:before="0" w:after="0" w:line="240" w:lineRule="auto"/>
              <w:jc w:val="center"/>
              <w:rPr>
                <w:noProof/>
              </w:rPr>
            </w:pPr>
            <w:r>
              <w:rPr>
                <w:noProof/>
              </w:rPr>
              <w:t xml:space="preserve">C 7.1.:  Obnovljiva energija i elektroenergetska infrastruktura – reforma 3. – 1. potmjera </w:t>
            </w:r>
          </w:p>
          <w:p w14:paraId="30F16879" w14:textId="78FEE74C" w:rsidR="00615E2D" w:rsidRDefault="00C83E46">
            <w:pPr>
              <w:pStyle w:val="P68B1DB1-Normal57"/>
              <w:spacing w:before="0" w:after="0" w:line="240" w:lineRule="auto"/>
              <w:jc w:val="center"/>
              <w:rPr>
                <w:noProof/>
              </w:rPr>
            </w:pPr>
            <w:r>
              <w:rPr>
                <w:noProof/>
              </w:rPr>
              <w:t xml:space="preserve">Poboljšanje transparentnosti postupka priključenja na mrežu  </w:t>
            </w:r>
          </w:p>
        </w:tc>
        <w:tc>
          <w:tcPr>
            <w:tcW w:w="1843" w:type="dxa"/>
            <w:tcBorders>
              <w:top w:val="nil"/>
              <w:left w:val="nil"/>
              <w:bottom w:val="single" w:sz="4" w:space="0" w:color="auto"/>
              <w:right w:val="single" w:sz="8" w:space="0" w:color="000000" w:themeColor="text1"/>
            </w:tcBorders>
            <w:shd w:val="clear" w:color="auto" w:fill="C6EFCE"/>
            <w:vAlign w:val="center"/>
          </w:tcPr>
          <w:p w14:paraId="289509EC" w14:textId="54860C3D"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08DF036B" w14:textId="2D185523" w:rsidR="00615E2D" w:rsidRDefault="00C83E46">
            <w:pPr>
              <w:pStyle w:val="P68B1DB1-Normal57"/>
              <w:spacing w:before="0" w:after="0" w:line="240" w:lineRule="auto"/>
              <w:jc w:val="center"/>
              <w:rPr>
                <w:noProof/>
              </w:rPr>
            </w:pPr>
            <w:r>
              <w:rPr>
                <w:noProof/>
              </w:rPr>
              <w:t xml:space="preserve">Stupanje na snagu zakonodavnih i postupovnih promjena   </w:t>
            </w:r>
          </w:p>
          <w:p w14:paraId="7F91F077" w14:textId="4C866EB4" w:rsidR="00615E2D" w:rsidRDefault="00615E2D">
            <w:pPr>
              <w:spacing w:before="0" w:after="0" w:line="240" w:lineRule="auto"/>
              <w:jc w:val="center"/>
              <w:rPr>
                <w:rFonts w:eastAsia="Times New Roman"/>
                <w:noProof/>
                <w:color w:val="006100"/>
                <w:sz w:val="20"/>
              </w:rPr>
            </w:pPr>
          </w:p>
        </w:tc>
      </w:tr>
      <w:tr w:rsidR="00615E2D" w14:paraId="59E68414"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7C49E070" w14:textId="2F430923" w:rsidR="00615E2D" w:rsidRDefault="00C83E46">
            <w:pPr>
              <w:pStyle w:val="P68B1DB1-Normal57"/>
              <w:spacing w:before="0" w:after="0" w:line="240" w:lineRule="auto"/>
              <w:jc w:val="center"/>
              <w:rPr>
                <w:noProof/>
              </w:rPr>
            </w:pPr>
            <w:r>
              <w:rPr>
                <w:noProof/>
              </w:rPr>
              <w:t xml:space="preserve">305 </w:t>
            </w:r>
          </w:p>
        </w:tc>
        <w:tc>
          <w:tcPr>
            <w:tcW w:w="3969" w:type="dxa"/>
            <w:tcBorders>
              <w:top w:val="nil"/>
              <w:left w:val="nil"/>
              <w:bottom w:val="single" w:sz="4" w:space="0" w:color="auto"/>
              <w:right w:val="single" w:sz="8" w:space="0" w:color="000000" w:themeColor="text1"/>
            </w:tcBorders>
            <w:shd w:val="clear" w:color="auto" w:fill="C6EFCE"/>
            <w:vAlign w:val="center"/>
          </w:tcPr>
          <w:p w14:paraId="63D67FB5" w14:textId="3C9E69B1" w:rsidR="00615E2D" w:rsidRDefault="00C83E46">
            <w:pPr>
              <w:pStyle w:val="P68B1DB1-Normal57"/>
              <w:spacing w:before="0" w:after="0" w:line="240" w:lineRule="auto"/>
              <w:jc w:val="center"/>
              <w:rPr>
                <w:noProof/>
              </w:rPr>
            </w:pPr>
            <w:r>
              <w:rPr>
                <w:noProof/>
              </w:rPr>
              <w:t xml:space="preserve">C 7.1.:  Obnovljiva energija i elektroenergetska infrastruktura – reforma 3. – 1. potmjera </w:t>
            </w:r>
          </w:p>
          <w:p w14:paraId="6E352367" w14:textId="715CDB34" w:rsidR="00615E2D" w:rsidRDefault="00C83E46">
            <w:pPr>
              <w:pStyle w:val="P68B1DB1-Normal57"/>
              <w:spacing w:before="0" w:after="0" w:line="240" w:lineRule="auto"/>
              <w:jc w:val="center"/>
              <w:rPr>
                <w:noProof/>
              </w:rPr>
            </w:pPr>
            <w:r>
              <w:rPr>
                <w:noProof/>
              </w:rPr>
              <w:t xml:space="preserve">Poboljšanje transparentnosti postupka priključenja na mrežu </w:t>
            </w:r>
          </w:p>
          <w:p w14:paraId="78AED665" w14:textId="19C6B91A" w:rsidR="00615E2D" w:rsidRDefault="00C83E46">
            <w:pPr>
              <w:pStyle w:val="P68B1DB1-Normal57"/>
              <w:spacing w:before="0" w:after="0" w:line="240" w:lineRule="auto"/>
              <w:jc w:val="center"/>
              <w:rPr>
                <w:noProof/>
              </w:rPr>
            </w:pPr>
            <w:r>
              <w:rPr>
                <w:noProof/>
              </w:rPr>
              <w:t xml:space="preserve"> </w:t>
            </w:r>
          </w:p>
        </w:tc>
        <w:tc>
          <w:tcPr>
            <w:tcW w:w="1843" w:type="dxa"/>
            <w:tcBorders>
              <w:top w:val="nil"/>
              <w:left w:val="nil"/>
              <w:bottom w:val="single" w:sz="4" w:space="0" w:color="auto"/>
              <w:right w:val="single" w:sz="8" w:space="0" w:color="000000" w:themeColor="text1"/>
            </w:tcBorders>
            <w:shd w:val="clear" w:color="auto" w:fill="C6EFCE"/>
            <w:vAlign w:val="center"/>
          </w:tcPr>
          <w:p w14:paraId="4A1A5F40" w14:textId="7C948738"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1C5066B9" w14:textId="5BC36ECB" w:rsidR="00615E2D" w:rsidRDefault="00C83E46">
            <w:pPr>
              <w:pStyle w:val="P68B1DB1-Normal57"/>
              <w:spacing w:before="0" w:after="0" w:line="240" w:lineRule="auto"/>
              <w:jc w:val="center"/>
              <w:rPr>
                <w:noProof/>
              </w:rPr>
            </w:pPr>
            <w:r>
              <w:rPr>
                <w:noProof/>
              </w:rPr>
              <w:t xml:space="preserve">Objava informacija o zahtjevima za priključenje na mrežu i kapacitetima </w:t>
            </w:r>
          </w:p>
          <w:p w14:paraId="4AFA5028" w14:textId="5961E827" w:rsidR="00615E2D" w:rsidRDefault="00C83E46">
            <w:pPr>
              <w:pStyle w:val="P68B1DB1-Normal57"/>
              <w:spacing w:before="0" w:after="0" w:line="240" w:lineRule="auto"/>
              <w:jc w:val="center"/>
              <w:rPr>
                <w:noProof/>
              </w:rPr>
            </w:pPr>
            <w:r>
              <w:rPr>
                <w:noProof/>
              </w:rPr>
              <w:t xml:space="preserve">  </w:t>
            </w:r>
          </w:p>
        </w:tc>
      </w:tr>
      <w:tr w:rsidR="00615E2D" w14:paraId="197D296C"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49333854" w14:textId="64BB1DFF" w:rsidR="00615E2D" w:rsidRDefault="00C83E46">
            <w:pPr>
              <w:pStyle w:val="P68B1DB1-Normal57"/>
              <w:spacing w:before="0" w:after="0" w:line="240" w:lineRule="auto"/>
              <w:jc w:val="center"/>
              <w:rPr>
                <w:noProof/>
              </w:rPr>
            </w:pPr>
            <w:r>
              <w:rPr>
                <w:noProof/>
              </w:rPr>
              <w:t xml:space="preserve">309 </w:t>
            </w:r>
          </w:p>
        </w:tc>
        <w:tc>
          <w:tcPr>
            <w:tcW w:w="3969" w:type="dxa"/>
            <w:tcBorders>
              <w:top w:val="nil"/>
              <w:left w:val="nil"/>
              <w:bottom w:val="single" w:sz="4" w:space="0" w:color="auto"/>
              <w:right w:val="single" w:sz="8" w:space="0" w:color="000000" w:themeColor="text1"/>
            </w:tcBorders>
            <w:shd w:val="clear" w:color="auto" w:fill="C6EFCE"/>
            <w:vAlign w:val="center"/>
          </w:tcPr>
          <w:p w14:paraId="2C2B0630" w14:textId="52402A84" w:rsidR="00615E2D" w:rsidRDefault="00C83E46">
            <w:pPr>
              <w:pStyle w:val="P68B1DB1-Normal57"/>
              <w:spacing w:before="0" w:after="0" w:line="240" w:lineRule="auto"/>
              <w:jc w:val="center"/>
              <w:rPr>
                <w:noProof/>
              </w:rPr>
            </w:pPr>
            <w:r>
              <w:rPr>
                <w:noProof/>
              </w:rPr>
              <w:t xml:space="preserve">C 7.2 Potpora decentralizaciji i digitalizaciji energije – ulaganja 1:  Centar za podatke o električnoj energiji </w:t>
            </w:r>
          </w:p>
          <w:p w14:paraId="4B5F937A" w14:textId="4A34208F" w:rsidR="00615E2D" w:rsidRDefault="00C83E46">
            <w:pPr>
              <w:pStyle w:val="P68B1DB1-Normal57"/>
              <w:spacing w:before="0" w:after="0" w:line="240" w:lineRule="auto"/>
              <w:jc w:val="center"/>
              <w:rPr>
                <w:noProof/>
              </w:rPr>
            </w:pPr>
            <w:r>
              <w:rPr>
                <w:noProof/>
              </w:rPr>
              <w:t xml:space="preserve"> </w:t>
            </w:r>
          </w:p>
        </w:tc>
        <w:tc>
          <w:tcPr>
            <w:tcW w:w="1843" w:type="dxa"/>
            <w:tcBorders>
              <w:top w:val="nil"/>
              <w:left w:val="nil"/>
              <w:bottom w:val="single" w:sz="4" w:space="0" w:color="auto"/>
              <w:right w:val="single" w:sz="8" w:space="0" w:color="000000" w:themeColor="text1"/>
            </w:tcBorders>
            <w:shd w:val="clear" w:color="auto" w:fill="C6EFCE"/>
            <w:vAlign w:val="center"/>
          </w:tcPr>
          <w:p w14:paraId="11037CC2" w14:textId="4D69B2EE"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5D0BFC4E" w14:textId="1BBE76E4" w:rsidR="00615E2D" w:rsidRDefault="00C83E46">
            <w:pPr>
              <w:pStyle w:val="P68B1DB1-Normal57"/>
              <w:spacing w:before="0" w:after="0" w:line="240" w:lineRule="auto"/>
              <w:jc w:val="center"/>
              <w:rPr>
                <w:noProof/>
              </w:rPr>
            </w:pPr>
            <w:r>
              <w:rPr>
                <w:noProof/>
              </w:rPr>
              <w:t>Stupanje na snagu zakonodavstva o osnivanju Centra za podatke o električnoj energiji</w:t>
            </w:r>
          </w:p>
        </w:tc>
      </w:tr>
      <w:tr w:rsidR="00615E2D" w14:paraId="0A255041"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1422882B" w14:textId="7B52CF41" w:rsidR="00615E2D" w:rsidRDefault="00C83E46">
            <w:pPr>
              <w:pStyle w:val="P68B1DB1-Normal57"/>
              <w:spacing w:before="0" w:after="0" w:line="240" w:lineRule="auto"/>
              <w:jc w:val="center"/>
              <w:rPr>
                <w:noProof/>
              </w:rPr>
            </w:pPr>
            <w:r>
              <w:rPr>
                <w:noProof/>
              </w:rPr>
              <w:t>250</w:t>
            </w:r>
          </w:p>
        </w:tc>
        <w:tc>
          <w:tcPr>
            <w:tcW w:w="3969" w:type="dxa"/>
            <w:tcBorders>
              <w:top w:val="nil"/>
              <w:left w:val="nil"/>
              <w:bottom w:val="single" w:sz="4" w:space="0" w:color="auto"/>
              <w:right w:val="single" w:sz="8" w:space="0" w:color="000000" w:themeColor="text1"/>
            </w:tcBorders>
            <w:shd w:val="clear" w:color="auto" w:fill="C6EFCE"/>
            <w:vAlign w:val="center"/>
          </w:tcPr>
          <w:p w14:paraId="32A2C74E" w14:textId="7D8298BD" w:rsidR="00615E2D" w:rsidRDefault="00C83E46">
            <w:pPr>
              <w:pStyle w:val="P68B1DB1-Normal57"/>
              <w:spacing w:before="0" w:after="0" w:line="240" w:lineRule="auto"/>
              <w:jc w:val="center"/>
              <w:rPr>
                <w:noProof/>
              </w:rPr>
            </w:pPr>
            <w:r>
              <w:rPr>
                <w:noProof/>
              </w:rPr>
              <w:t>C 1.4.: Digitalno gospodarstvo i društvo, Inovativan početak i nova tehnologija —</w:t>
            </w:r>
          </w:p>
          <w:p w14:paraId="0AAF0E3A" w14:textId="72CF5267" w:rsidR="00615E2D" w:rsidRDefault="00C83E46">
            <w:pPr>
              <w:pStyle w:val="P68B1DB1-Normal57"/>
              <w:spacing w:before="0" w:after="0" w:line="240" w:lineRule="auto"/>
              <w:jc w:val="center"/>
              <w:rPr>
                <w:noProof/>
              </w:rPr>
            </w:pPr>
            <w:r>
              <w:rPr>
                <w:noProof/>
              </w:rPr>
              <w:t xml:space="preserve">Ulaganje 2: Europski opservatorij za digitalne medije (EDMO) </w:t>
            </w:r>
          </w:p>
        </w:tc>
        <w:tc>
          <w:tcPr>
            <w:tcW w:w="1843" w:type="dxa"/>
            <w:tcBorders>
              <w:top w:val="nil"/>
              <w:left w:val="nil"/>
              <w:bottom w:val="single" w:sz="4" w:space="0" w:color="auto"/>
              <w:right w:val="single" w:sz="8" w:space="0" w:color="000000" w:themeColor="text1"/>
            </w:tcBorders>
            <w:shd w:val="clear" w:color="auto" w:fill="C6EFCE"/>
            <w:vAlign w:val="center"/>
          </w:tcPr>
          <w:p w14:paraId="025AC742" w14:textId="1A559CB3"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64F69B41" w14:textId="54C3A7D4" w:rsidR="00615E2D" w:rsidRDefault="00C83E46">
            <w:pPr>
              <w:pStyle w:val="P68B1DB1-Normal57"/>
              <w:spacing w:before="0" w:after="0" w:line="240" w:lineRule="auto"/>
              <w:jc w:val="center"/>
              <w:rPr>
                <w:noProof/>
              </w:rPr>
            </w:pPr>
            <w:r>
              <w:rPr>
                <w:noProof/>
              </w:rPr>
              <w:t xml:space="preserve">Pokretanje proširenog centra CEDMO-a  </w:t>
            </w:r>
          </w:p>
        </w:tc>
      </w:tr>
      <w:tr w:rsidR="00615E2D" w14:paraId="0A160DC9" w14:textId="77777777">
        <w:trPr>
          <w:trHeight w:val="600"/>
        </w:trPr>
        <w:tc>
          <w:tcPr>
            <w:tcW w:w="1276"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3E6C42D5" w14:textId="3DBCC65A" w:rsidR="00615E2D" w:rsidRDefault="00C83E46">
            <w:pPr>
              <w:pStyle w:val="P68B1DB1-Normal57"/>
              <w:spacing w:before="0" w:after="0" w:line="240" w:lineRule="auto"/>
              <w:jc w:val="center"/>
              <w:rPr>
                <w:noProof/>
              </w:rPr>
            </w:pPr>
            <w:r>
              <w:rPr>
                <w:noProof/>
              </w:rPr>
              <w:t xml:space="preserve">256 </w:t>
            </w:r>
          </w:p>
        </w:tc>
        <w:tc>
          <w:tcPr>
            <w:tcW w:w="3969" w:type="dxa"/>
            <w:tcBorders>
              <w:top w:val="nil"/>
              <w:left w:val="nil"/>
              <w:bottom w:val="single" w:sz="4" w:space="0" w:color="000000" w:themeColor="text1"/>
              <w:right w:val="single" w:sz="8" w:space="0" w:color="000000" w:themeColor="text1"/>
            </w:tcBorders>
            <w:shd w:val="clear" w:color="auto" w:fill="C6EFCE"/>
            <w:vAlign w:val="center"/>
          </w:tcPr>
          <w:p w14:paraId="5C794F2A" w14:textId="12A3729C" w:rsidR="00615E2D" w:rsidRDefault="00C83E46">
            <w:pPr>
              <w:pStyle w:val="P68B1DB1-Normal57"/>
              <w:spacing w:before="0" w:after="0" w:line="240" w:lineRule="auto"/>
              <w:jc w:val="center"/>
              <w:rPr>
                <w:noProof/>
              </w:rPr>
            </w:pPr>
            <w:r>
              <w:rPr>
                <w:noProof/>
              </w:rPr>
              <w:t>C 1.7: Digitalna transformacija javne uprave —</w:t>
            </w:r>
          </w:p>
          <w:p w14:paraId="338BDF73" w14:textId="2E5EE4E7" w:rsidR="00615E2D" w:rsidRDefault="00C83E46">
            <w:pPr>
              <w:pStyle w:val="P68B1DB1-Normal57"/>
              <w:spacing w:before="0" w:after="0" w:line="240" w:lineRule="auto"/>
              <w:jc w:val="center"/>
              <w:rPr>
                <w:noProof/>
              </w:rPr>
            </w:pPr>
            <w:r>
              <w:rPr>
                <w:noProof/>
              </w:rPr>
              <w:t xml:space="preserve">Ulaganje 2: Poboljšanje sustava upravljanja digitaliziranim uslugama </w:t>
            </w:r>
          </w:p>
        </w:tc>
        <w:tc>
          <w:tcPr>
            <w:tcW w:w="1843" w:type="dxa"/>
            <w:tcBorders>
              <w:top w:val="nil"/>
              <w:left w:val="nil"/>
              <w:bottom w:val="single" w:sz="4" w:space="0" w:color="000000" w:themeColor="text1"/>
              <w:right w:val="single" w:sz="8" w:space="0" w:color="000000" w:themeColor="text1"/>
            </w:tcBorders>
            <w:shd w:val="clear" w:color="auto" w:fill="C6EFCE"/>
            <w:vAlign w:val="center"/>
          </w:tcPr>
          <w:p w14:paraId="26A07BF1" w14:textId="222A2519"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000000" w:themeColor="text1"/>
              <w:right w:val="single" w:sz="8" w:space="0" w:color="auto"/>
            </w:tcBorders>
            <w:shd w:val="clear" w:color="auto" w:fill="C6EFCE"/>
            <w:vAlign w:val="center"/>
          </w:tcPr>
          <w:p w14:paraId="33320548" w14:textId="6108F9F0" w:rsidR="00615E2D" w:rsidRDefault="00C83E46">
            <w:pPr>
              <w:pStyle w:val="P68B1DB1-Normal57"/>
              <w:spacing w:before="0" w:after="0" w:line="240" w:lineRule="auto"/>
              <w:jc w:val="center"/>
              <w:rPr>
                <w:noProof/>
              </w:rPr>
            </w:pPr>
            <w:r>
              <w:rPr>
                <w:noProof/>
              </w:rPr>
              <w:t>Osnivanje radnih skupina</w:t>
            </w:r>
          </w:p>
        </w:tc>
      </w:tr>
      <w:tr w:rsidR="00615E2D" w14:paraId="29E813B4" w14:textId="77777777">
        <w:trPr>
          <w:trHeight w:val="600"/>
        </w:trPr>
        <w:tc>
          <w:tcPr>
            <w:tcW w:w="1276" w:type="dxa"/>
            <w:tcBorders>
              <w:top w:val="single" w:sz="4" w:space="0" w:color="000000" w:themeColor="text1"/>
              <w:left w:val="single" w:sz="8" w:space="0" w:color="auto"/>
              <w:bottom w:val="single" w:sz="4" w:space="0" w:color="auto"/>
              <w:right w:val="single" w:sz="8" w:space="0" w:color="000000" w:themeColor="text1"/>
            </w:tcBorders>
            <w:shd w:val="clear" w:color="auto" w:fill="C6EFCE"/>
            <w:vAlign w:val="center"/>
          </w:tcPr>
          <w:p w14:paraId="53FCBAF2" w14:textId="708DC3F4" w:rsidR="00615E2D" w:rsidRDefault="00C83E46">
            <w:pPr>
              <w:pStyle w:val="P68B1DB1-Normal57"/>
              <w:spacing w:before="0" w:after="0" w:line="240" w:lineRule="auto"/>
              <w:jc w:val="center"/>
              <w:rPr>
                <w:noProof/>
              </w:rPr>
            </w:pPr>
            <w:r>
              <w:rPr>
                <w:noProof/>
              </w:rPr>
              <w:t xml:space="preserve">292 </w:t>
            </w:r>
          </w:p>
        </w:tc>
        <w:tc>
          <w:tcPr>
            <w:tcW w:w="3969" w:type="dxa"/>
            <w:tcBorders>
              <w:top w:val="single" w:sz="4" w:space="0" w:color="000000" w:themeColor="text1"/>
              <w:left w:val="nil"/>
              <w:bottom w:val="single" w:sz="4" w:space="0" w:color="auto"/>
              <w:right w:val="single" w:sz="8" w:space="0" w:color="000000" w:themeColor="text1"/>
            </w:tcBorders>
            <w:shd w:val="clear" w:color="auto" w:fill="C6EFCE"/>
            <w:vAlign w:val="center"/>
          </w:tcPr>
          <w:p w14:paraId="5B7EE8FF" w14:textId="771CBB0C" w:rsidR="00615E2D" w:rsidRDefault="00C83E46">
            <w:pPr>
              <w:pStyle w:val="P68B1DB1-Normal57"/>
              <w:spacing w:before="0" w:after="0" w:line="240" w:lineRule="auto"/>
              <w:jc w:val="center"/>
              <w:rPr>
                <w:noProof/>
              </w:rPr>
            </w:pPr>
            <w:r>
              <w:rPr>
                <w:noProof/>
              </w:rPr>
              <w:t xml:space="preserve">C 5.2: Potpora za istraživanje i razvoj u poduzećima i uvođenje inovacija u poslovnu praksu – ulaganje 5: Potpore za istraživanje i razvoj u poduzećima u skladu s nacionalnom strategijom RIS3 </w:t>
            </w:r>
          </w:p>
        </w:tc>
        <w:tc>
          <w:tcPr>
            <w:tcW w:w="1843" w:type="dxa"/>
            <w:tcBorders>
              <w:top w:val="single" w:sz="4" w:space="0" w:color="000000" w:themeColor="text1"/>
              <w:left w:val="nil"/>
              <w:bottom w:val="single" w:sz="4" w:space="0" w:color="auto"/>
              <w:right w:val="single" w:sz="8" w:space="0" w:color="000000" w:themeColor="text1"/>
            </w:tcBorders>
            <w:shd w:val="clear" w:color="auto" w:fill="C6EFCE"/>
            <w:vAlign w:val="center"/>
          </w:tcPr>
          <w:p w14:paraId="5E52109A" w14:textId="5B7DCA53" w:rsidR="00615E2D" w:rsidRDefault="00C83E46">
            <w:pPr>
              <w:pStyle w:val="P68B1DB1-Normal57"/>
              <w:spacing w:before="0" w:after="0" w:line="240" w:lineRule="auto"/>
              <w:jc w:val="center"/>
              <w:rPr>
                <w:noProof/>
              </w:rPr>
            </w:pPr>
            <w:r>
              <w:rPr>
                <w:noProof/>
              </w:rPr>
              <w:t xml:space="preserve">Ciljna </w:t>
            </w:r>
          </w:p>
        </w:tc>
        <w:tc>
          <w:tcPr>
            <w:tcW w:w="3402" w:type="dxa"/>
            <w:tcBorders>
              <w:top w:val="single" w:sz="4" w:space="0" w:color="000000" w:themeColor="text1"/>
              <w:left w:val="nil"/>
              <w:bottom w:val="single" w:sz="4" w:space="0" w:color="auto"/>
              <w:right w:val="single" w:sz="8" w:space="0" w:color="auto"/>
            </w:tcBorders>
            <w:shd w:val="clear" w:color="auto" w:fill="C6EFCE"/>
            <w:vAlign w:val="center"/>
          </w:tcPr>
          <w:p w14:paraId="21BB4875" w14:textId="71791F54" w:rsidR="00615E2D" w:rsidRDefault="00C83E46">
            <w:pPr>
              <w:pStyle w:val="P68B1DB1-Normal57"/>
              <w:spacing w:before="0" w:after="0" w:line="240" w:lineRule="auto"/>
              <w:jc w:val="center"/>
              <w:rPr>
                <w:noProof/>
              </w:rPr>
            </w:pPr>
            <w:r>
              <w:rPr>
                <w:noProof/>
              </w:rPr>
              <w:t>Istraživanje i razvoj u skladu sa strategijom RIS3</w:t>
            </w:r>
          </w:p>
        </w:tc>
      </w:tr>
      <w:tr w:rsidR="00615E2D" w14:paraId="351DA99C"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3CD3B238" w14:textId="4B6F6DAF" w:rsidR="00615E2D" w:rsidRDefault="00C83E46">
            <w:pPr>
              <w:pStyle w:val="P68B1DB1-Normal57"/>
              <w:spacing w:before="0" w:after="0" w:line="240" w:lineRule="auto"/>
              <w:jc w:val="center"/>
              <w:rPr>
                <w:noProof/>
              </w:rPr>
            </w:pPr>
            <w:r>
              <w:rPr>
                <w:noProof/>
              </w:rPr>
              <w:t xml:space="preserve">294 </w:t>
            </w:r>
          </w:p>
        </w:tc>
        <w:tc>
          <w:tcPr>
            <w:tcW w:w="3969" w:type="dxa"/>
            <w:tcBorders>
              <w:top w:val="nil"/>
              <w:left w:val="nil"/>
              <w:bottom w:val="single" w:sz="4" w:space="0" w:color="auto"/>
              <w:right w:val="single" w:sz="8" w:space="0" w:color="000000" w:themeColor="text1"/>
            </w:tcBorders>
            <w:shd w:val="clear" w:color="auto" w:fill="C6EFCE"/>
            <w:vAlign w:val="center"/>
          </w:tcPr>
          <w:p w14:paraId="2256D1A5" w14:textId="350CA6FB" w:rsidR="00615E2D" w:rsidRDefault="00C83E46">
            <w:pPr>
              <w:pStyle w:val="P68B1DB1-Normal57"/>
              <w:spacing w:before="0" w:after="0" w:line="240" w:lineRule="auto"/>
              <w:jc w:val="center"/>
              <w:rPr>
                <w:noProof/>
              </w:rPr>
            </w:pPr>
            <w:r>
              <w:rPr>
                <w:noProof/>
              </w:rPr>
              <w:t xml:space="preserve">C 5.2: Potpora za istraživanje i razvoj u poduzećima i uvođenje inovacija u poslovnu praksu – ulaganje 6: Potpore za istraživanje i razvoj u području prometa </w:t>
            </w:r>
          </w:p>
        </w:tc>
        <w:tc>
          <w:tcPr>
            <w:tcW w:w="1843" w:type="dxa"/>
            <w:tcBorders>
              <w:top w:val="nil"/>
              <w:left w:val="nil"/>
              <w:bottom w:val="single" w:sz="4" w:space="0" w:color="auto"/>
              <w:right w:val="single" w:sz="8" w:space="0" w:color="000000" w:themeColor="text1"/>
            </w:tcBorders>
            <w:shd w:val="clear" w:color="auto" w:fill="C6EFCE"/>
            <w:vAlign w:val="center"/>
          </w:tcPr>
          <w:p w14:paraId="71365931" w14:textId="14CF0A64" w:rsidR="00615E2D" w:rsidRDefault="00C83E46">
            <w:pPr>
              <w:pStyle w:val="P68B1DB1-Normal57"/>
              <w:spacing w:before="0" w:after="0" w:line="240" w:lineRule="auto"/>
              <w:jc w:val="center"/>
              <w:rPr>
                <w:noProof/>
              </w:rPr>
            </w:pPr>
            <w:r>
              <w:rPr>
                <w:noProof/>
              </w:rPr>
              <w:t xml:space="preserve">Ciljna </w:t>
            </w:r>
          </w:p>
        </w:tc>
        <w:tc>
          <w:tcPr>
            <w:tcW w:w="3402" w:type="dxa"/>
            <w:tcBorders>
              <w:top w:val="nil"/>
              <w:left w:val="nil"/>
              <w:bottom w:val="single" w:sz="4" w:space="0" w:color="auto"/>
              <w:right w:val="single" w:sz="8" w:space="0" w:color="auto"/>
            </w:tcBorders>
            <w:shd w:val="clear" w:color="auto" w:fill="C6EFCE"/>
            <w:vAlign w:val="center"/>
          </w:tcPr>
          <w:p w14:paraId="7E68E3FE" w14:textId="1C55252F" w:rsidR="00615E2D" w:rsidRDefault="00C83E46">
            <w:pPr>
              <w:pStyle w:val="P68B1DB1-Normal57"/>
              <w:spacing w:before="0" w:after="0" w:line="240" w:lineRule="auto"/>
              <w:jc w:val="center"/>
              <w:rPr>
                <w:noProof/>
              </w:rPr>
            </w:pPr>
            <w:r>
              <w:rPr>
                <w:noProof/>
              </w:rPr>
              <w:t>Istraživanje i razvoj u području prometa</w:t>
            </w:r>
          </w:p>
        </w:tc>
      </w:tr>
      <w:tr w:rsidR="00615E2D" w14:paraId="021C8557"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2F7936AE" w14:textId="4EA01670" w:rsidR="00615E2D" w:rsidRDefault="00C83E46">
            <w:pPr>
              <w:pStyle w:val="P68B1DB1-Normal57"/>
              <w:spacing w:before="0" w:after="0" w:line="240" w:lineRule="auto"/>
              <w:jc w:val="center"/>
              <w:rPr>
                <w:noProof/>
              </w:rPr>
            </w:pPr>
            <w:r>
              <w:rPr>
                <w:noProof/>
              </w:rPr>
              <w:t xml:space="preserve">296 </w:t>
            </w:r>
          </w:p>
        </w:tc>
        <w:tc>
          <w:tcPr>
            <w:tcW w:w="3969" w:type="dxa"/>
            <w:tcBorders>
              <w:top w:val="nil"/>
              <w:left w:val="nil"/>
              <w:bottom w:val="single" w:sz="4" w:space="0" w:color="auto"/>
              <w:right w:val="single" w:sz="8" w:space="0" w:color="000000" w:themeColor="text1"/>
            </w:tcBorders>
            <w:shd w:val="clear" w:color="auto" w:fill="C6EFCE"/>
            <w:vAlign w:val="center"/>
          </w:tcPr>
          <w:p w14:paraId="2403F707" w14:textId="6C618D78" w:rsidR="00615E2D" w:rsidRDefault="00C83E46">
            <w:pPr>
              <w:pStyle w:val="P68B1DB1-Normal57"/>
              <w:spacing w:before="0" w:after="0" w:line="240" w:lineRule="auto"/>
              <w:jc w:val="center"/>
              <w:rPr>
                <w:noProof/>
              </w:rPr>
            </w:pPr>
            <w:r>
              <w:rPr>
                <w:noProof/>
              </w:rPr>
              <w:t xml:space="preserve">C 5.2: Potpora za istraživanje i razvoj u poduzećima i uvođenje inovacija u poslovnu praksu – ulaganje 7: Potpore za istraživanje i razvoj u području zaštite okoliša </w:t>
            </w:r>
          </w:p>
        </w:tc>
        <w:tc>
          <w:tcPr>
            <w:tcW w:w="1843" w:type="dxa"/>
            <w:tcBorders>
              <w:top w:val="nil"/>
              <w:left w:val="nil"/>
              <w:bottom w:val="single" w:sz="4" w:space="0" w:color="auto"/>
              <w:right w:val="single" w:sz="8" w:space="0" w:color="000000" w:themeColor="text1"/>
            </w:tcBorders>
            <w:shd w:val="clear" w:color="auto" w:fill="C6EFCE"/>
            <w:vAlign w:val="center"/>
          </w:tcPr>
          <w:p w14:paraId="11156A05" w14:textId="4ED35396" w:rsidR="00615E2D" w:rsidRDefault="00C83E46">
            <w:pPr>
              <w:pStyle w:val="P68B1DB1-Normal57"/>
              <w:spacing w:before="0" w:after="0" w:line="240" w:lineRule="auto"/>
              <w:jc w:val="center"/>
              <w:rPr>
                <w:noProof/>
              </w:rPr>
            </w:pPr>
            <w:r>
              <w:rPr>
                <w:noProof/>
              </w:rPr>
              <w:t xml:space="preserve">Ciljna </w:t>
            </w:r>
          </w:p>
        </w:tc>
        <w:tc>
          <w:tcPr>
            <w:tcW w:w="3402" w:type="dxa"/>
            <w:tcBorders>
              <w:top w:val="nil"/>
              <w:left w:val="nil"/>
              <w:bottom w:val="single" w:sz="4" w:space="0" w:color="auto"/>
              <w:right w:val="single" w:sz="8" w:space="0" w:color="auto"/>
            </w:tcBorders>
            <w:shd w:val="clear" w:color="auto" w:fill="C6EFCE"/>
            <w:vAlign w:val="center"/>
          </w:tcPr>
          <w:p w14:paraId="39D1504A" w14:textId="39F78CBF" w:rsidR="00615E2D" w:rsidRDefault="00C83E46">
            <w:pPr>
              <w:pStyle w:val="P68B1DB1-Normal57"/>
              <w:spacing w:before="0" w:after="0" w:line="240" w:lineRule="auto"/>
              <w:jc w:val="center"/>
              <w:rPr>
                <w:noProof/>
              </w:rPr>
            </w:pPr>
            <w:r>
              <w:rPr>
                <w:noProof/>
              </w:rPr>
              <w:t>Istraživanje i razvoj u području okoliša</w:t>
            </w:r>
          </w:p>
        </w:tc>
      </w:tr>
      <w:tr w:rsidR="00615E2D" w14:paraId="2A5DD583"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22983DD7" w14:textId="3FAEE075" w:rsidR="00615E2D" w:rsidRDefault="00C83E46">
            <w:pPr>
              <w:pStyle w:val="P68B1DB1-Normal57"/>
              <w:spacing w:before="0" w:after="0" w:line="240" w:lineRule="auto"/>
              <w:jc w:val="center"/>
              <w:rPr>
                <w:noProof/>
              </w:rPr>
            </w:pPr>
            <w:r>
              <w:rPr>
                <w:noProof/>
              </w:rPr>
              <w:t xml:space="preserve">312 </w:t>
            </w:r>
          </w:p>
        </w:tc>
        <w:tc>
          <w:tcPr>
            <w:tcW w:w="3969" w:type="dxa"/>
            <w:tcBorders>
              <w:top w:val="nil"/>
              <w:left w:val="nil"/>
              <w:bottom w:val="single" w:sz="4" w:space="0" w:color="auto"/>
              <w:right w:val="single" w:sz="8" w:space="0" w:color="000000" w:themeColor="text1"/>
            </w:tcBorders>
            <w:shd w:val="clear" w:color="auto" w:fill="C6EFCE"/>
            <w:vAlign w:val="center"/>
          </w:tcPr>
          <w:p w14:paraId="260EE668" w14:textId="7A4FE21F" w:rsidR="00615E2D" w:rsidRDefault="00C83E46">
            <w:pPr>
              <w:pStyle w:val="P68B1DB1-Normal57"/>
              <w:spacing w:before="0" w:after="0" w:line="240" w:lineRule="auto"/>
              <w:jc w:val="center"/>
              <w:rPr>
                <w:noProof/>
              </w:rPr>
            </w:pPr>
            <w:r>
              <w:rPr>
                <w:noProof/>
              </w:rPr>
              <w:t xml:space="preserve">C 7.2 Potpora decentralizaciji i digitalizaciji energetske reforme 1.: Energetske zajednice. </w:t>
            </w:r>
          </w:p>
        </w:tc>
        <w:tc>
          <w:tcPr>
            <w:tcW w:w="1843" w:type="dxa"/>
            <w:tcBorders>
              <w:top w:val="nil"/>
              <w:left w:val="nil"/>
              <w:bottom w:val="single" w:sz="4" w:space="0" w:color="auto"/>
              <w:right w:val="single" w:sz="8" w:space="0" w:color="000000" w:themeColor="text1"/>
            </w:tcBorders>
            <w:shd w:val="clear" w:color="auto" w:fill="C6EFCE"/>
            <w:vAlign w:val="center"/>
          </w:tcPr>
          <w:p w14:paraId="291EE7BA" w14:textId="5BABFB69"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581938AB" w14:textId="1189B999" w:rsidR="00615E2D" w:rsidRDefault="00C83E46">
            <w:pPr>
              <w:pStyle w:val="P68B1DB1-Normal57"/>
              <w:spacing w:before="0" w:after="0" w:line="240" w:lineRule="auto"/>
              <w:jc w:val="center"/>
              <w:rPr>
                <w:noProof/>
              </w:rPr>
            </w:pPr>
            <w:r>
              <w:rPr>
                <w:noProof/>
              </w:rPr>
              <w:t xml:space="preserve">Stupanje na snagu izmijenjenog zakonodavstva o energetskim zajednicama </w:t>
            </w:r>
          </w:p>
          <w:p w14:paraId="5F62A944" w14:textId="6F9CCAAF" w:rsidR="00615E2D" w:rsidRDefault="00615E2D">
            <w:pPr>
              <w:spacing w:before="0" w:after="0" w:line="240" w:lineRule="auto"/>
              <w:jc w:val="center"/>
              <w:rPr>
                <w:rFonts w:eastAsia="Times New Roman"/>
                <w:noProof/>
                <w:color w:val="006100"/>
                <w:sz w:val="20"/>
              </w:rPr>
            </w:pPr>
          </w:p>
        </w:tc>
      </w:tr>
      <w:tr w:rsidR="00615E2D" w14:paraId="66C50868"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79ECB0E7" w14:textId="121365E9" w:rsidR="00615E2D" w:rsidRDefault="00C83E46">
            <w:pPr>
              <w:pStyle w:val="P68B1DB1-Normal57"/>
              <w:spacing w:before="0" w:after="0"/>
              <w:jc w:val="center"/>
              <w:rPr>
                <w:noProof/>
              </w:rPr>
            </w:pPr>
            <w:r>
              <w:rPr>
                <w:noProof/>
              </w:rPr>
              <w:t xml:space="preserve">329 </w:t>
            </w:r>
          </w:p>
        </w:tc>
        <w:tc>
          <w:tcPr>
            <w:tcW w:w="3969" w:type="dxa"/>
            <w:tcBorders>
              <w:top w:val="nil"/>
              <w:left w:val="nil"/>
              <w:bottom w:val="single" w:sz="4" w:space="0" w:color="auto"/>
              <w:right w:val="single" w:sz="8" w:space="0" w:color="000000" w:themeColor="text1"/>
            </w:tcBorders>
            <w:shd w:val="clear" w:color="auto" w:fill="C6EFCE"/>
            <w:vAlign w:val="center"/>
          </w:tcPr>
          <w:p w14:paraId="3B235486" w14:textId="4FDFC98F" w:rsidR="00615E2D" w:rsidRDefault="00C83E46">
            <w:pPr>
              <w:pStyle w:val="P68B1DB1-Normal57"/>
              <w:spacing w:before="0" w:after="0" w:line="240" w:lineRule="auto"/>
              <w:jc w:val="center"/>
              <w:rPr>
                <w:noProof/>
              </w:rPr>
            </w:pPr>
            <w:r>
              <w:rPr>
                <w:noProof/>
              </w:rPr>
              <w:t xml:space="preserve">C 7.5. Dekarbonizacija cestovnog prometa – reforma 1.: Nacionalni akcijski plan za čistu mobilnost i ciljevi uvođenja za mobilnost s nultom stopom emisija  </w:t>
            </w:r>
          </w:p>
          <w:p w14:paraId="5B4CC531" w14:textId="341932DB" w:rsidR="00615E2D" w:rsidRDefault="00C83E46">
            <w:pPr>
              <w:pStyle w:val="P68B1DB1-Normal57"/>
              <w:spacing w:before="0" w:after="0" w:line="240" w:lineRule="auto"/>
              <w:jc w:val="center"/>
              <w:rPr>
                <w:noProof/>
              </w:rPr>
            </w:pPr>
            <w:r>
              <w:rPr>
                <w:noProof/>
              </w:rPr>
              <w:t xml:space="preserve">  </w:t>
            </w:r>
          </w:p>
        </w:tc>
        <w:tc>
          <w:tcPr>
            <w:tcW w:w="1843" w:type="dxa"/>
            <w:tcBorders>
              <w:top w:val="nil"/>
              <w:left w:val="nil"/>
              <w:bottom w:val="single" w:sz="4" w:space="0" w:color="auto"/>
              <w:right w:val="single" w:sz="8" w:space="0" w:color="000000" w:themeColor="text1"/>
            </w:tcBorders>
            <w:shd w:val="clear" w:color="auto" w:fill="C6EFCE"/>
            <w:vAlign w:val="center"/>
          </w:tcPr>
          <w:p w14:paraId="5B601942" w14:textId="708C0EB3"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0EA81419" w14:textId="33360A2E" w:rsidR="00615E2D" w:rsidRDefault="00C83E46">
            <w:pPr>
              <w:pStyle w:val="P68B1DB1-Normal57"/>
              <w:spacing w:before="0" w:after="0"/>
              <w:jc w:val="center"/>
              <w:rPr>
                <w:noProof/>
              </w:rPr>
            </w:pPr>
            <w:r>
              <w:rPr>
                <w:noProof/>
              </w:rPr>
              <w:t>Revizija nacionalnog akcijskog plana za čistu mobilnost</w:t>
            </w:r>
          </w:p>
        </w:tc>
      </w:tr>
      <w:tr w:rsidR="00615E2D" w14:paraId="0BF3FC68"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tcPr>
          <w:p w14:paraId="5BEFD7CE" w14:textId="39AC6E63" w:rsidR="00615E2D" w:rsidRDefault="00C83E46">
            <w:pPr>
              <w:pStyle w:val="P68B1DB1-Normal57"/>
              <w:spacing w:before="0" w:after="0"/>
              <w:jc w:val="center"/>
              <w:rPr>
                <w:noProof/>
              </w:rPr>
            </w:pPr>
            <w:r>
              <w:rPr>
                <w:noProof/>
              </w:rPr>
              <w:t xml:space="preserve">333 </w:t>
            </w:r>
          </w:p>
        </w:tc>
        <w:tc>
          <w:tcPr>
            <w:tcW w:w="3969" w:type="dxa"/>
            <w:tcBorders>
              <w:top w:val="nil"/>
              <w:left w:val="nil"/>
              <w:bottom w:val="single" w:sz="4" w:space="0" w:color="auto"/>
              <w:right w:val="single" w:sz="8" w:space="0" w:color="000000" w:themeColor="text1"/>
            </w:tcBorders>
            <w:shd w:val="clear" w:color="auto" w:fill="C6EFCE"/>
            <w:vAlign w:val="center"/>
          </w:tcPr>
          <w:p w14:paraId="3EB22EED" w14:textId="3DA87F83" w:rsidR="00615E2D" w:rsidRDefault="00C83E46">
            <w:pPr>
              <w:pStyle w:val="P68B1DB1-Normal57"/>
              <w:spacing w:before="0" w:after="0"/>
              <w:rPr>
                <w:noProof/>
              </w:rPr>
            </w:pPr>
            <w:r>
              <w:rPr>
                <w:noProof/>
              </w:rPr>
              <w:t xml:space="preserve">C 7.5. Dekarbonizacija cestovnog prometa (REPowerEU) — </w:t>
            </w:r>
          </w:p>
          <w:p w14:paraId="390863A4" w14:textId="658B6985" w:rsidR="00615E2D" w:rsidRDefault="00C83E46">
            <w:pPr>
              <w:pStyle w:val="P68B1DB1-Normal57"/>
              <w:spacing w:before="0" w:after="0"/>
              <w:rPr>
                <w:noProof/>
              </w:rPr>
            </w:pPr>
            <w:r>
              <w:rPr>
                <w:noProof/>
              </w:rPr>
              <w:t xml:space="preserve">Reforma 3.: Poboljšanje regulatornog okvira za vodik iz obnovljivih izvora </w:t>
            </w:r>
          </w:p>
        </w:tc>
        <w:tc>
          <w:tcPr>
            <w:tcW w:w="1843" w:type="dxa"/>
            <w:tcBorders>
              <w:top w:val="nil"/>
              <w:left w:val="nil"/>
              <w:bottom w:val="single" w:sz="4" w:space="0" w:color="auto"/>
              <w:right w:val="single" w:sz="8" w:space="0" w:color="000000" w:themeColor="text1"/>
            </w:tcBorders>
            <w:shd w:val="clear" w:color="auto" w:fill="C6EFCE"/>
            <w:vAlign w:val="center"/>
          </w:tcPr>
          <w:p w14:paraId="5C7A80F7" w14:textId="2C0B808A"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auto"/>
              <w:right w:val="single" w:sz="8" w:space="0" w:color="auto"/>
            </w:tcBorders>
            <w:shd w:val="clear" w:color="auto" w:fill="C6EFCE"/>
            <w:vAlign w:val="center"/>
          </w:tcPr>
          <w:p w14:paraId="3FC24025" w14:textId="40F68E91" w:rsidR="00615E2D" w:rsidRDefault="00C83E46">
            <w:pPr>
              <w:pStyle w:val="P68B1DB1-Normal57"/>
              <w:spacing w:before="0" w:after="0"/>
              <w:jc w:val="center"/>
              <w:rPr>
                <w:noProof/>
              </w:rPr>
            </w:pPr>
            <w:r>
              <w:rPr>
                <w:noProof/>
              </w:rPr>
              <w:t>Revizija češke strategije za vodik</w:t>
            </w:r>
          </w:p>
        </w:tc>
      </w:tr>
      <w:tr w:rsidR="00615E2D" w14:paraId="1FA908FD" w14:textId="77777777">
        <w:trPr>
          <w:trHeight w:val="600"/>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0876DE8A" w14:textId="77777777" w:rsidR="00615E2D" w:rsidRDefault="00615E2D">
            <w:pPr>
              <w:spacing w:before="0" w:after="0" w:line="240" w:lineRule="auto"/>
              <w:jc w:val="center"/>
              <w:rPr>
                <w:rFonts w:eastAsia="Times New Roman"/>
                <w:noProof/>
                <w:color w:val="006100"/>
                <w:sz w:val="20"/>
              </w:rPr>
            </w:pP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5343FE77" w14:textId="77777777" w:rsidR="00615E2D" w:rsidRDefault="00615E2D">
            <w:pPr>
              <w:spacing w:before="0" w:after="0" w:line="240" w:lineRule="auto"/>
              <w:jc w:val="center"/>
              <w:rPr>
                <w:rFonts w:eastAsia="Times New Roman"/>
                <w:noProof/>
                <w:color w:val="006100"/>
                <w:sz w:val="20"/>
              </w:rPr>
            </w:pP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72860D1E" w14:textId="77777777" w:rsidR="00615E2D" w:rsidRDefault="00C83E46">
            <w:pPr>
              <w:pStyle w:val="P68B1DB1-Normal59"/>
              <w:spacing w:before="0" w:after="0" w:line="240" w:lineRule="auto"/>
              <w:jc w:val="center"/>
              <w:rPr>
                <w:noProof/>
              </w:rPr>
            </w:pPr>
            <w:r>
              <w:rPr>
                <w:noProof/>
              </w:rPr>
              <w:t>Iznos obroka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1BB23BB3" w14:textId="0E79FF4F" w:rsidR="00615E2D" w:rsidRDefault="00C83E46">
            <w:pPr>
              <w:pStyle w:val="P68B1DB1-Normal59"/>
              <w:spacing w:before="0" w:after="0" w:line="240" w:lineRule="auto"/>
              <w:jc w:val="center"/>
              <w:rPr>
                <w:noProof/>
              </w:rPr>
            </w:pPr>
            <w:r>
              <w:rPr>
                <w:noProof/>
              </w:rPr>
              <w:t>687612357 EURA</w:t>
            </w:r>
          </w:p>
        </w:tc>
      </w:tr>
    </w:tbl>
    <w:p w14:paraId="32CA85E9" w14:textId="77777777" w:rsidR="00615E2D" w:rsidRDefault="00615E2D">
      <w:pPr>
        <w:spacing w:line="240" w:lineRule="auto"/>
        <w:jc w:val="both"/>
        <w:rPr>
          <w:noProof/>
        </w:rPr>
      </w:pPr>
    </w:p>
    <w:p w14:paraId="1E8017BC" w14:textId="77777777" w:rsidR="00615E2D" w:rsidRDefault="00C83E46">
      <w:pPr>
        <w:numPr>
          <w:ilvl w:val="1"/>
          <w:numId w:val="198"/>
        </w:numPr>
        <w:spacing w:line="240" w:lineRule="auto"/>
        <w:jc w:val="both"/>
        <w:rPr>
          <w:noProof/>
        </w:rPr>
      </w:pPr>
      <w:r>
        <w:rPr>
          <w:noProof/>
        </w:rPr>
        <w:t xml:space="preserve">Šesti obrok (bespovratna potpora): </w:t>
      </w:r>
    </w:p>
    <w:tbl>
      <w:tblPr>
        <w:tblW w:w="10489" w:type="dxa"/>
        <w:tblInd w:w="-601" w:type="dxa"/>
        <w:tblLook w:val="04A0" w:firstRow="1" w:lastRow="0" w:firstColumn="1" w:lastColumn="0" w:noHBand="0" w:noVBand="1"/>
      </w:tblPr>
      <w:tblGrid>
        <w:gridCol w:w="1275"/>
        <w:gridCol w:w="4035"/>
        <w:gridCol w:w="1770"/>
        <w:gridCol w:w="3409"/>
      </w:tblGrid>
      <w:tr w:rsidR="00615E2D" w14:paraId="1DA465FE" w14:textId="77777777">
        <w:trPr>
          <w:trHeight w:val="825"/>
          <w:tblHeader/>
        </w:trPr>
        <w:tc>
          <w:tcPr>
            <w:tcW w:w="1275" w:type="dxa"/>
            <w:tcBorders>
              <w:top w:val="single" w:sz="8" w:space="0" w:color="auto"/>
              <w:left w:val="single" w:sz="8" w:space="0" w:color="auto"/>
              <w:bottom w:val="single" w:sz="8" w:space="0" w:color="auto"/>
              <w:right w:val="single" w:sz="8" w:space="0" w:color="auto"/>
            </w:tcBorders>
            <w:shd w:val="clear" w:color="auto" w:fill="BDD7EE"/>
            <w:vAlign w:val="center"/>
            <w:hideMark/>
          </w:tcPr>
          <w:p w14:paraId="38065FF4" w14:textId="77777777" w:rsidR="00615E2D" w:rsidRDefault="00C83E46">
            <w:pPr>
              <w:pStyle w:val="P68B1DB1-Normal55"/>
              <w:spacing w:before="0" w:after="0" w:line="240" w:lineRule="auto"/>
              <w:jc w:val="center"/>
              <w:rPr>
                <w:noProof/>
              </w:rPr>
            </w:pPr>
            <w:r>
              <w:rPr>
                <w:noProof/>
              </w:rPr>
              <w:t>Redni broj</w:t>
            </w:r>
          </w:p>
        </w:tc>
        <w:tc>
          <w:tcPr>
            <w:tcW w:w="4035" w:type="dxa"/>
            <w:tcBorders>
              <w:top w:val="single" w:sz="8" w:space="0" w:color="auto"/>
              <w:left w:val="nil"/>
              <w:bottom w:val="single" w:sz="8" w:space="0" w:color="auto"/>
              <w:right w:val="single" w:sz="8" w:space="0" w:color="auto"/>
            </w:tcBorders>
            <w:shd w:val="clear" w:color="auto" w:fill="BDD7EE"/>
            <w:vAlign w:val="center"/>
            <w:hideMark/>
          </w:tcPr>
          <w:p w14:paraId="679BED1A" w14:textId="77777777" w:rsidR="00615E2D" w:rsidRDefault="00C83E46">
            <w:pPr>
              <w:pStyle w:val="P68B1DB1-Normal55"/>
              <w:spacing w:before="0" w:after="0" w:line="240" w:lineRule="auto"/>
              <w:jc w:val="center"/>
              <w:rPr>
                <w:noProof/>
              </w:rPr>
            </w:pPr>
            <w:r>
              <w:rPr>
                <w:noProof/>
              </w:rPr>
              <w:t>Povezana mjera (reforma ili ulaganje)</w:t>
            </w:r>
          </w:p>
        </w:tc>
        <w:tc>
          <w:tcPr>
            <w:tcW w:w="1770" w:type="dxa"/>
            <w:tcBorders>
              <w:top w:val="single" w:sz="8" w:space="0" w:color="auto"/>
              <w:left w:val="nil"/>
              <w:bottom w:val="single" w:sz="8" w:space="0" w:color="auto"/>
              <w:right w:val="single" w:sz="8" w:space="0" w:color="auto"/>
            </w:tcBorders>
            <w:shd w:val="clear" w:color="auto" w:fill="BDD7EE"/>
            <w:vAlign w:val="center"/>
            <w:hideMark/>
          </w:tcPr>
          <w:p w14:paraId="63E3FA00" w14:textId="77777777" w:rsidR="00615E2D" w:rsidRDefault="00C83E46">
            <w:pPr>
              <w:pStyle w:val="P68B1DB1-Normal55"/>
              <w:spacing w:before="0" w:after="0" w:line="240" w:lineRule="auto"/>
              <w:jc w:val="center"/>
              <w:rPr>
                <w:noProof/>
              </w:rPr>
            </w:pPr>
            <w:r>
              <w:rPr>
                <w:noProof/>
              </w:rPr>
              <w:t>Ključna etapa/ciljna vrijednost</w:t>
            </w:r>
          </w:p>
        </w:tc>
        <w:tc>
          <w:tcPr>
            <w:tcW w:w="3409" w:type="dxa"/>
            <w:tcBorders>
              <w:top w:val="single" w:sz="8" w:space="0" w:color="auto"/>
              <w:left w:val="nil"/>
              <w:bottom w:val="single" w:sz="8" w:space="0" w:color="auto"/>
              <w:right w:val="single" w:sz="8" w:space="0" w:color="auto"/>
            </w:tcBorders>
            <w:shd w:val="clear" w:color="auto" w:fill="BDD7EE"/>
            <w:vAlign w:val="center"/>
            <w:hideMark/>
          </w:tcPr>
          <w:p w14:paraId="3BFABFFF" w14:textId="77777777" w:rsidR="00615E2D" w:rsidRDefault="00C83E46">
            <w:pPr>
              <w:pStyle w:val="P68B1DB1-Normal55"/>
              <w:spacing w:before="0" w:after="0" w:line="240" w:lineRule="auto"/>
              <w:jc w:val="center"/>
              <w:rPr>
                <w:noProof/>
              </w:rPr>
            </w:pPr>
            <w:r>
              <w:rPr>
                <w:noProof/>
              </w:rPr>
              <w:t>Ime</w:t>
            </w:r>
          </w:p>
        </w:tc>
      </w:tr>
      <w:tr w:rsidR="00615E2D" w14:paraId="226D69DE"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46E97845" w14:textId="77777777" w:rsidR="00615E2D" w:rsidRDefault="00C83E46">
            <w:pPr>
              <w:pStyle w:val="P68B1DB1-Normal57"/>
              <w:spacing w:before="0" w:after="0" w:line="240" w:lineRule="auto"/>
              <w:jc w:val="center"/>
              <w:rPr>
                <w:noProof/>
              </w:rPr>
            </w:pPr>
            <w:r>
              <w:rPr>
                <w:noProof/>
              </w:rPr>
              <w:t>125</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05B7D559" w14:textId="77777777" w:rsidR="00615E2D" w:rsidRDefault="00C83E46">
            <w:pPr>
              <w:pStyle w:val="P68B1DB1-Normal57"/>
              <w:spacing w:before="0" w:after="0" w:line="240" w:lineRule="auto"/>
              <w:rPr>
                <w:noProof/>
              </w:rPr>
            </w:pPr>
            <w:r>
              <w:rPr>
                <w:noProof/>
              </w:rPr>
              <w:t>C 2.5.: Obnova zgrada i zaštita zraka – ulaganje 1: Obnova i revitalizacija zgrada radi uštede energije</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7880687B" w14:textId="37DD85FC" w:rsidR="00615E2D" w:rsidRDefault="00C83E46">
            <w:pPr>
              <w:pStyle w:val="P68B1DB1-Normal28"/>
              <w:spacing w:before="0" w:after="0" w:line="240" w:lineRule="auto"/>
              <w:jc w:val="center"/>
              <w:rPr>
                <w:rFonts w:eastAsia="Times New Roman"/>
                <w:noProof/>
                <w:sz w:val="20"/>
              </w:rPr>
            </w:pPr>
            <w:r>
              <w:rPr>
                <w:noProof/>
              </w:rPr>
              <w:t>Ciljna</w:t>
            </w:r>
          </w:p>
        </w:tc>
        <w:tc>
          <w:tcPr>
            <w:tcW w:w="3409" w:type="dxa"/>
            <w:tcBorders>
              <w:top w:val="nil"/>
              <w:left w:val="nil"/>
              <w:bottom w:val="single" w:sz="8" w:space="0" w:color="auto"/>
              <w:right w:val="single" w:sz="8" w:space="0" w:color="auto"/>
            </w:tcBorders>
            <w:shd w:val="clear" w:color="auto" w:fill="C6EFCE"/>
            <w:vAlign w:val="center"/>
            <w:hideMark/>
          </w:tcPr>
          <w:p w14:paraId="71353CE1" w14:textId="503FE158" w:rsidR="00615E2D" w:rsidRDefault="00C83E46">
            <w:pPr>
              <w:pStyle w:val="P68B1DB1-Normal57"/>
              <w:spacing w:before="0" w:after="0" w:line="240" w:lineRule="auto"/>
              <w:rPr>
                <w:noProof/>
              </w:rPr>
            </w:pPr>
            <w:r>
              <w:rPr>
                <w:noProof/>
              </w:rPr>
              <w:t xml:space="preserve">Ugovoreni projekti za smanjenje potrošnje energije </w:t>
            </w:r>
          </w:p>
        </w:tc>
      </w:tr>
      <w:tr w:rsidR="00615E2D" w14:paraId="08EA76E6"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6644A433" w14:textId="63479EEB" w:rsidR="00615E2D" w:rsidRDefault="00C83E46">
            <w:pPr>
              <w:pStyle w:val="P68B1DB1-Normal11"/>
              <w:spacing w:before="0" w:after="0" w:line="240" w:lineRule="auto"/>
              <w:jc w:val="center"/>
              <w:rPr>
                <w:noProof/>
              </w:rPr>
            </w:pPr>
            <w:r>
              <w:rPr>
                <w:noProof/>
              </w:rPr>
              <w:t xml:space="preserve">148 </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636AEF06" w14:textId="1BC4E47F" w:rsidR="00615E2D" w:rsidRDefault="00C83E46">
            <w:pPr>
              <w:pStyle w:val="P68B1DB1-Normal61"/>
              <w:spacing w:before="0" w:after="0" w:line="240" w:lineRule="auto"/>
              <w:ind w:left="567"/>
              <w:rPr>
                <w:noProof/>
              </w:rPr>
            </w:pPr>
            <w:r>
              <w:rPr>
                <w:noProof/>
                <w:color w:val="006100"/>
              </w:rPr>
              <w:t>C</w:t>
            </w:r>
            <w:r>
              <w:rPr>
                <w:noProof/>
              </w:rPr>
              <w:t xml:space="preserve"> </w:t>
            </w:r>
            <w:r>
              <w:rPr>
                <w:noProof/>
                <w:color w:val="006100"/>
              </w:rPr>
              <w:t xml:space="preserve">2.7.: Kružno gospodarstvo, recikliranje i industrijska voda – ulaganje 1.: Izgradnja infrastrukture za recikliranje </w:t>
            </w:r>
            <w:r>
              <w:rPr>
                <w:noProof/>
              </w:rPr>
              <w:t xml:space="preserve">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485024C2" w14:textId="0EB7C68C" w:rsidR="00615E2D" w:rsidRDefault="00C83E46">
            <w:pPr>
              <w:pStyle w:val="P68B1DB1-Normal57"/>
              <w:spacing w:line="240" w:lineRule="auto"/>
              <w:jc w:val="center"/>
              <w:rPr>
                <w:noProof/>
              </w:rPr>
            </w:pPr>
            <w:r>
              <w:rPr>
                <w:noProof/>
              </w:rPr>
              <w:t>Prekretnica</w:t>
            </w:r>
          </w:p>
        </w:tc>
        <w:tc>
          <w:tcPr>
            <w:tcW w:w="3409" w:type="dxa"/>
            <w:tcBorders>
              <w:top w:val="nil"/>
              <w:left w:val="nil"/>
              <w:bottom w:val="single" w:sz="8" w:space="0" w:color="auto"/>
              <w:right w:val="single" w:sz="8" w:space="0" w:color="auto"/>
            </w:tcBorders>
            <w:shd w:val="clear" w:color="auto" w:fill="C6EFCE"/>
            <w:vAlign w:val="center"/>
            <w:hideMark/>
          </w:tcPr>
          <w:p w14:paraId="72D875EF" w14:textId="1BC4E47F" w:rsidR="00615E2D" w:rsidRDefault="00C83E46">
            <w:pPr>
              <w:pStyle w:val="FooterText"/>
              <w:rPr>
                <w:noProof/>
                <w:sz w:val="18"/>
              </w:rPr>
            </w:pPr>
            <w:r>
              <w:rPr>
                <w:noProof/>
                <w:color w:val="006100"/>
                <w:sz w:val="20"/>
              </w:rPr>
              <w:t xml:space="preserve">Ministarstvo okoliša dodjeljuje ugovore za projekte ulaganja u infrastrukturu za recikliranje </w:t>
            </w:r>
            <w:r>
              <w:rPr>
                <w:noProof/>
                <w:color w:val="006100"/>
                <w:sz w:val="18"/>
              </w:rPr>
              <w:t xml:space="preserve"> </w:t>
            </w:r>
            <w:r>
              <w:rPr>
                <w:noProof/>
                <w:sz w:val="18"/>
              </w:rPr>
              <w:t xml:space="preserve"> </w:t>
            </w:r>
          </w:p>
        </w:tc>
      </w:tr>
      <w:tr w:rsidR="00615E2D" w14:paraId="2412DAEB" w14:textId="77777777">
        <w:trPr>
          <w:trHeight w:val="600"/>
        </w:trPr>
        <w:tc>
          <w:tcPr>
            <w:tcW w:w="1275" w:type="dxa"/>
            <w:tcBorders>
              <w:top w:val="nil"/>
              <w:left w:val="single" w:sz="8" w:space="0" w:color="auto"/>
              <w:bottom w:val="nil"/>
              <w:right w:val="single" w:sz="8" w:space="0" w:color="000000" w:themeColor="text1"/>
            </w:tcBorders>
            <w:shd w:val="clear" w:color="auto" w:fill="C6EFCE"/>
            <w:vAlign w:val="center"/>
            <w:hideMark/>
          </w:tcPr>
          <w:p w14:paraId="5A83334D" w14:textId="77777777" w:rsidR="00615E2D" w:rsidRDefault="00C83E46">
            <w:pPr>
              <w:pStyle w:val="P68B1DB1-Normal56"/>
              <w:spacing w:before="0" w:after="0" w:line="240" w:lineRule="auto"/>
              <w:jc w:val="center"/>
              <w:rPr>
                <w:noProof/>
              </w:rPr>
            </w:pPr>
            <w:r>
              <w:rPr>
                <w:noProof/>
              </w:rPr>
              <w:t>141</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76540003" w14:textId="61490F74" w:rsidR="00615E2D" w:rsidRDefault="00C83E46">
            <w:pPr>
              <w:pStyle w:val="P68B1DB1-Normal57"/>
              <w:spacing w:before="0" w:after="0" w:line="240" w:lineRule="auto"/>
              <w:jc w:val="center"/>
              <w:rPr>
                <w:noProof/>
              </w:rPr>
            </w:pPr>
            <w:r>
              <w:rPr>
                <w:noProof/>
              </w:rPr>
              <w:t>C 2.6.: Zaštita prirode i prilagodba klimatskim promjenama – ulaganje 4: Izgradnja šuma otpornih na klimatske promjene</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0F917AA3" w14:textId="77777777" w:rsidR="00615E2D" w:rsidRDefault="00C83E46">
            <w:pPr>
              <w:pStyle w:val="P68B1DB1-Normal57"/>
              <w:spacing w:before="0" w:after="0" w:line="240" w:lineRule="auto"/>
              <w:jc w:val="center"/>
              <w:rPr>
                <w:noProof/>
              </w:rPr>
            </w:pPr>
            <w:r>
              <w:rPr>
                <w:noProof/>
              </w:rPr>
              <w:t>Ciljna</w:t>
            </w:r>
          </w:p>
        </w:tc>
        <w:tc>
          <w:tcPr>
            <w:tcW w:w="3409" w:type="dxa"/>
            <w:tcBorders>
              <w:top w:val="nil"/>
              <w:left w:val="nil"/>
              <w:bottom w:val="nil"/>
              <w:right w:val="single" w:sz="8" w:space="0" w:color="auto"/>
            </w:tcBorders>
            <w:shd w:val="clear" w:color="auto" w:fill="C6EFCE"/>
            <w:vAlign w:val="center"/>
            <w:hideMark/>
          </w:tcPr>
          <w:p w14:paraId="5B1A8951" w14:textId="790F8962" w:rsidR="00615E2D" w:rsidRDefault="00C83E46">
            <w:pPr>
              <w:pStyle w:val="P68B1DB1-Normal56"/>
              <w:spacing w:before="0" w:after="0" w:line="240" w:lineRule="auto"/>
              <w:jc w:val="center"/>
              <w:rPr>
                <w:noProof/>
              </w:rPr>
            </w:pPr>
            <w:r>
              <w:rPr>
                <w:noProof/>
              </w:rPr>
              <w:t xml:space="preserve">T2: Ponovno pošumljavanje dodatnih 24 000 ha područja ameliorativnim i stabiliziranim vrstama drveća </w:t>
            </w:r>
          </w:p>
        </w:tc>
      </w:tr>
      <w:tr w:rsidR="00615E2D" w14:paraId="1171C906" w14:textId="77777777">
        <w:trPr>
          <w:trHeight w:val="405"/>
        </w:trPr>
        <w:tc>
          <w:tcPr>
            <w:tcW w:w="1275" w:type="dxa"/>
            <w:tcBorders>
              <w:top w:val="single" w:sz="8" w:space="0" w:color="000000" w:themeColor="text1"/>
              <w:left w:val="single" w:sz="8" w:space="0" w:color="auto"/>
              <w:bottom w:val="nil"/>
              <w:right w:val="single" w:sz="8" w:space="0" w:color="000000" w:themeColor="text1"/>
            </w:tcBorders>
            <w:shd w:val="clear" w:color="auto" w:fill="C6EFCE"/>
            <w:vAlign w:val="center"/>
            <w:hideMark/>
          </w:tcPr>
          <w:p w14:paraId="0DF6FAAE" w14:textId="5B74D4F6" w:rsidR="00615E2D" w:rsidRDefault="00C83E46">
            <w:pPr>
              <w:pStyle w:val="P68B1DB1-Normal11"/>
              <w:spacing w:before="0" w:after="0"/>
              <w:jc w:val="center"/>
              <w:rPr>
                <w:noProof/>
              </w:rPr>
            </w:pPr>
            <w:r>
              <w:rPr>
                <w:noProof/>
              </w:rPr>
              <w:t>245</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3ED0B701" w14:textId="4B4F87F5" w:rsidR="00615E2D" w:rsidRDefault="00C83E46">
            <w:pPr>
              <w:pStyle w:val="P68B1DB1-Normal57"/>
              <w:spacing w:line="240" w:lineRule="auto"/>
              <w:jc w:val="center"/>
              <w:rPr>
                <w:noProof/>
              </w:rPr>
            </w:pPr>
            <w:r>
              <w:rPr>
                <w:noProof/>
              </w:rPr>
              <w:t>C1.1.: Ulaganja u digitalne usluge građanima i poduzećima 2: Razvoj otvorenih podataka i javnih podataka</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2B79D8BB" w14:textId="177F7A2A" w:rsidR="00615E2D" w:rsidRDefault="00C83E46">
            <w:pPr>
              <w:pStyle w:val="P68B1DB1-Normal57"/>
              <w:spacing w:line="240" w:lineRule="auto"/>
              <w:jc w:val="center"/>
              <w:rPr>
                <w:noProof/>
              </w:rPr>
            </w:pPr>
            <w:r>
              <w:rPr>
                <w:noProof/>
              </w:rPr>
              <w:t>Ciljna</w:t>
            </w:r>
          </w:p>
        </w:tc>
        <w:tc>
          <w:tcPr>
            <w:tcW w:w="3409" w:type="dxa"/>
            <w:tcBorders>
              <w:top w:val="single" w:sz="8" w:space="0" w:color="000000" w:themeColor="text1"/>
              <w:left w:val="nil"/>
              <w:bottom w:val="nil"/>
              <w:right w:val="single" w:sz="8" w:space="0" w:color="auto"/>
            </w:tcBorders>
            <w:shd w:val="clear" w:color="auto" w:fill="C6EFCE"/>
            <w:vAlign w:val="center"/>
            <w:hideMark/>
          </w:tcPr>
          <w:p w14:paraId="1A870900" w14:textId="7A5DF7FD" w:rsidR="00615E2D" w:rsidRDefault="00C83E46">
            <w:pPr>
              <w:pStyle w:val="P68B1DB1-Normal57"/>
              <w:spacing w:line="240" w:lineRule="auto"/>
              <w:jc w:val="center"/>
              <w:rPr>
                <w:noProof/>
              </w:rPr>
            </w:pPr>
            <w:r>
              <w:rPr>
                <w:noProof/>
              </w:rPr>
              <w:t>Povećanje broja novih ili poboljšanih skupova otvorenih podataka objavljenih u nacionalnom katalogu otvorenih podataka</w:t>
            </w:r>
          </w:p>
        </w:tc>
      </w:tr>
      <w:tr w:rsidR="00615E2D" w14:paraId="667A3279" w14:textId="77777777">
        <w:trPr>
          <w:trHeight w:val="405"/>
        </w:trPr>
        <w:tc>
          <w:tcPr>
            <w:tcW w:w="1275" w:type="dxa"/>
            <w:tcBorders>
              <w:top w:val="single" w:sz="8" w:space="0" w:color="000000" w:themeColor="text1"/>
              <w:left w:val="single" w:sz="8" w:space="0" w:color="auto"/>
              <w:bottom w:val="single" w:sz="4" w:space="0" w:color="000000" w:themeColor="text1"/>
              <w:right w:val="single" w:sz="8" w:space="0" w:color="000000" w:themeColor="text1"/>
            </w:tcBorders>
            <w:shd w:val="clear" w:color="auto" w:fill="C6EFCE"/>
            <w:vAlign w:val="center"/>
            <w:hideMark/>
          </w:tcPr>
          <w:p w14:paraId="026531D5" w14:textId="77777777" w:rsidR="00615E2D" w:rsidRDefault="00C83E46">
            <w:pPr>
              <w:pStyle w:val="P68B1DB1-Normal57"/>
              <w:spacing w:before="0" w:after="0" w:line="240" w:lineRule="auto"/>
              <w:jc w:val="center"/>
              <w:rPr>
                <w:noProof/>
              </w:rPr>
            </w:pPr>
            <w:r>
              <w:rPr>
                <w:noProof/>
              </w:rPr>
              <w:t>9</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7F355E4A" w14:textId="77777777" w:rsidR="00615E2D" w:rsidRDefault="00C83E46">
            <w:pPr>
              <w:pStyle w:val="P68B1DB1-Normal57"/>
              <w:spacing w:before="0" w:after="0" w:line="240" w:lineRule="auto"/>
              <w:jc w:val="center"/>
              <w:rPr>
                <w:noProof/>
              </w:rPr>
            </w:pPr>
            <w:r>
              <w:rPr>
                <w:noProof/>
              </w:rPr>
              <w:t>C 1.1: Digitalne usluge za građane i poduzeća – ulaganja 1: Digitalne usluge za krajnje korisnike</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3D6F39A4" w14:textId="77777777" w:rsidR="00615E2D" w:rsidRDefault="00C83E46">
            <w:pPr>
              <w:pStyle w:val="P68B1DB1-Normal57"/>
              <w:spacing w:before="0" w:after="0" w:line="240" w:lineRule="auto"/>
              <w:jc w:val="center"/>
              <w:rPr>
                <w:noProof/>
              </w:rPr>
            </w:pPr>
            <w:r>
              <w:rPr>
                <w:noProof/>
              </w:rPr>
              <w:t>Prekretnica</w:t>
            </w:r>
          </w:p>
        </w:tc>
        <w:tc>
          <w:tcPr>
            <w:tcW w:w="3409" w:type="dxa"/>
            <w:tcBorders>
              <w:top w:val="single" w:sz="8" w:space="0" w:color="000000" w:themeColor="text1"/>
              <w:left w:val="nil"/>
              <w:bottom w:val="single" w:sz="4" w:space="0" w:color="000000" w:themeColor="text1"/>
              <w:right w:val="single" w:sz="8" w:space="0" w:color="auto"/>
            </w:tcBorders>
            <w:shd w:val="clear" w:color="auto" w:fill="C6EFCE"/>
            <w:vAlign w:val="center"/>
            <w:hideMark/>
          </w:tcPr>
          <w:p w14:paraId="6F03239D" w14:textId="77777777" w:rsidR="00615E2D" w:rsidRDefault="00C83E46">
            <w:pPr>
              <w:pStyle w:val="P68B1DB1-Normal57"/>
              <w:spacing w:before="0" w:after="0" w:line="240" w:lineRule="auto"/>
              <w:jc w:val="center"/>
              <w:rPr>
                <w:noProof/>
              </w:rPr>
            </w:pPr>
            <w:r>
              <w:rPr>
                <w:noProof/>
              </w:rPr>
              <w:t>Puni rad četiriju informacijskih sustava</w:t>
            </w:r>
          </w:p>
        </w:tc>
      </w:tr>
      <w:tr w:rsidR="00615E2D" w14:paraId="5DB399AB" w14:textId="77777777">
        <w:trPr>
          <w:trHeight w:val="600"/>
        </w:trPr>
        <w:tc>
          <w:tcPr>
            <w:tcW w:w="1275" w:type="dxa"/>
            <w:tcBorders>
              <w:top w:val="single" w:sz="8" w:space="0" w:color="000000" w:themeColor="text1"/>
              <w:left w:val="single" w:sz="8" w:space="0" w:color="auto"/>
              <w:bottom w:val="nil"/>
              <w:right w:val="single" w:sz="8" w:space="0" w:color="000000" w:themeColor="text1"/>
            </w:tcBorders>
            <w:shd w:val="clear" w:color="auto" w:fill="C6EFCE"/>
            <w:vAlign w:val="center"/>
            <w:hideMark/>
          </w:tcPr>
          <w:p w14:paraId="3C9AD80B" w14:textId="40FF5202" w:rsidR="00615E2D" w:rsidRDefault="00C83E46">
            <w:pPr>
              <w:pStyle w:val="P68B1DB1-Normal57"/>
              <w:spacing w:before="0" w:after="0" w:line="240" w:lineRule="auto"/>
              <w:jc w:val="center"/>
              <w:rPr>
                <w:noProof/>
              </w:rPr>
            </w:pPr>
            <w:r>
              <w:rPr>
                <w:noProof/>
              </w:rPr>
              <w:t>261</w:t>
            </w:r>
          </w:p>
        </w:tc>
        <w:tc>
          <w:tcPr>
            <w:tcW w:w="4035"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0926A1CC" w14:textId="2FD9FB2C" w:rsidR="00615E2D" w:rsidRDefault="00C83E46">
            <w:pPr>
              <w:pStyle w:val="P68B1DB1-Normal57"/>
              <w:spacing w:before="0" w:after="0" w:line="240" w:lineRule="auto"/>
              <w:jc w:val="center"/>
              <w:rPr>
                <w:noProof/>
              </w:rPr>
            </w:pPr>
            <w:r>
              <w:rPr>
                <w:noProof/>
              </w:rPr>
              <w:t xml:space="preserve">C 2.1.: Održivi promet – ulaganje 3: Poboljšanje okoliša (potpora željezničkoj infrastrukturi) </w:t>
            </w:r>
          </w:p>
        </w:tc>
        <w:tc>
          <w:tcPr>
            <w:tcW w:w="1770"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328D189F" w14:textId="6B5A0C29" w:rsidR="00615E2D" w:rsidRDefault="00C83E46">
            <w:pPr>
              <w:pStyle w:val="P68B1DB1-Normal57"/>
              <w:spacing w:before="0" w:after="0" w:line="240" w:lineRule="auto"/>
              <w:jc w:val="center"/>
              <w:rPr>
                <w:noProof/>
              </w:rPr>
            </w:pPr>
            <w:r>
              <w:rPr>
                <w:noProof/>
              </w:rPr>
              <w:t xml:space="preserve">Ciljna </w:t>
            </w:r>
          </w:p>
        </w:tc>
        <w:tc>
          <w:tcPr>
            <w:tcW w:w="3409" w:type="dxa"/>
            <w:tcBorders>
              <w:top w:val="single" w:sz="8" w:space="0" w:color="000000" w:themeColor="text1"/>
              <w:left w:val="nil"/>
              <w:bottom w:val="nil"/>
              <w:right w:val="single" w:sz="8" w:space="0" w:color="auto"/>
            </w:tcBorders>
            <w:shd w:val="clear" w:color="auto" w:fill="C6EFCE"/>
            <w:vAlign w:val="center"/>
            <w:hideMark/>
          </w:tcPr>
          <w:p w14:paraId="0E4CC9E4" w14:textId="07111432" w:rsidR="00615E2D" w:rsidRDefault="00C83E46">
            <w:pPr>
              <w:pStyle w:val="P68B1DB1-Normal57"/>
              <w:spacing w:before="0" w:after="0" w:line="240" w:lineRule="auto"/>
              <w:jc w:val="center"/>
              <w:rPr>
                <w:noProof/>
              </w:rPr>
            </w:pPr>
            <w:r>
              <w:rPr>
                <w:noProof/>
              </w:rPr>
              <w:t>Završetak 19 dodatnih projekata iz unaprijed definiranog skupa projekata</w:t>
            </w:r>
          </w:p>
        </w:tc>
      </w:tr>
      <w:tr w:rsidR="00615E2D" w14:paraId="58BCFE4A" w14:textId="77777777">
        <w:trPr>
          <w:trHeight w:val="600"/>
        </w:trPr>
        <w:tc>
          <w:tcPr>
            <w:tcW w:w="1275" w:type="dxa"/>
            <w:tcBorders>
              <w:top w:val="single" w:sz="8" w:space="0" w:color="000000" w:themeColor="text1"/>
              <w:left w:val="single" w:sz="8" w:space="0" w:color="auto"/>
              <w:bottom w:val="nil"/>
              <w:right w:val="single" w:sz="8" w:space="0" w:color="000000" w:themeColor="text1"/>
            </w:tcBorders>
            <w:shd w:val="clear" w:color="auto" w:fill="C6EFCE"/>
            <w:vAlign w:val="center"/>
            <w:hideMark/>
          </w:tcPr>
          <w:p w14:paraId="4A06407F" w14:textId="7FFE12C9" w:rsidR="00615E2D" w:rsidRDefault="00C83E46">
            <w:pPr>
              <w:pStyle w:val="P68B1DB1-Normal57"/>
              <w:spacing w:before="0" w:after="0" w:line="240" w:lineRule="auto"/>
              <w:jc w:val="center"/>
              <w:rPr>
                <w:noProof/>
              </w:rPr>
            </w:pPr>
            <w:r>
              <w:rPr>
                <w:noProof/>
              </w:rPr>
              <w:t>276</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080C021F" w14:textId="6019308C" w:rsidR="00615E2D" w:rsidRDefault="00C83E46">
            <w:pPr>
              <w:pStyle w:val="P68B1DB1-Normal57"/>
              <w:spacing w:before="0" w:after="0" w:line="240" w:lineRule="auto"/>
              <w:jc w:val="center"/>
              <w:rPr>
                <w:noProof/>
              </w:rPr>
            </w:pPr>
            <w:r>
              <w:rPr>
                <w:noProof/>
              </w:rPr>
              <w:t>C3.3.: Modernizacija službi za zapošljavanje i razvoj tržišta rada —</w:t>
            </w:r>
          </w:p>
          <w:p w14:paraId="7A770561" w14:textId="75276424" w:rsidR="00615E2D" w:rsidRDefault="00C83E46">
            <w:pPr>
              <w:pStyle w:val="P68B1DB1-Normal57"/>
              <w:spacing w:before="0" w:after="0" w:line="240" w:lineRule="auto"/>
              <w:jc w:val="center"/>
              <w:rPr>
                <w:noProof/>
              </w:rPr>
            </w:pPr>
            <w:r>
              <w:rPr>
                <w:noProof/>
              </w:rPr>
              <w:t xml:space="preserve">Reforma 4.: Reforma rezidencijalne i socijalne skrbi za ranjivu djecu i obitelji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710A2E63" w14:textId="1E60973C" w:rsidR="00615E2D" w:rsidRDefault="00C83E46">
            <w:pPr>
              <w:pStyle w:val="P68B1DB1-Normal57"/>
              <w:spacing w:before="0" w:after="0" w:line="240" w:lineRule="auto"/>
              <w:jc w:val="center"/>
              <w:rPr>
                <w:noProof/>
              </w:rPr>
            </w:pPr>
            <w:r>
              <w:rPr>
                <w:noProof/>
              </w:rPr>
              <w:t xml:space="preserve"> </w:t>
            </w:r>
          </w:p>
          <w:p w14:paraId="4F629192" w14:textId="566AD665" w:rsidR="00615E2D" w:rsidRDefault="00C83E46">
            <w:pPr>
              <w:pStyle w:val="P68B1DB1-Normal57"/>
              <w:spacing w:before="0" w:after="0" w:line="240" w:lineRule="auto"/>
              <w:jc w:val="center"/>
              <w:rPr>
                <w:noProof/>
              </w:rPr>
            </w:pPr>
            <w:r>
              <w:rPr>
                <w:noProof/>
              </w:rPr>
              <w:t xml:space="preserve">Prekretnica </w:t>
            </w:r>
          </w:p>
        </w:tc>
        <w:tc>
          <w:tcPr>
            <w:tcW w:w="3409" w:type="dxa"/>
            <w:tcBorders>
              <w:top w:val="single" w:sz="8" w:space="0" w:color="000000" w:themeColor="text1"/>
              <w:left w:val="nil"/>
              <w:bottom w:val="nil"/>
              <w:right w:val="single" w:sz="8" w:space="0" w:color="auto"/>
            </w:tcBorders>
            <w:shd w:val="clear" w:color="auto" w:fill="C6EFCE"/>
            <w:vAlign w:val="center"/>
            <w:hideMark/>
          </w:tcPr>
          <w:p w14:paraId="7EB83CAD" w14:textId="55E6548C" w:rsidR="00615E2D" w:rsidRDefault="00C83E46">
            <w:pPr>
              <w:pStyle w:val="P68B1DB1-Normal57"/>
              <w:spacing w:before="0" w:after="0" w:line="240" w:lineRule="auto"/>
              <w:jc w:val="center"/>
              <w:rPr>
                <w:noProof/>
              </w:rPr>
            </w:pPr>
            <w:r>
              <w:rPr>
                <w:noProof/>
              </w:rPr>
              <w:t>Stupanje na snagu izmjene Zakona o socijalnoj i pravnoj zaštiti djece</w:t>
            </w:r>
          </w:p>
        </w:tc>
      </w:tr>
      <w:tr w:rsidR="00615E2D" w14:paraId="45A9BA73" w14:textId="77777777">
        <w:trPr>
          <w:trHeight w:val="600"/>
        </w:trPr>
        <w:tc>
          <w:tcPr>
            <w:tcW w:w="1275" w:type="dxa"/>
            <w:tcBorders>
              <w:top w:val="single" w:sz="8" w:space="0" w:color="000000" w:themeColor="text1"/>
              <w:left w:val="single" w:sz="8" w:space="0" w:color="auto"/>
              <w:bottom w:val="nil"/>
              <w:right w:val="single" w:sz="8" w:space="0" w:color="000000" w:themeColor="text1"/>
            </w:tcBorders>
            <w:shd w:val="clear" w:color="auto" w:fill="C6EFCE"/>
            <w:vAlign w:val="center"/>
            <w:hideMark/>
          </w:tcPr>
          <w:p w14:paraId="39AE8E86" w14:textId="1151EEDB" w:rsidR="00615E2D" w:rsidRDefault="00C83E46">
            <w:pPr>
              <w:pStyle w:val="P68B1DB1-Normal57"/>
              <w:spacing w:before="0" w:after="0" w:line="240" w:lineRule="auto"/>
              <w:jc w:val="center"/>
              <w:rPr>
                <w:noProof/>
              </w:rPr>
            </w:pPr>
            <w:r>
              <w:rPr>
                <w:noProof/>
              </w:rPr>
              <w:t>302</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00EE7103" w14:textId="7D88B7A5" w:rsidR="00615E2D" w:rsidRDefault="00C83E46">
            <w:pPr>
              <w:pStyle w:val="P68B1DB1-Normal57"/>
              <w:spacing w:before="0" w:after="0" w:line="240" w:lineRule="auto"/>
              <w:jc w:val="center"/>
              <w:rPr>
                <w:noProof/>
              </w:rPr>
            </w:pPr>
            <w:r>
              <w:rPr>
                <w:noProof/>
              </w:rPr>
              <w:t xml:space="preserve">C 7.1.:  Infrastruktura za obnovljivu energiju i električnu energiju – 2. reforma: Ubrzavanje i digitalizacija postupka izdavanja dozvola za obnovljive izvore energije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76DEDCD4" w14:textId="27E78E3A" w:rsidR="00615E2D" w:rsidRDefault="00C83E46">
            <w:pPr>
              <w:pStyle w:val="P68B1DB1-Normal57"/>
              <w:spacing w:before="0" w:after="0" w:line="240" w:lineRule="auto"/>
              <w:jc w:val="center"/>
              <w:rPr>
                <w:noProof/>
              </w:rPr>
            </w:pPr>
            <w:r>
              <w:rPr>
                <w:noProof/>
              </w:rPr>
              <w:t xml:space="preserve">Prekretnica </w:t>
            </w:r>
          </w:p>
        </w:tc>
        <w:tc>
          <w:tcPr>
            <w:tcW w:w="3409" w:type="dxa"/>
            <w:tcBorders>
              <w:top w:val="single" w:sz="8" w:space="0" w:color="000000" w:themeColor="text1"/>
              <w:left w:val="nil"/>
              <w:bottom w:val="nil"/>
              <w:right w:val="single" w:sz="8" w:space="0" w:color="auto"/>
            </w:tcBorders>
            <w:shd w:val="clear" w:color="auto" w:fill="C6EFCE"/>
            <w:vAlign w:val="center"/>
            <w:hideMark/>
          </w:tcPr>
          <w:p w14:paraId="63F43140" w14:textId="3A247C24" w:rsidR="00615E2D" w:rsidRDefault="00C83E46">
            <w:pPr>
              <w:pStyle w:val="P68B1DB1-Normal57"/>
              <w:spacing w:before="0" w:after="0" w:line="240" w:lineRule="auto"/>
              <w:jc w:val="center"/>
              <w:rPr>
                <w:noProof/>
              </w:rPr>
            </w:pPr>
            <w:r>
              <w:rPr>
                <w:noProof/>
              </w:rPr>
              <w:t xml:space="preserve">Stupanje na snagu izmijenjenog zakonodavstva </w:t>
            </w:r>
          </w:p>
          <w:p w14:paraId="0D917AC8" w14:textId="362DB93B" w:rsidR="00615E2D" w:rsidRDefault="00615E2D">
            <w:pPr>
              <w:spacing w:before="0" w:after="0" w:line="240" w:lineRule="auto"/>
              <w:jc w:val="center"/>
              <w:rPr>
                <w:rFonts w:eastAsia="Times New Roman"/>
                <w:noProof/>
                <w:color w:val="006100"/>
                <w:sz w:val="20"/>
              </w:rPr>
            </w:pPr>
          </w:p>
        </w:tc>
      </w:tr>
      <w:tr w:rsidR="00615E2D" w14:paraId="2C37CBB8" w14:textId="77777777">
        <w:trPr>
          <w:trHeight w:val="600"/>
        </w:trPr>
        <w:tc>
          <w:tcPr>
            <w:tcW w:w="1275" w:type="dxa"/>
            <w:tcBorders>
              <w:top w:val="single" w:sz="8" w:space="0" w:color="000000" w:themeColor="text1"/>
              <w:left w:val="single" w:sz="8" w:space="0" w:color="auto"/>
              <w:bottom w:val="nil"/>
              <w:right w:val="single" w:sz="8" w:space="0" w:color="000000" w:themeColor="text1"/>
            </w:tcBorders>
            <w:shd w:val="clear" w:color="auto" w:fill="C6EFCE"/>
            <w:vAlign w:val="center"/>
            <w:hideMark/>
          </w:tcPr>
          <w:p w14:paraId="44D88CB4" w14:textId="21B8C319" w:rsidR="00615E2D" w:rsidRDefault="00C83E46">
            <w:pPr>
              <w:pStyle w:val="P68B1DB1-Normal57"/>
              <w:spacing w:before="0" w:after="0" w:line="240" w:lineRule="auto"/>
              <w:jc w:val="center"/>
              <w:rPr>
                <w:noProof/>
              </w:rPr>
            </w:pPr>
            <w:r>
              <w:rPr>
                <w:noProof/>
              </w:rPr>
              <w:t>303</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3AC7C0E2" w14:textId="01A68B5B" w:rsidR="00615E2D" w:rsidRDefault="00C83E46">
            <w:pPr>
              <w:pStyle w:val="P68B1DB1-Normal57"/>
              <w:spacing w:before="0" w:after="0" w:line="240" w:lineRule="auto"/>
              <w:jc w:val="center"/>
              <w:rPr>
                <w:noProof/>
              </w:rPr>
            </w:pPr>
            <w:r>
              <w:rPr>
                <w:noProof/>
              </w:rPr>
              <w:t xml:space="preserve">C 7.1.:  Infrastruktura za obnovljivu energiju i električnu energiju – 2. reforma: Ubrzavanje i digitalizacija postupka izdavanja dozvola za obnovljive izvore energije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18B8F987" w14:textId="488C4774" w:rsidR="00615E2D" w:rsidRDefault="00C83E46">
            <w:pPr>
              <w:pStyle w:val="P68B1DB1-Normal57"/>
              <w:spacing w:before="0" w:after="0" w:line="240" w:lineRule="auto"/>
              <w:jc w:val="center"/>
              <w:rPr>
                <w:noProof/>
              </w:rPr>
            </w:pPr>
            <w:r>
              <w:rPr>
                <w:noProof/>
              </w:rPr>
              <w:t xml:space="preserve">Prekretnica </w:t>
            </w:r>
          </w:p>
        </w:tc>
        <w:tc>
          <w:tcPr>
            <w:tcW w:w="3409" w:type="dxa"/>
            <w:tcBorders>
              <w:top w:val="single" w:sz="8" w:space="0" w:color="000000" w:themeColor="text1"/>
              <w:left w:val="nil"/>
              <w:bottom w:val="nil"/>
              <w:right w:val="single" w:sz="8" w:space="0" w:color="auto"/>
            </w:tcBorders>
            <w:shd w:val="clear" w:color="auto" w:fill="C6EFCE"/>
            <w:vAlign w:val="center"/>
            <w:hideMark/>
          </w:tcPr>
          <w:p w14:paraId="61D3A181" w14:textId="7056181E" w:rsidR="00615E2D" w:rsidRDefault="00C83E46">
            <w:pPr>
              <w:pStyle w:val="P68B1DB1-Normal57"/>
              <w:spacing w:before="0" w:after="0" w:line="240" w:lineRule="auto"/>
              <w:jc w:val="center"/>
              <w:rPr>
                <w:noProof/>
              </w:rPr>
            </w:pPr>
            <w:r>
              <w:rPr>
                <w:noProof/>
              </w:rPr>
              <w:t>Digitalna jedinstvena kontaktna točka</w:t>
            </w:r>
          </w:p>
        </w:tc>
      </w:tr>
      <w:tr w:rsidR="00615E2D" w14:paraId="00090D1C" w14:textId="77777777">
        <w:trPr>
          <w:trHeight w:val="795"/>
        </w:trPr>
        <w:tc>
          <w:tcPr>
            <w:tcW w:w="1275" w:type="dxa"/>
            <w:tcBorders>
              <w:top w:val="single" w:sz="8" w:space="0" w:color="auto"/>
              <w:left w:val="single" w:sz="8" w:space="0" w:color="auto"/>
              <w:bottom w:val="nil"/>
              <w:right w:val="single" w:sz="8" w:space="0" w:color="auto"/>
            </w:tcBorders>
            <w:shd w:val="clear" w:color="auto" w:fill="C6EFCE"/>
            <w:vAlign w:val="center"/>
            <w:hideMark/>
          </w:tcPr>
          <w:p w14:paraId="5D88E7F6" w14:textId="77777777" w:rsidR="00615E2D" w:rsidRDefault="00C83E46">
            <w:pPr>
              <w:pStyle w:val="P68B1DB1-Normal56"/>
              <w:spacing w:before="0" w:after="0" w:line="240" w:lineRule="auto"/>
              <w:jc w:val="center"/>
              <w:rPr>
                <w:noProof/>
              </w:rPr>
            </w:pPr>
            <w:r>
              <w:rPr>
                <w:noProof/>
              </w:rPr>
              <w:t>31</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6837BF34" w14:textId="77777777" w:rsidR="00615E2D" w:rsidRDefault="00C83E46">
            <w:pPr>
              <w:spacing w:before="0" w:after="0" w:line="240" w:lineRule="auto"/>
              <w:jc w:val="center"/>
              <w:rPr>
                <w:rFonts w:eastAsia="Times New Roman"/>
                <w:noProof/>
                <w:color w:val="006100"/>
                <w:sz w:val="20"/>
              </w:rPr>
            </w:pPr>
            <w:r>
              <w:rPr>
                <w:rFonts w:eastAsia="Times New Roman"/>
                <w:noProof/>
                <w:color w:val="006100"/>
                <w:sz w:val="20"/>
              </w:rPr>
              <w:t>C 1.2.: Sustavi digitalne javne uprave – ulaganje 4:</w:t>
            </w:r>
            <w:r>
              <w:rPr>
                <w:noProof/>
              </w:rPr>
              <w:br/>
            </w:r>
            <w:r>
              <w:rPr>
                <w:rFonts w:eastAsia="Times New Roman"/>
                <w:noProof/>
                <w:color w:val="006100"/>
                <w:sz w:val="20"/>
              </w:rPr>
              <w:t>Stvaranje uvjeta za digitalno pravosuđe</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3DAF0AE1" w14:textId="77777777" w:rsidR="00615E2D" w:rsidRDefault="00C83E46">
            <w:pPr>
              <w:pStyle w:val="P68B1DB1-Normal57"/>
              <w:spacing w:before="0" w:after="0" w:line="240" w:lineRule="auto"/>
              <w:jc w:val="center"/>
              <w:rPr>
                <w:noProof/>
              </w:rPr>
            </w:pPr>
            <w:r>
              <w:rPr>
                <w:noProof/>
              </w:rPr>
              <w:t>Ciljna</w:t>
            </w:r>
          </w:p>
        </w:tc>
        <w:tc>
          <w:tcPr>
            <w:tcW w:w="3409" w:type="dxa"/>
            <w:tcBorders>
              <w:top w:val="single" w:sz="8" w:space="0" w:color="auto"/>
              <w:left w:val="nil"/>
              <w:bottom w:val="nil"/>
              <w:right w:val="single" w:sz="8" w:space="0" w:color="auto"/>
            </w:tcBorders>
            <w:shd w:val="clear" w:color="auto" w:fill="C6EFCE"/>
            <w:vAlign w:val="center"/>
            <w:hideMark/>
          </w:tcPr>
          <w:p w14:paraId="7F411D2C" w14:textId="77777777" w:rsidR="00615E2D" w:rsidRDefault="00C83E46">
            <w:pPr>
              <w:pStyle w:val="P68B1DB1-Normal56"/>
              <w:spacing w:before="0" w:after="0" w:line="240" w:lineRule="auto"/>
              <w:jc w:val="center"/>
              <w:rPr>
                <w:noProof/>
              </w:rPr>
            </w:pPr>
            <w:r>
              <w:rPr>
                <w:noProof/>
              </w:rPr>
              <w:t>Povećanje kapaciteta za pohranu podataka</w:t>
            </w:r>
          </w:p>
        </w:tc>
      </w:tr>
      <w:tr w:rsidR="00615E2D" w14:paraId="56FDD6C4" w14:textId="77777777">
        <w:trPr>
          <w:trHeight w:val="600"/>
        </w:trPr>
        <w:tc>
          <w:tcPr>
            <w:tcW w:w="1275" w:type="dxa"/>
            <w:tcBorders>
              <w:top w:val="single" w:sz="8" w:space="0" w:color="auto"/>
              <w:left w:val="single" w:sz="8" w:space="0" w:color="auto"/>
              <w:bottom w:val="nil"/>
              <w:right w:val="single" w:sz="8" w:space="0" w:color="auto"/>
            </w:tcBorders>
            <w:shd w:val="clear" w:color="auto" w:fill="C6EFCE"/>
            <w:vAlign w:val="center"/>
            <w:hideMark/>
          </w:tcPr>
          <w:p w14:paraId="7648A2D7" w14:textId="77777777" w:rsidR="00615E2D" w:rsidRDefault="00C83E46">
            <w:pPr>
              <w:pStyle w:val="P68B1DB1-Normal56"/>
              <w:spacing w:before="0" w:after="0" w:line="240" w:lineRule="auto"/>
              <w:jc w:val="center"/>
              <w:rPr>
                <w:noProof/>
              </w:rPr>
            </w:pPr>
            <w:r>
              <w:rPr>
                <w:noProof/>
              </w:rPr>
              <w:t>36</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5B9C10BC" w14:textId="64167600" w:rsidR="00615E2D" w:rsidRDefault="00C83E46">
            <w:pPr>
              <w:pStyle w:val="P68B1DB1-Normal57"/>
              <w:spacing w:before="0" w:after="0" w:line="240" w:lineRule="auto"/>
              <w:jc w:val="center"/>
              <w:rPr>
                <w:noProof/>
              </w:rPr>
            </w:pPr>
            <w:r>
              <w:rPr>
                <w:noProof/>
              </w:rPr>
              <w:t>C 1.3.: Digitalne mreže visokog kapaciteta – reforma 2.: Potpora razvoju 5G ekosustava</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0D3AE2E1" w14:textId="77777777" w:rsidR="00615E2D" w:rsidRDefault="00C83E46">
            <w:pPr>
              <w:pStyle w:val="P68B1DB1-Normal57"/>
              <w:spacing w:before="0" w:after="0" w:line="240" w:lineRule="auto"/>
              <w:jc w:val="center"/>
              <w:rPr>
                <w:noProof/>
              </w:rPr>
            </w:pPr>
            <w:r>
              <w:rPr>
                <w:noProof/>
              </w:rPr>
              <w:t>Ciljna</w:t>
            </w:r>
          </w:p>
        </w:tc>
        <w:tc>
          <w:tcPr>
            <w:tcW w:w="3409" w:type="dxa"/>
            <w:tcBorders>
              <w:top w:val="single" w:sz="8" w:space="0" w:color="auto"/>
              <w:left w:val="nil"/>
              <w:bottom w:val="nil"/>
              <w:right w:val="single" w:sz="8" w:space="0" w:color="auto"/>
            </w:tcBorders>
            <w:shd w:val="clear" w:color="auto" w:fill="C6EFCE"/>
            <w:vAlign w:val="center"/>
            <w:hideMark/>
          </w:tcPr>
          <w:p w14:paraId="271E7867" w14:textId="77777777" w:rsidR="00615E2D" w:rsidRDefault="00C83E46">
            <w:pPr>
              <w:pStyle w:val="P68B1DB1-Normal56"/>
              <w:spacing w:before="0" w:after="0" w:line="240" w:lineRule="auto"/>
              <w:jc w:val="center"/>
              <w:rPr>
                <w:noProof/>
              </w:rPr>
            </w:pPr>
            <w:r>
              <w:rPr>
                <w:noProof/>
              </w:rPr>
              <w:t>Objava studija kojima je cilj poboljšati uvođenje 5G mreža od strane Ministarstva industrije i trgovine </w:t>
            </w:r>
          </w:p>
        </w:tc>
      </w:tr>
      <w:tr w:rsidR="00615E2D" w14:paraId="1CC16035" w14:textId="77777777">
        <w:trPr>
          <w:trHeight w:val="795"/>
        </w:trPr>
        <w:tc>
          <w:tcPr>
            <w:tcW w:w="1275" w:type="dxa"/>
            <w:tcBorders>
              <w:top w:val="single" w:sz="8" w:space="0" w:color="auto"/>
              <w:left w:val="single" w:sz="8" w:space="0" w:color="auto"/>
              <w:bottom w:val="single" w:sz="4" w:space="0" w:color="auto"/>
              <w:right w:val="single" w:sz="8" w:space="0" w:color="auto"/>
            </w:tcBorders>
            <w:shd w:val="clear" w:color="auto" w:fill="C6EFCE"/>
            <w:vAlign w:val="center"/>
            <w:hideMark/>
          </w:tcPr>
          <w:p w14:paraId="632504C1" w14:textId="77777777" w:rsidR="00615E2D" w:rsidRDefault="00C83E46">
            <w:pPr>
              <w:pStyle w:val="P68B1DB1-Normal56"/>
              <w:spacing w:before="0" w:after="0" w:line="240" w:lineRule="auto"/>
              <w:jc w:val="center"/>
              <w:rPr>
                <w:noProof/>
              </w:rPr>
            </w:pPr>
            <w:r>
              <w:rPr>
                <w:noProof/>
              </w:rPr>
              <w:t>38</w:t>
            </w:r>
          </w:p>
        </w:tc>
        <w:tc>
          <w:tcPr>
            <w:tcW w:w="4035" w:type="dxa"/>
            <w:tcBorders>
              <w:top w:val="nil"/>
              <w:left w:val="nil"/>
              <w:bottom w:val="single" w:sz="4" w:space="0" w:color="auto"/>
              <w:right w:val="single" w:sz="8" w:space="0" w:color="000000" w:themeColor="text1"/>
            </w:tcBorders>
            <w:shd w:val="clear" w:color="auto" w:fill="C6EFCE"/>
            <w:vAlign w:val="center"/>
            <w:hideMark/>
          </w:tcPr>
          <w:p w14:paraId="1E343B01" w14:textId="4CB9D283" w:rsidR="00615E2D" w:rsidRDefault="00C83E46">
            <w:pPr>
              <w:pStyle w:val="P68B1DB1-Normal57"/>
              <w:spacing w:before="0" w:after="0" w:line="240" w:lineRule="auto"/>
              <w:jc w:val="center"/>
              <w:rPr>
                <w:noProof/>
              </w:rPr>
            </w:pPr>
            <w:r>
              <w:rPr>
                <w:noProof/>
              </w:rPr>
              <w:t>C 1.3.: Digitalne mreže visokog kapaciteta – ulaganja 1: Izgradnja veza velikog kapaciteta </w:t>
            </w:r>
          </w:p>
        </w:tc>
        <w:tc>
          <w:tcPr>
            <w:tcW w:w="1770" w:type="dxa"/>
            <w:tcBorders>
              <w:top w:val="nil"/>
              <w:left w:val="nil"/>
              <w:bottom w:val="single" w:sz="4" w:space="0" w:color="auto"/>
              <w:right w:val="single" w:sz="8" w:space="0" w:color="000000" w:themeColor="text1"/>
            </w:tcBorders>
            <w:shd w:val="clear" w:color="auto" w:fill="C6EFCE"/>
            <w:vAlign w:val="center"/>
            <w:hideMark/>
          </w:tcPr>
          <w:p w14:paraId="54C85580" w14:textId="77777777" w:rsidR="00615E2D" w:rsidRDefault="00C83E46">
            <w:pPr>
              <w:pStyle w:val="P68B1DB1-Normal57"/>
              <w:spacing w:before="0" w:after="0" w:line="240" w:lineRule="auto"/>
              <w:jc w:val="center"/>
              <w:rPr>
                <w:noProof/>
              </w:rPr>
            </w:pPr>
            <w:r>
              <w:rPr>
                <w:noProof/>
              </w:rPr>
              <w:t>Prekretnica</w:t>
            </w:r>
          </w:p>
        </w:tc>
        <w:tc>
          <w:tcPr>
            <w:tcW w:w="3409" w:type="dxa"/>
            <w:tcBorders>
              <w:top w:val="single" w:sz="8" w:space="0" w:color="auto"/>
              <w:left w:val="nil"/>
              <w:bottom w:val="single" w:sz="4" w:space="0" w:color="auto"/>
              <w:right w:val="single" w:sz="8" w:space="0" w:color="auto"/>
            </w:tcBorders>
            <w:shd w:val="clear" w:color="auto" w:fill="C6EFCE"/>
            <w:vAlign w:val="center"/>
            <w:hideMark/>
          </w:tcPr>
          <w:p w14:paraId="2484FBEC" w14:textId="0FCDD6BE" w:rsidR="00615E2D" w:rsidRDefault="00C83E46">
            <w:pPr>
              <w:pStyle w:val="P68B1DB1-Normal56"/>
              <w:spacing w:before="0" w:after="0" w:line="240" w:lineRule="auto"/>
              <w:jc w:val="center"/>
              <w:rPr>
                <w:noProof/>
              </w:rPr>
            </w:pPr>
            <w:r>
              <w:rPr>
                <w:noProof/>
              </w:rPr>
              <w:t>Ministarstvo industrije i trgovine dodjeljuje sve odluke o dodjeli bespovratnih sredstava za povezivanje točaka adresa s mrežom vrlo velikog kapaciteta (VHCN) </w:t>
            </w:r>
          </w:p>
        </w:tc>
      </w:tr>
      <w:tr w:rsidR="00615E2D" w14:paraId="04B487EC" w14:textId="77777777">
        <w:trPr>
          <w:trHeight w:val="795"/>
        </w:trPr>
        <w:tc>
          <w:tcPr>
            <w:tcW w:w="1275" w:type="dxa"/>
            <w:tcBorders>
              <w:top w:val="single" w:sz="4" w:space="0" w:color="auto"/>
              <w:left w:val="single" w:sz="8" w:space="0" w:color="auto"/>
              <w:bottom w:val="nil"/>
              <w:right w:val="single" w:sz="8" w:space="0" w:color="auto"/>
            </w:tcBorders>
            <w:shd w:val="clear" w:color="auto" w:fill="C6EFCE"/>
            <w:vAlign w:val="center"/>
            <w:hideMark/>
          </w:tcPr>
          <w:p w14:paraId="41949211" w14:textId="77777777" w:rsidR="00615E2D" w:rsidRDefault="00C83E46">
            <w:pPr>
              <w:pStyle w:val="P68B1DB1-Normal56"/>
              <w:spacing w:before="0" w:after="0" w:line="240" w:lineRule="auto"/>
              <w:jc w:val="center"/>
              <w:rPr>
                <w:noProof/>
              </w:rPr>
            </w:pPr>
            <w:r>
              <w:rPr>
                <w:noProof/>
              </w:rPr>
              <w:t>43</w:t>
            </w:r>
          </w:p>
        </w:tc>
        <w:tc>
          <w:tcPr>
            <w:tcW w:w="4035"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7BB47495" w14:textId="66B3E0C2" w:rsidR="00615E2D" w:rsidRDefault="00C83E46">
            <w:pPr>
              <w:pStyle w:val="P68B1DB1-Normal57"/>
              <w:spacing w:before="0" w:after="0" w:line="240" w:lineRule="auto"/>
              <w:jc w:val="center"/>
              <w:rPr>
                <w:noProof/>
              </w:rPr>
            </w:pPr>
            <w:r>
              <w:rPr>
                <w:noProof/>
              </w:rPr>
              <w:t>C 1.3.: Digitalne mreže visokog kapaciteta – ulaganja 3: Potpora razvoju mobilne infrastrukture 5G u bijelim područjima s velikom potrošnjom u ruralnim područjima </w:t>
            </w:r>
          </w:p>
        </w:tc>
        <w:tc>
          <w:tcPr>
            <w:tcW w:w="1770"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54E9733C" w14:textId="77777777" w:rsidR="00615E2D" w:rsidRDefault="00C83E46">
            <w:pPr>
              <w:pStyle w:val="P68B1DB1-Normal57"/>
              <w:spacing w:before="0" w:after="0" w:line="240" w:lineRule="auto"/>
              <w:jc w:val="center"/>
              <w:rPr>
                <w:noProof/>
              </w:rPr>
            </w:pPr>
            <w:r>
              <w:rPr>
                <w:noProof/>
              </w:rPr>
              <w:t>Prekretnica</w:t>
            </w:r>
          </w:p>
        </w:tc>
        <w:tc>
          <w:tcPr>
            <w:tcW w:w="3409" w:type="dxa"/>
            <w:tcBorders>
              <w:top w:val="single" w:sz="4" w:space="0" w:color="auto"/>
              <w:left w:val="nil"/>
              <w:bottom w:val="nil"/>
              <w:right w:val="single" w:sz="8" w:space="0" w:color="auto"/>
            </w:tcBorders>
            <w:shd w:val="clear" w:color="auto" w:fill="C6EFCE"/>
            <w:vAlign w:val="center"/>
            <w:hideMark/>
          </w:tcPr>
          <w:p w14:paraId="1AF6AF6C" w14:textId="77777777" w:rsidR="00615E2D" w:rsidRDefault="00C83E46">
            <w:pPr>
              <w:pStyle w:val="P68B1DB1-Normal56"/>
              <w:spacing w:before="0" w:after="0" w:line="240" w:lineRule="auto"/>
              <w:jc w:val="center"/>
              <w:rPr>
                <w:noProof/>
              </w:rPr>
            </w:pPr>
            <w:r>
              <w:rPr>
                <w:noProof/>
              </w:rPr>
              <w:t>Dodjela svih odluka o dodjeli bespovratnih sredstava za povezivanje općina s vezama velikog kapaciteta </w:t>
            </w:r>
          </w:p>
        </w:tc>
      </w:tr>
      <w:tr w:rsidR="00615E2D" w14:paraId="2FA418C3" w14:textId="77777777">
        <w:trPr>
          <w:trHeight w:val="600"/>
        </w:trPr>
        <w:tc>
          <w:tcPr>
            <w:tcW w:w="1275" w:type="dxa"/>
            <w:tcBorders>
              <w:top w:val="single" w:sz="8" w:space="0" w:color="auto"/>
              <w:left w:val="single" w:sz="8" w:space="0" w:color="auto"/>
              <w:bottom w:val="single" w:sz="4" w:space="0" w:color="auto"/>
              <w:right w:val="single" w:sz="8" w:space="0" w:color="auto"/>
            </w:tcBorders>
            <w:shd w:val="clear" w:color="auto" w:fill="C6EFCE"/>
            <w:vAlign w:val="center"/>
            <w:hideMark/>
          </w:tcPr>
          <w:p w14:paraId="1CCF195E" w14:textId="77777777" w:rsidR="00615E2D" w:rsidRDefault="00C83E46">
            <w:pPr>
              <w:pStyle w:val="P68B1DB1-Normal56"/>
              <w:spacing w:before="0" w:after="0" w:line="240" w:lineRule="auto"/>
              <w:jc w:val="center"/>
              <w:rPr>
                <w:noProof/>
              </w:rPr>
            </w:pPr>
            <w:r>
              <w:rPr>
                <w:noProof/>
              </w:rPr>
              <w:t>45</w:t>
            </w:r>
          </w:p>
        </w:tc>
        <w:tc>
          <w:tcPr>
            <w:tcW w:w="4035" w:type="dxa"/>
            <w:tcBorders>
              <w:top w:val="nil"/>
              <w:left w:val="nil"/>
              <w:bottom w:val="single" w:sz="4" w:space="0" w:color="auto"/>
              <w:right w:val="single" w:sz="8" w:space="0" w:color="000000" w:themeColor="text1"/>
            </w:tcBorders>
            <w:shd w:val="clear" w:color="auto" w:fill="C6EFCE"/>
            <w:vAlign w:val="center"/>
            <w:hideMark/>
          </w:tcPr>
          <w:p w14:paraId="500CDA34" w14:textId="1DC252FD" w:rsidR="00615E2D" w:rsidRDefault="00C83E46">
            <w:pPr>
              <w:pStyle w:val="P68B1DB1-Normal57"/>
              <w:spacing w:before="0" w:after="0" w:line="240" w:lineRule="auto"/>
              <w:jc w:val="center"/>
              <w:rPr>
                <w:noProof/>
              </w:rPr>
            </w:pPr>
            <w:r>
              <w:rPr>
                <w:noProof/>
              </w:rPr>
              <w:t>C 1.3.: Digitalne mreže visokog kapaciteta – ulaganja 4: Znanstveno-istraživačke aktivnosti povezane s razvojem 5G mreža i usluga </w:t>
            </w:r>
          </w:p>
        </w:tc>
        <w:tc>
          <w:tcPr>
            <w:tcW w:w="1770" w:type="dxa"/>
            <w:tcBorders>
              <w:top w:val="nil"/>
              <w:left w:val="nil"/>
              <w:bottom w:val="single" w:sz="4" w:space="0" w:color="auto"/>
              <w:right w:val="single" w:sz="8" w:space="0" w:color="000000" w:themeColor="text1"/>
            </w:tcBorders>
            <w:shd w:val="clear" w:color="auto" w:fill="C6EFCE"/>
            <w:vAlign w:val="center"/>
            <w:hideMark/>
          </w:tcPr>
          <w:p w14:paraId="181BD96E" w14:textId="77777777" w:rsidR="00615E2D" w:rsidRDefault="00C83E46">
            <w:pPr>
              <w:pStyle w:val="P68B1DB1-Normal57"/>
              <w:spacing w:before="0" w:after="0" w:line="240" w:lineRule="auto"/>
              <w:jc w:val="center"/>
              <w:rPr>
                <w:noProof/>
              </w:rPr>
            </w:pPr>
            <w:r>
              <w:rPr>
                <w:noProof/>
              </w:rPr>
              <w:t>Prekretnica</w:t>
            </w:r>
          </w:p>
        </w:tc>
        <w:tc>
          <w:tcPr>
            <w:tcW w:w="3409" w:type="dxa"/>
            <w:tcBorders>
              <w:top w:val="single" w:sz="8" w:space="0" w:color="auto"/>
              <w:left w:val="nil"/>
              <w:bottom w:val="single" w:sz="4" w:space="0" w:color="auto"/>
              <w:right w:val="single" w:sz="8" w:space="0" w:color="auto"/>
            </w:tcBorders>
            <w:shd w:val="clear" w:color="auto" w:fill="C6EFCE"/>
            <w:vAlign w:val="center"/>
            <w:hideMark/>
          </w:tcPr>
          <w:p w14:paraId="7F7110F2" w14:textId="77777777" w:rsidR="00615E2D" w:rsidRDefault="00C83E46">
            <w:pPr>
              <w:pStyle w:val="P68B1DB1-Normal56"/>
              <w:spacing w:before="0" w:after="0" w:line="240" w:lineRule="auto"/>
              <w:jc w:val="center"/>
              <w:rPr>
                <w:noProof/>
              </w:rPr>
            </w:pPr>
            <w:r>
              <w:rPr>
                <w:noProof/>
              </w:rPr>
              <w:t>Dodjela svih odluka o dodjeli bespovratnih sredstava za znanstveno-istraživačke projekte povezane s 5G mrežama </w:t>
            </w:r>
          </w:p>
        </w:tc>
      </w:tr>
      <w:tr w:rsidR="00615E2D" w14:paraId="79797EC3" w14:textId="77777777">
        <w:trPr>
          <w:trHeight w:val="600"/>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6426A05D" w14:textId="77777777" w:rsidR="00615E2D" w:rsidRDefault="00C83E46">
            <w:pPr>
              <w:pStyle w:val="P68B1DB1-Normal56"/>
              <w:spacing w:before="0" w:after="0" w:line="240" w:lineRule="auto"/>
              <w:jc w:val="center"/>
              <w:rPr>
                <w:noProof/>
              </w:rPr>
            </w:pPr>
            <w:r>
              <w:rPr>
                <w:noProof/>
              </w:rPr>
              <w:t>60</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38E2EAC0" w14:textId="77777777" w:rsidR="00615E2D" w:rsidRDefault="00C83E46">
            <w:pPr>
              <w:pStyle w:val="P68B1DB1-Normal57"/>
              <w:spacing w:before="0" w:after="0" w:line="240" w:lineRule="auto"/>
              <w:jc w:val="center"/>
              <w:rPr>
                <w:noProof/>
              </w:rPr>
            </w:pPr>
            <w:r>
              <w:rPr>
                <w:noProof/>
              </w:rPr>
              <w:t>C 1.4.: Digitalno gospodarstvo i društvo, Inovativan početak i nova tehnologija – ulaganja 8: Poticanje poduzetništva i inovativnih poduzeća</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74548EDB" w14:textId="77777777" w:rsidR="00615E2D" w:rsidRDefault="00C83E46">
            <w:pPr>
              <w:pStyle w:val="P68B1DB1-Normal57"/>
              <w:spacing w:before="0" w:after="0" w:line="240" w:lineRule="auto"/>
              <w:jc w:val="center"/>
              <w:rPr>
                <w:noProof/>
              </w:rPr>
            </w:pPr>
            <w:r>
              <w:rPr>
                <w:noProof/>
              </w:rPr>
              <w:t>Ciljna</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6AF94FDB" w14:textId="77777777" w:rsidR="00615E2D" w:rsidRDefault="00C83E46">
            <w:pPr>
              <w:pStyle w:val="P68B1DB1-Normal56"/>
              <w:spacing w:before="0" w:after="0" w:line="240" w:lineRule="auto"/>
              <w:jc w:val="center"/>
              <w:rPr>
                <w:noProof/>
              </w:rPr>
            </w:pPr>
            <w:r>
              <w:rPr>
                <w:noProof/>
              </w:rPr>
              <w:t>Broj novoosnovanih poduzeća koja primaju potporu putem inovacijskih centara i partnerskih organizacija programa</w:t>
            </w:r>
          </w:p>
        </w:tc>
      </w:tr>
      <w:tr w:rsidR="00615E2D" w14:paraId="39DD5097" w14:textId="77777777">
        <w:trPr>
          <w:trHeight w:val="600"/>
        </w:trPr>
        <w:tc>
          <w:tcPr>
            <w:tcW w:w="1275" w:type="dxa"/>
            <w:tcBorders>
              <w:top w:val="nil"/>
              <w:left w:val="single" w:sz="8" w:space="0" w:color="auto"/>
              <w:bottom w:val="nil"/>
              <w:right w:val="single" w:sz="8" w:space="0" w:color="000000" w:themeColor="text1"/>
            </w:tcBorders>
            <w:shd w:val="clear" w:color="auto" w:fill="C6EFCE"/>
            <w:vAlign w:val="center"/>
            <w:hideMark/>
          </w:tcPr>
          <w:p w14:paraId="450108EF" w14:textId="77777777" w:rsidR="00615E2D" w:rsidRDefault="00C83E46">
            <w:pPr>
              <w:pStyle w:val="P68B1DB1-Normal57"/>
              <w:spacing w:before="0" w:after="0" w:line="240" w:lineRule="auto"/>
              <w:jc w:val="center"/>
              <w:rPr>
                <w:noProof/>
              </w:rPr>
            </w:pPr>
            <w:r>
              <w:rPr>
                <w:noProof/>
              </w:rPr>
              <w:t>69</w:t>
            </w:r>
          </w:p>
        </w:tc>
        <w:tc>
          <w:tcPr>
            <w:tcW w:w="4035" w:type="dxa"/>
            <w:tcBorders>
              <w:top w:val="nil"/>
              <w:left w:val="nil"/>
              <w:bottom w:val="nil"/>
              <w:right w:val="single" w:sz="8" w:space="0" w:color="000000" w:themeColor="text1"/>
            </w:tcBorders>
            <w:shd w:val="clear" w:color="auto" w:fill="C6EFCE"/>
            <w:vAlign w:val="center"/>
            <w:hideMark/>
          </w:tcPr>
          <w:p w14:paraId="53C089AC" w14:textId="77777777" w:rsidR="00615E2D" w:rsidRDefault="00C83E46">
            <w:pPr>
              <w:pStyle w:val="P68B1DB1-Normal57"/>
              <w:spacing w:before="0" w:after="0" w:line="240" w:lineRule="auto"/>
              <w:jc w:val="center"/>
              <w:rPr>
                <w:noProof/>
              </w:rPr>
            </w:pPr>
            <w:r>
              <w:rPr>
                <w:noProof/>
              </w:rPr>
              <w:t>C 1.5.: Digitalna transformacija poduzeća – ulaganje 1: Europski i nacionalni digitalnoinovacijski centri</w:t>
            </w:r>
          </w:p>
        </w:tc>
        <w:tc>
          <w:tcPr>
            <w:tcW w:w="1770" w:type="dxa"/>
            <w:tcBorders>
              <w:top w:val="nil"/>
              <w:left w:val="nil"/>
              <w:bottom w:val="nil"/>
              <w:right w:val="single" w:sz="8" w:space="0" w:color="000000" w:themeColor="text1"/>
            </w:tcBorders>
            <w:shd w:val="clear" w:color="auto" w:fill="C6EFCE"/>
            <w:vAlign w:val="center"/>
            <w:hideMark/>
          </w:tcPr>
          <w:p w14:paraId="1C6E64F4" w14:textId="77777777" w:rsidR="00615E2D" w:rsidRDefault="00C83E46">
            <w:pPr>
              <w:pStyle w:val="P68B1DB1-Normal57"/>
              <w:spacing w:before="0" w:after="0" w:line="240" w:lineRule="auto"/>
              <w:jc w:val="center"/>
              <w:rPr>
                <w:noProof/>
              </w:rPr>
            </w:pPr>
            <w:r>
              <w:rPr>
                <w:noProof/>
              </w:rPr>
              <w:t>Ciljna</w:t>
            </w:r>
          </w:p>
        </w:tc>
        <w:tc>
          <w:tcPr>
            <w:tcW w:w="3409" w:type="dxa"/>
            <w:tcBorders>
              <w:top w:val="nil"/>
              <w:left w:val="nil"/>
              <w:bottom w:val="nil"/>
              <w:right w:val="single" w:sz="8" w:space="0" w:color="auto"/>
            </w:tcBorders>
            <w:shd w:val="clear" w:color="auto" w:fill="C6EFCE"/>
            <w:vAlign w:val="center"/>
            <w:hideMark/>
          </w:tcPr>
          <w:p w14:paraId="52239378" w14:textId="77777777" w:rsidR="00615E2D" w:rsidRDefault="00C83E46">
            <w:pPr>
              <w:pStyle w:val="P68B1DB1-Normal57"/>
              <w:spacing w:before="0" w:after="0" w:line="240" w:lineRule="auto"/>
              <w:jc w:val="center"/>
              <w:rPr>
                <w:noProof/>
              </w:rPr>
            </w:pPr>
            <w:r>
              <w:rPr>
                <w:noProof/>
              </w:rPr>
              <w:t>Stvaranje funkcionalnih i međusobno povezanih europskih i nacionalnih digitalnoinovacijskih centara</w:t>
            </w:r>
          </w:p>
        </w:tc>
      </w:tr>
      <w:tr w:rsidR="00615E2D" w14:paraId="1A018D62" w14:textId="77777777">
        <w:trPr>
          <w:trHeight w:val="600"/>
        </w:trPr>
        <w:tc>
          <w:tcPr>
            <w:tcW w:w="1275"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7A697D34" w14:textId="77777777" w:rsidR="00615E2D" w:rsidRDefault="00C83E46">
            <w:pPr>
              <w:pStyle w:val="P68B1DB1-Normal57"/>
              <w:spacing w:before="0" w:after="0" w:line="240" w:lineRule="auto"/>
              <w:jc w:val="center"/>
              <w:rPr>
                <w:noProof/>
              </w:rPr>
            </w:pPr>
            <w:r>
              <w:rPr>
                <w:noProof/>
              </w:rPr>
              <w:t>76</w:t>
            </w:r>
          </w:p>
        </w:tc>
        <w:tc>
          <w:tcPr>
            <w:tcW w:w="4035" w:type="dxa"/>
            <w:tcBorders>
              <w:top w:val="single" w:sz="8" w:space="0" w:color="auto"/>
              <w:left w:val="nil"/>
              <w:bottom w:val="single" w:sz="8" w:space="0" w:color="auto"/>
              <w:right w:val="single" w:sz="8" w:space="0" w:color="000000" w:themeColor="text1"/>
            </w:tcBorders>
            <w:shd w:val="clear" w:color="auto" w:fill="C6EFCE"/>
            <w:vAlign w:val="center"/>
            <w:hideMark/>
          </w:tcPr>
          <w:p w14:paraId="3BF5379D" w14:textId="77777777" w:rsidR="00615E2D" w:rsidRDefault="00C83E46">
            <w:pPr>
              <w:pStyle w:val="P68B1DB1-Normal57"/>
              <w:spacing w:before="0" w:after="0" w:line="240" w:lineRule="auto"/>
              <w:jc w:val="center"/>
              <w:rPr>
                <w:noProof/>
              </w:rPr>
            </w:pPr>
            <w:r>
              <w:rPr>
                <w:noProof/>
              </w:rPr>
              <w:t>C 1.6.: Ubrzanje i digitalizacija procesa izgradnje – ulaganje 2: Razvoj i upotreba podataka javne uprave u prostornom planiranju</w:t>
            </w:r>
          </w:p>
        </w:tc>
        <w:tc>
          <w:tcPr>
            <w:tcW w:w="1770" w:type="dxa"/>
            <w:tcBorders>
              <w:top w:val="single" w:sz="8" w:space="0" w:color="auto"/>
              <w:left w:val="nil"/>
              <w:bottom w:val="single" w:sz="8" w:space="0" w:color="auto"/>
              <w:right w:val="single" w:sz="8" w:space="0" w:color="000000" w:themeColor="text1"/>
            </w:tcBorders>
            <w:shd w:val="clear" w:color="auto" w:fill="C6EFCE"/>
            <w:vAlign w:val="center"/>
            <w:hideMark/>
          </w:tcPr>
          <w:p w14:paraId="49636876" w14:textId="77777777" w:rsidR="00615E2D" w:rsidRDefault="00C83E46">
            <w:pPr>
              <w:pStyle w:val="P68B1DB1-Normal57"/>
              <w:spacing w:before="0" w:after="0" w:line="240" w:lineRule="auto"/>
              <w:jc w:val="center"/>
              <w:rPr>
                <w:noProof/>
              </w:rPr>
            </w:pPr>
            <w:r>
              <w:rPr>
                <w:noProof/>
              </w:rPr>
              <w:t>Prekretnica</w:t>
            </w:r>
          </w:p>
        </w:tc>
        <w:tc>
          <w:tcPr>
            <w:tcW w:w="3409" w:type="dxa"/>
            <w:tcBorders>
              <w:top w:val="single" w:sz="8" w:space="0" w:color="auto"/>
              <w:left w:val="nil"/>
              <w:bottom w:val="single" w:sz="8" w:space="0" w:color="auto"/>
              <w:right w:val="single" w:sz="8" w:space="0" w:color="auto"/>
            </w:tcBorders>
            <w:shd w:val="clear" w:color="auto" w:fill="C6EFCE"/>
            <w:vAlign w:val="center"/>
            <w:hideMark/>
          </w:tcPr>
          <w:p w14:paraId="05AB5C53" w14:textId="77777777" w:rsidR="00615E2D" w:rsidRDefault="00C83E46">
            <w:pPr>
              <w:pStyle w:val="P68B1DB1-Normal57"/>
              <w:spacing w:before="0" w:after="0" w:line="240" w:lineRule="auto"/>
              <w:jc w:val="center"/>
              <w:rPr>
                <w:noProof/>
              </w:rPr>
            </w:pPr>
            <w:r>
              <w:rPr>
                <w:noProof/>
              </w:rPr>
              <w:t>Stvaranje standardizirane baze podataka prostorne analitičke dokumentacije</w:t>
            </w:r>
          </w:p>
        </w:tc>
      </w:tr>
      <w:tr w:rsidR="00615E2D" w14:paraId="1ABA51DD" w14:textId="77777777">
        <w:trPr>
          <w:trHeight w:val="600"/>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4899A90A" w14:textId="77777777" w:rsidR="00615E2D" w:rsidRDefault="00C83E46">
            <w:pPr>
              <w:pStyle w:val="P68B1DB1-Normal57"/>
              <w:spacing w:before="0" w:after="0" w:line="240" w:lineRule="auto"/>
              <w:jc w:val="center"/>
              <w:rPr>
                <w:noProof/>
              </w:rPr>
            </w:pPr>
            <w:r>
              <w:rPr>
                <w:noProof/>
              </w:rPr>
              <w:t>77</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49F6C690" w14:textId="77777777" w:rsidR="00615E2D" w:rsidRDefault="00C83E46">
            <w:pPr>
              <w:pStyle w:val="P68B1DB1-Normal57"/>
              <w:spacing w:before="0" w:after="0" w:line="240" w:lineRule="auto"/>
              <w:jc w:val="center"/>
              <w:rPr>
                <w:noProof/>
              </w:rPr>
            </w:pPr>
            <w:r>
              <w:rPr>
                <w:noProof/>
              </w:rPr>
              <w:t>C 1.6.: Ubrzanje i digitalizacija procesa izgradnje – ulaganje 3: Oživljavanje punih koristi od digitalne kontrole zgrada</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1B2C6BAA" w14:textId="77777777" w:rsidR="00615E2D" w:rsidRDefault="00C83E46">
            <w:pPr>
              <w:pStyle w:val="P68B1DB1-Normal57"/>
              <w:spacing w:before="0" w:after="0" w:line="240" w:lineRule="auto"/>
              <w:jc w:val="center"/>
              <w:rPr>
                <w:noProof/>
              </w:rPr>
            </w:pPr>
            <w:r>
              <w:rPr>
                <w:noProof/>
              </w:rPr>
              <w:t>Prekretnica</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122B1B13" w14:textId="77777777" w:rsidR="00615E2D" w:rsidRDefault="00C83E46">
            <w:pPr>
              <w:pStyle w:val="P68B1DB1-Normal57"/>
              <w:spacing w:before="0" w:after="0" w:line="240" w:lineRule="auto"/>
              <w:jc w:val="center"/>
              <w:rPr>
                <w:noProof/>
              </w:rPr>
            </w:pPr>
            <w:r>
              <w:rPr>
                <w:noProof/>
              </w:rPr>
              <w:t>IT sustavi kojima se podupire digitalizacija postupka izdavanja građevinskih dozvola koji je u potpunosti operativan</w:t>
            </w:r>
          </w:p>
        </w:tc>
      </w:tr>
      <w:tr w:rsidR="00615E2D" w14:paraId="25BD6C78" w14:textId="77777777">
        <w:trPr>
          <w:trHeight w:val="600"/>
        </w:trPr>
        <w:tc>
          <w:tcPr>
            <w:tcW w:w="1275" w:type="dxa"/>
            <w:tcBorders>
              <w:top w:val="single" w:sz="8" w:space="0" w:color="000000" w:themeColor="text1"/>
              <w:left w:val="single" w:sz="8" w:space="0" w:color="auto"/>
              <w:bottom w:val="single" w:sz="4" w:space="0" w:color="auto"/>
              <w:right w:val="single" w:sz="8" w:space="0" w:color="000000" w:themeColor="text1"/>
            </w:tcBorders>
            <w:shd w:val="clear" w:color="auto" w:fill="C6EFCE"/>
            <w:vAlign w:val="center"/>
            <w:hideMark/>
          </w:tcPr>
          <w:p w14:paraId="78E35A55" w14:textId="77777777" w:rsidR="00615E2D" w:rsidRDefault="00C83E46">
            <w:pPr>
              <w:pStyle w:val="P68B1DB1-Normal57"/>
              <w:spacing w:before="0" w:after="0" w:line="240" w:lineRule="auto"/>
              <w:jc w:val="center"/>
              <w:rPr>
                <w:noProof/>
              </w:rPr>
            </w:pPr>
            <w:r>
              <w:rPr>
                <w:noProof/>
              </w:rPr>
              <w:t>85</w:t>
            </w:r>
          </w:p>
        </w:tc>
        <w:tc>
          <w:tcPr>
            <w:tcW w:w="4035"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450D60EB" w14:textId="77777777" w:rsidR="00615E2D" w:rsidRDefault="00C83E46">
            <w:pPr>
              <w:pStyle w:val="P68B1DB1-Normal57"/>
              <w:spacing w:before="0" w:after="0" w:line="240" w:lineRule="auto"/>
              <w:jc w:val="center"/>
              <w:rPr>
                <w:noProof/>
              </w:rPr>
            </w:pPr>
            <w:r>
              <w:rPr>
                <w:noProof/>
              </w:rPr>
              <w:t>C 2.1.: Održivi promet – ulaganja 1: Nove tehnologije i digitalizacija željezničke infrastrukture</w:t>
            </w:r>
          </w:p>
        </w:tc>
        <w:tc>
          <w:tcPr>
            <w:tcW w:w="1770"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2D4C02E5" w14:textId="77777777" w:rsidR="00615E2D" w:rsidRDefault="00C83E46">
            <w:pPr>
              <w:pStyle w:val="P68B1DB1-Normal57"/>
              <w:spacing w:before="0" w:after="0" w:line="240" w:lineRule="auto"/>
              <w:jc w:val="center"/>
              <w:rPr>
                <w:noProof/>
              </w:rPr>
            </w:pPr>
            <w:r>
              <w:rPr>
                <w:noProof/>
              </w:rPr>
              <w:t>Ciljna</w:t>
            </w:r>
          </w:p>
        </w:tc>
        <w:tc>
          <w:tcPr>
            <w:tcW w:w="3409" w:type="dxa"/>
            <w:tcBorders>
              <w:top w:val="single" w:sz="8" w:space="0" w:color="000000" w:themeColor="text1"/>
              <w:left w:val="nil"/>
              <w:bottom w:val="single" w:sz="4" w:space="0" w:color="auto"/>
              <w:right w:val="single" w:sz="8" w:space="0" w:color="auto"/>
            </w:tcBorders>
            <w:shd w:val="clear" w:color="auto" w:fill="C6EFCE"/>
            <w:vAlign w:val="center"/>
            <w:hideMark/>
          </w:tcPr>
          <w:p w14:paraId="5817D7C4" w14:textId="77777777" w:rsidR="00615E2D" w:rsidRDefault="00C83E46">
            <w:pPr>
              <w:pStyle w:val="P68B1DB1-Normal57"/>
              <w:spacing w:before="0" w:after="0" w:line="240" w:lineRule="auto"/>
              <w:jc w:val="center"/>
              <w:rPr>
                <w:noProof/>
              </w:rPr>
            </w:pPr>
            <w:r>
              <w:rPr>
                <w:noProof/>
              </w:rPr>
              <w:t>Završetak šest dodatnih projekata iz unaprijed definiranog skupa projekata.</w:t>
            </w:r>
          </w:p>
        </w:tc>
      </w:tr>
      <w:tr w:rsidR="00615E2D" w14:paraId="6EAF93B6" w14:textId="77777777">
        <w:trPr>
          <w:trHeight w:val="600"/>
        </w:trPr>
        <w:tc>
          <w:tcPr>
            <w:tcW w:w="1275" w:type="dxa"/>
            <w:tcBorders>
              <w:top w:val="single" w:sz="8" w:space="0" w:color="000000" w:themeColor="text1"/>
              <w:left w:val="single" w:sz="8" w:space="0" w:color="auto"/>
              <w:bottom w:val="single" w:sz="4" w:space="0" w:color="auto"/>
              <w:right w:val="single" w:sz="8" w:space="0" w:color="000000" w:themeColor="text1"/>
            </w:tcBorders>
            <w:shd w:val="clear" w:color="auto" w:fill="C6EFCE"/>
            <w:vAlign w:val="center"/>
            <w:hideMark/>
          </w:tcPr>
          <w:p w14:paraId="3A4B4545" w14:textId="71BEBC2A" w:rsidR="00615E2D" w:rsidRDefault="00C83E46">
            <w:pPr>
              <w:pStyle w:val="P68B1DB1-Normal15"/>
              <w:spacing w:before="0" w:after="0"/>
              <w:jc w:val="center"/>
              <w:rPr>
                <w:noProof/>
              </w:rPr>
            </w:pPr>
            <w:r>
              <w:rPr>
                <w:noProof/>
              </w:rPr>
              <w:t xml:space="preserve">103 </w:t>
            </w:r>
          </w:p>
          <w:p w14:paraId="0C211D45" w14:textId="7D41C455" w:rsidR="00615E2D" w:rsidRDefault="00615E2D">
            <w:pPr>
              <w:spacing w:before="0" w:after="0"/>
              <w:rPr>
                <w:rFonts w:eastAsia="Times New Roman"/>
                <w:noProof/>
                <w:color w:val="004300"/>
                <w:sz w:val="18"/>
              </w:rPr>
            </w:pPr>
          </w:p>
        </w:tc>
        <w:tc>
          <w:tcPr>
            <w:tcW w:w="4035"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0C6A2C3E" w14:textId="7133FE13" w:rsidR="00615E2D" w:rsidRDefault="00C83E46">
            <w:pPr>
              <w:spacing w:before="0" w:after="0" w:line="240" w:lineRule="auto"/>
              <w:rPr>
                <w:rFonts w:eastAsia="Times New Roman"/>
                <w:noProof/>
                <w:sz w:val="18"/>
              </w:rPr>
            </w:pPr>
            <w:r>
              <w:rPr>
                <w:rFonts w:eastAsia="Times New Roman"/>
                <w:noProof/>
                <w:color w:val="004300"/>
                <w:sz w:val="20"/>
              </w:rPr>
              <w:t>C</w:t>
            </w:r>
            <w:r>
              <w:rPr>
                <w:rFonts w:ascii="Calibri" w:hAnsi="Calibri" w:cs="Calibri"/>
                <w:noProof/>
                <w:sz w:val="20"/>
              </w:rPr>
              <w:t xml:space="preserve"> </w:t>
            </w:r>
            <w:r>
              <w:rPr>
                <w:rFonts w:eastAsia="Times New Roman"/>
                <w:noProof/>
                <w:color w:val="004300"/>
                <w:sz w:val="20"/>
              </w:rPr>
              <w:t>2.2: Smanjenje potrošnje energije u javnom sektoru – ulaganja 1: Poboljšanje energetskih svojstava državnih zgrada</w:t>
            </w:r>
            <w:r>
              <w:rPr>
                <w:rFonts w:eastAsia="Times New Roman"/>
                <w:noProof/>
                <w:color w:val="004300"/>
                <w:sz w:val="18"/>
              </w:rPr>
              <w:t xml:space="preserve"> </w:t>
            </w:r>
            <w:r>
              <w:rPr>
                <w:rFonts w:eastAsia="Times New Roman"/>
                <w:noProof/>
                <w:sz w:val="18"/>
              </w:rPr>
              <w:t xml:space="preserve"> </w:t>
            </w:r>
          </w:p>
        </w:tc>
        <w:tc>
          <w:tcPr>
            <w:tcW w:w="1770"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44477B43" w14:textId="260AF551" w:rsidR="00615E2D" w:rsidRDefault="00C83E46">
            <w:pPr>
              <w:pStyle w:val="P68B1DB1-Normal57"/>
              <w:spacing w:line="240" w:lineRule="auto"/>
              <w:jc w:val="center"/>
              <w:rPr>
                <w:noProof/>
              </w:rPr>
            </w:pPr>
            <w:r>
              <w:rPr>
                <w:noProof/>
              </w:rPr>
              <w:t>Ciljna</w:t>
            </w:r>
          </w:p>
        </w:tc>
        <w:tc>
          <w:tcPr>
            <w:tcW w:w="3409" w:type="dxa"/>
            <w:tcBorders>
              <w:top w:val="single" w:sz="8" w:space="0" w:color="000000" w:themeColor="text1"/>
              <w:left w:val="nil"/>
              <w:bottom w:val="single" w:sz="4" w:space="0" w:color="auto"/>
              <w:right w:val="single" w:sz="8" w:space="0" w:color="auto"/>
            </w:tcBorders>
            <w:shd w:val="clear" w:color="auto" w:fill="C6EFCE"/>
            <w:vAlign w:val="center"/>
            <w:hideMark/>
          </w:tcPr>
          <w:p w14:paraId="476958AC" w14:textId="1C15AC25" w:rsidR="00615E2D" w:rsidRDefault="00C83E46">
            <w:pPr>
              <w:pStyle w:val="P68B1DB1-Normal57"/>
              <w:spacing w:line="240" w:lineRule="auto"/>
              <w:jc w:val="center"/>
              <w:rPr>
                <w:noProof/>
              </w:rPr>
            </w:pPr>
            <w:r>
              <w:rPr>
                <w:noProof/>
              </w:rPr>
              <w:t xml:space="preserve">Dodjela 75 % svih ugovora o javnoj nabavi za projekte obnove zgrada kojima se ostvaruje ušteda primarne energije od najmanje 30 %  </w:t>
            </w:r>
          </w:p>
        </w:tc>
      </w:tr>
      <w:tr w:rsidR="00615E2D" w14:paraId="625474BA" w14:textId="77777777">
        <w:trPr>
          <w:trHeight w:val="600"/>
        </w:trPr>
        <w:tc>
          <w:tcPr>
            <w:tcW w:w="1275" w:type="dxa"/>
            <w:tcBorders>
              <w:top w:val="single" w:sz="4" w:space="0" w:color="auto"/>
              <w:left w:val="single" w:sz="8" w:space="0" w:color="auto"/>
              <w:bottom w:val="single" w:sz="8" w:space="0" w:color="auto"/>
              <w:right w:val="single" w:sz="8" w:space="0" w:color="000000" w:themeColor="text1"/>
            </w:tcBorders>
            <w:shd w:val="clear" w:color="auto" w:fill="C6EFCE"/>
            <w:vAlign w:val="center"/>
            <w:hideMark/>
          </w:tcPr>
          <w:p w14:paraId="6EF71181" w14:textId="77777777" w:rsidR="00615E2D" w:rsidRDefault="00C83E46">
            <w:pPr>
              <w:pStyle w:val="P68B1DB1-Normal57"/>
              <w:spacing w:before="0" w:after="0" w:line="240" w:lineRule="auto"/>
              <w:jc w:val="center"/>
              <w:rPr>
                <w:noProof/>
              </w:rPr>
            </w:pPr>
            <w:r>
              <w:rPr>
                <w:noProof/>
              </w:rPr>
              <w:t>98</w:t>
            </w:r>
          </w:p>
        </w:tc>
        <w:tc>
          <w:tcPr>
            <w:tcW w:w="4035"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176780DF" w14:textId="77777777" w:rsidR="00615E2D" w:rsidRDefault="00C83E46">
            <w:pPr>
              <w:pStyle w:val="P68B1DB1-Normal57"/>
              <w:spacing w:before="0" w:after="0" w:line="240" w:lineRule="auto"/>
              <w:jc w:val="center"/>
              <w:rPr>
                <w:noProof/>
              </w:rPr>
            </w:pPr>
            <w:r>
              <w:rPr>
                <w:noProof/>
              </w:rPr>
              <w:t>C 2.1.: Održivi promet – ulaganje 4: Sigurnost na cestama i željeznicama (željeznički prijelazi, mostovi i tuneli, biciklističke staze i putovi bez prepreka)</w:t>
            </w:r>
          </w:p>
        </w:tc>
        <w:tc>
          <w:tcPr>
            <w:tcW w:w="1770"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78C799FD" w14:textId="77777777" w:rsidR="00615E2D" w:rsidRDefault="00C83E46">
            <w:pPr>
              <w:pStyle w:val="P68B1DB1-Normal57"/>
              <w:spacing w:before="0" w:after="0" w:line="240" w:lineRule="auto"/>
              <w:jc w:val="center"/>
              <w:rPr>
                <w:noProof/>
              </w:rPr>
            </w:pPr>
            <w:r>
              <w:rPr>
                <w:noProof/>
              </w:rPr>
              <w:t>Ciljna</w:t>
            </w:r>
          </w:p>
        </w:tc>
        <w:tc>
          <w:tcPr>
            <w:tcW w:w="3409" w:type="dxa"/>
            <w:tcBorders>
              <w:top w:val="single" w:sz="4" w:space="0" w:color="auto"/>
              <w:left w:val="nil"/>
              <w:bottom w:val="single" w:sz="8" w:space="0" w:color="auto"/>
              <w:right w:val="single" w:sz="8" w:space="0" w:color="auto"/>
            </w:tcBorders>
            <w:shd w:val="clear" w:color="auto" w:fill="C6EFCE"/>
            <w:vAlign w:val="center"/>
            <w:hideMark/>
          </w:tcPr>
          <w:p w14:paraId="1C6B7AD8" w14:textId="77777777" w:rsidR="00615E2D" w:rsidRDefault="00C83E46">
            <w:pPr>
              <w:pStyle w:val="P68B1DB1-Normal57"/>
              <w:spacing w:before="0" w:after="0" w:line="240" w:lineRule="auto"/>
              <w:jc w:val="center"/>
              <w:rPr>
                <w:noProof/>
              </w:rPr>
            </w:pPr>
            <w:r>
              <w:rPr>
                <w:noProof/>
              </w:rPr>
              <w:t>Završetak željezničko-cestovnih prijelaza s povećanom sigurnošću</w:t>
            </w:r>
          </w:p>
        </w:tc>
      </w:tr>
      <w:tr w:rsidR="00615E2D" w14:paraId="04824467"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6ED1DCE1" w14:textId="7157E56D" w:rsidR="00615E2D" w:rsidRDefault="00C83E46">
            <w:pPr>
              <w:pStyle w:val="P68B1DB1-Normal56"/>
              <w:spacing w:line="240" w:lineRule="auto"/>
              <w:jc w:val="center"/>
              <w:rPr>
                <w:noProof/>
              </w:rPr>
            </w:pPr>
            <w:r>
              <w:rPr>
                <w:noProof/>
              </w:rPr>
              <w:t xml:space="preserve">133   </w:t>
            </w:r>
          </w:p>
          <w:p w14:paraId="1A9A7438" w14:textId="2257FD70" w:rsidR="00615E2D" w:rsidRDefault="00615E2D">
            <w:pPr>
              <w:spacing w:line="240" w:lineRule="auto"/>
              <w:jc w:val="center"/>
              <w:rPr>
                <w:rFonts w:eastAsia="Times New Roman"/>
                <w:noProof/>
                <w:color w:val="004300"/>
                <w:sz w:val="20"/>
              </w:rPr>
            </w:pP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5DBC91B8" w14:textId="4C4EAD59" w:rsidR="00615E2D" w:rsidRDefault="00C83E46">
            <w:pPr>
              <w:pStyle w:val="P68B1DB1-Normal56"/>
              <w:spacing w:line="240" w:lineRule="auto"/>
              <w:jc w:val="center"/>
              <w:rPr>
                <w:noProof/>
              </w:rPr>
            </w:pPr>
            <w:r>
              <w:rPr>
                <w:noProof/>
              </w:rPr>
              <w:t xml:space="preserve">C 2.6.: Zaštita prirode i prilagodba klimatskim promjenama – ulaganje 1.: Zaštita od poplava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67BB3BBA" w14:textId="27DD1CAE" w:rsidR="00615E2D" w:rsidRDefault="00C83E46">
            <w:pPr>
              <w:pStyle w:val="P68B1DB1-Normal57"/>
              <w:spacing w:before="0" w:after="0" w:line="240" w:lineRule="auto"/>
              <w:jc w:val="center"/>
              <w:rPr>
                <w:noProof/>
              </w:rPr>
            </w:pPr>
            <w:r>
              <w:rPr>
                <w:noProof/>
              </w:rPr>
              <w:t xml:space="preserve">Ciljna  </w:t>
            </w:r>
          </w:p>
        </w:tc>
        <w:tc>
          <w:tcPr>
            <w:tcW w:w="3409" w:type="dxa"/>
            <w:tcBorders>
              <w:top w:val="nil"/>
              <w:left w:val="nil"/>
              <w:bottom w:val="single" w:sz="8" w:space="0" w:color="auto"/>
              <w:right w:val="single" w:sz="8" w:space="0" w:color="auto"/>
            </w:tcBorders>
            <w:shd w:val="clear" w:color="auto" w:fill="C6EFCE"/>
            <w:vAlign w:val="center"/>
            <w:hideMark/>
          </w:tcPr>
          <w:p w14:paraId="57446E40" w14:textId="4B2071C0" w:rsidR="00615E2D" w:rsidRDefault="00C83E46">
            <w:pPr>
              <w:pStyle w:val="P68B1DB1-Normal62"/>
              <w:spacing w:before="0" w:after="0" w:line="240" w:lineRule="auto"/>
              <w:rPr>
                <w:noProof/>
                <w:sz w:val="18"/>
              </w:rPr>
            </w:pPr>
            <w:r>
              <w:rPr>
                <w:noProof/>
                <w:sz w:val="20"/>
              </w:rPr>
              <w:t>T2: Završetak dodatnih 23 projekta čiji je cilj uspostaviti otpornu zaštitu od poplava.</w:t>
            </w:r>
            <w:r>
              <w:rPr>
                <w:noProof/>
                <w:sz w:val="18"/>
              </w:rPr>
              <w:t xml:space="preserve">  </w:t>
            </w:r>
          </w:p>
        </w:tc>
      </w:tr>
      <w:tr w:rsidR="00615E2D" w14:paraId="18D8BF17"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5D0EEF9E" w14:textId="77777777" w:rsidR="00615E2D" w:rsidRDefault="00C83E46">
            <w:pPr>
              <w:pStyle w:val="P68B1DB1-Normal56"/>
              <w:spacing w:before="0" w:after="0" w:line="240" w:lineRule="auto"/>
              <w:jc w:val="center"/>
              <w:rPr>
                <w:noProof/>
              </w:rPr>
            </w:pPr>
            <w:r>
              <w:rPr>
                <w:noProof/>
              </w:rPr>
              <w:t>106</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210B5764" w14:textId="256FD1ED" w:rsidR="00615E2D" w:rsidRDefault="00C83E46">
            <w:pPr>
              <w:pStyle w:val="P68B1DB1-Normal57"/>
              <w:spacing w:before="0" w:after="0" w:line="240" w:lineRule="auto"/>
              <w:jc w:val="center"/>
              <w:rPr>
                <w:noProof/>
              </w:rPr>
            </w:pPr>
            <w:r>
              <w:rPr>
                <w:noProof/>
              </w:rPr>
              <w:t>C 2.2: Smanjenje potrošnje energije u javnom sektoru – ulaganje 2: Poboljšanje energetske učinkovitosti sustava javne rasvjete</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4B246CBF" w14:textId="77777777" w:rsidR="00615E2D" w:rsidRDefault="00C83E46">
            <w:pPr>
              <w:pStyle w:val="P68B1DB1-Normal57"/>
              <w:spacing w:before="0" w:after="0" w:line="240" w:lineRule="auto"/>
              <w:jc w:val="center"/>
              <w:rPr>
                <w:noProof/>
              </w:rPr>
            </w:pPr>
            <w:r>
              <w:rPr>
                <w:noProof/>
              </w:rPr>
              <w:t>Ciljna</w:t>
            </w:r>
          </w:p>
        </w:tc>
        <w:tc>
          <w:tcPr>
            <w:tcW w:w="3409" w:type="dxa"/>
            <w:tcBorders>
              <w:top w:val="nil"/>
              <w:left w:val="nil"/>
              <w:bottom w:val="single" w:sz="8" w:space="0" w:color="auto"/>
              <w:right w:val="single" w:sz="8" w:space="0" w:color="auto"/>
            </w:tcBorders>
            <w:shd w:val="clear" w:color="auto" w:fill="C6EFCE"/>
            <w:vAlign w:val="center"/>
            <w:hideMark/>
          </w:tcPr>
          <w:p w14:paraId="4F6CB7EC" w14:textId="77777777" w:rsidR="00615E2D" w:rsidRDefault="00C83E46">
            <w:pPr>
              <w:pStyle w:val="P68B1DB1-Normal56"/>
              <w:spacing w:before="0" w:after="0" w:line="240" w:lineRule="auto"/>
              <w:jc w:val="center"/>
              <w:rPr>
                <w:noProof/>
              </w:rPr>
            </w:pPr>
            <w:r>
              <w:rPr>
                <w:noProof/>
              </w:rPr>
              <w:t>Dodjela 80 % svih ugovora o javnoj nabavi za obnovu javnih sustava munje kojima se ostvaruje ušteda primarne energije od najmanje 30 %</w:t>
            </w:r>
          </w:p>
        </w:tc>
      </w:tr>
      <w:tr w:rsidR="00615E2D" w14:paraId="668D5A5E" w14:textId="77777777">
        <w:trPr>
          <w:trHeight w:val="600"/>
        </w:trPr>
        <w:tc>
          <w:tcPr>
            <w:tcW w:w="1275" w:type="dxa"/>
            <w:tcBorders>
              <w:top w:val="single" w:sz="8" w:space="0" w:color="auto"/>
              <w:left w:val="single" w:sz="8" w:space="0" w:color="auto"/>
              <w:bottom w:val="single" w:sz="4" w:space="0" w:color="auto"/>
              <w:right w:val="single" w:sz="8" w:space="0" w:color="000000" w:themeColor="text1"/>
            </w:tcBorders>
            <w:shd w:val="clear" w:color="auto" w:fill="C6EFCE"/>
            <w:vAlign w:val="center"/>
            <w:hideMark/>
          </w:tcPr>
          <w:p w14:paraId="3CF53C4D" w14:textId="77777777" w:rsidR="00615E2D" w:rsidRDefault="00C83E46">
            <w:pPr>
              <w:pStyle w:val="P68B1DB1-Normal61"/>
              <w:spacing w:before="0" w:after="0" w:line="240" w:lineRule="auto"/>
              <w:jc w:val="center"/>
              <w:rPr>
                <w:noProof/>
              </w:rPr>
            </w:pPr>
            <w:r>
              <w:rPr>
                <w:noProof/>
              </w:rPr>
              <w:t>137</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541DEDF2" w14:textId="77777777" w:rsidR="00615E2D" w:rsidRDefault="00C83E46">
            <w:pPr>
              <w:pStyle w:val="P68B1DB1-Normal57"/>
              <w:spacing w:before="0" w:after="0" w:line="240" w:lineRule="auto"/>
              <w:jc w:val="center"/>
              <w:rPr>
                <w:noProof/>
              </w:rPr>
            </w:pPr>
            <w:r>
              <w:rPr>
                <w:noProof/>
              </w:rPr>
              <w:t xml:space="preserve">C 2.6.: Zaštita prirode i prilagodba klimatskim promjenama – ulaganje 3: Komasacija zemljišta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734DC918" w14:textId="77777777" w:rsidR="00615E2D" w:rsidRDefault="00C83E46">
            <w:pPr>
              <w:pStyle w:val="P68B1DB1-Normal57"/>
              <w:spacing w:before="0" w:after="0" w:line="240" w:lineRule="auto"/>
              <w:jc w:val="center"/>
              <w:rPr>
                <w:noProof/>
              </w:rPr>
            </w:pPr>
            <w:r>
              <w:rPr>
                <w:noProof/>
              </w:rPr>
              <w:t>Ciljna</w:t>
            </w:r>
          </w:p>
        </w:tc>
        <w:tc>
          <w:tcPr>
            <w:tcW w:w="3409" w:type="dxa"/>
            <w:tcBorders>
              <w:top w:val="single" w:sz="8" w:space="0" w:color="auto"/>
              <w:left w:val="nil"/>
              <w:bottom w:val="single" w:sz="4" w:space="0" w:color="auto"/>
              <w:right w:val="single" w:sz="8" w:space="0" w:color="auto"/>
            </w:tcBorders>
            <w:shd w:val="clear" w:color="auto" w:fill="C6EFCE"/>
            <w:vAlign w:val="center"/>
            <w:hideMark/>
          </w:tcPr>
          <w:p w14:paraId="1AA7718A" w14:textId="77777777" w:rsidR="00615E2D" w:rsidRDefault="00C83E46">
            <w:pPr>
              <w:pStyle w:val="P68B1DB1-Normal56"/>
              <w:spacing w:before="0" w:after="0" w:line="240" w:lineRule="auto"/>
              <w:jc w:val="center"/>
              <w:rPr>
                <w:noProof/>
              </w:rPr>
            </w:pPr>
            <w:r>
              <w:rPr>
                <w:noProof/>
              </w:rPr>
              <w:t>Dovršetak projekata zelene infrastrukture kojima se promiče biološka raznolikost, uključujući biocentri, biokoride i sadnju lokalno tipične zelene zemlje u poljoprivrednom krajoliku (u hektaru zemljišta koje se koristi ulaganjem).</w:t>
            </w:r>
          </w:p>
        </w:tc>
      </w:tr>
      <w:tr w:rsidR="00615E2D" w14:paraId="337B7BB0" w14:textId="77777777">
        <w:trPr>
          <w:trHeight w:val="600"/>
        </w:trPr>
        <w:tc>
          <w:tcPr>
            <w:tcW w:w="1275" w:type="dxa"/>
            <w:tcBorders>
              <w:top w:val="single" w:sz="4" w:space="0" w:color="auto"/>
              <w:left w:val="single" w:sz="8" w:space="0" w:color="auto"/>
              <w:bottom w:val="single" w:sz="4" w:space="0" w:color="auto"/>
              <w:right w:val="single" w:sz="8" w:space="0" w:color="000000" w:themeColor="text1"/>
            </w:tcBorders>
            <w:shd w:val="clear" w:color="auto" w:fill="C6EFCE"/>
            <w:vAlign w:val="center"/>
            <w:hideMark/>
          </w:tcPr>
          <w:p w14:paraId="13CE7DE7" w14:textId="77777777" w:rsidR="00615E2D" w:rsidRDefault="00C83E46">
            <w:pPr>
              <w:pStyle w:val="P68B1DB1-Normal61"/>
              <w:spacing w:before="0" w:after="0" w:line="240" w:lineRule="auto"/>
              <w:jc w:val="center"/>
              <w:rPr>
                <w:noProof/>
              </w:rPr>
            </w:pPr>
            <w:r>
              <w:rPr>
                <w:noProof/>
              </w:rPr>
              <w:t>138</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21383046" w14:textId="77777777" w:rsidR="00615E2D" w:rsidRDefault="00C83E46">
            <w:pPr>
              <w:pStyle w:val="P68B1DB1-Normal57"/>
              <w:spacing w:before="0" w:after="0" w:line="240" w:lineRule="auto"/>
              <w:jc w:val="center"/>
              <w:rPr>
                <w:noProof/>
              </w:rPr>
            </w:pPr>
            <w:r>
              <w:rPr>
                <w:noProof/>
              </w:rPr>
              <w:t xml:space="preserve">C 2.6.: Zaštita prirode i prilagodba klimatskim promjenama – ulaganje 3: Komasacija zemljišta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23070804" w14:textId="77777777" w:rsidR="00615E2D" w:rsidRDefault="00C83E46">
            <w:pPr>
              <w:pStyle w:val="P68B1DB1-Normal57"/>
              <w:spacing w:before="0" w:after="0" w:line="240" w:lineRule="auto"/>
              <w:jc w:val="center"/>
              <w:rPr>
                <w:noProof/>
              </w:rPr>
            </w:pPr>
            <w:r>
              <w:rPr>
                <w:noProof/>
              </w:rPr>
              <w:t>Ciljna</w:t>
            </w:r>
          </w:p>
        </w:tc>
        <w:tc>
          <w:tcPr>
            <w:tcW w:w="3409" w:type="dxa"/>
            <w:tcBorders>
              <w:top w:val="single" w:sz="4" w:space="0" w:color="auto"/>
              <w:left w:val="nil"/>
              <w:bottom w:val="single" w:sz="4" w:space="0" w:color="000000" w:themeColor="text1"/>
              <w:right w:val="single" w:sz="8" w:space="0" w:color="auto"/>
            </w:tcBorders>
            <w:shd w:val="clear" w:color="auto" w:fill="C6EFCE"/>
            <w:vAlign w:val="center"/>
            <w:hideMark/>
          </w:tcPr>
          <w:p w14:paraId="0D689D31" w14:textId="54286FE7" w:rsidR="00615E2D" w:rsidRDefault="00615E2D">
            <w:pPr>
              <w:spacing w:before="0" w:after="0" w:line="240" w:lineRule="auto"/>
              <w:jc w:val="center"/>
              <w:rPr>
                <w:rFonts w:eastAsia="Times New Roman"/>
                <w:noProof/>
                <w:color w:val="004300"/>
                <w:sz w:val="20"/>
              </w:rPr>
            </w:pPr>
          </w:p>
          <w:p w14:paraId="088D4772" w14:textId="54286FE7" w:rsidR="00615E2D" w:rsidRDefault="00C83E46">
            <w:pPr>
              <w:pStyle w:val="P68B1DB1-Normal56"/>
              <w:spacing w:before="0" w:after="0" w:line="240" w:lineRule="auto"/>
              <w:jc w:val="center"/>
              <w:rPr>
                <w:noProof/>
              </w:rPr>
            </w:pPr>
            <w:r>
              <w:rPr>
                <w:noProof/>
              </w:rPr>
              <w:t xml:space="preserve">Završetak aktivnosti zaštite okoliša i prilagodba klimatskim promjenama (u hektaru zemljišta koje se koristi ulaganjem). </w:t>
            </w:r>
          </w:p>
        </w:tc>
      </w:tr>
      <w:tr w:rsidR="00615E2D" w14:paraId="6EBCE078" w14:textId="77777777">
        <w:trPr>
          <w:trHeight w:val="600"/>
        </w:trPr>
        <w:tc>
          <w:tcPr>
            <w:tcW w:w="1275" w:type="dxa"/>
            <w:tcBorders>
              <w:top w:val="single" w:sz="4" w:space="0" w:color="auto"/>
              <w:left w:val="single" w:sz="8" w:space="0" w:color="auto"/>
              <w:bottom w:val="nil"/>
              <w:right w:val="single" w:sz="8" w:space="0" w:color="000000" w:themeColor="text1"/>
            </w:tcBorders>
            <w:shd w:val="clear" w:color="auto" w:fill="C6EFCE"/>
            <w:vAlign w:val="center"/>
            <w:hideMark/>
          </w:tcPr>
          <w:p w14:paraId="4E278D7A" w14:textId="77777777" w:rsidR="00615E2D" w:rsidRDefault="00C83E46">
            <w:pPr>
              <w:pStyle w:val="P68B1DB1-Normal56"/>
              <w:spacing w:before="0" w:after="0" w:line="240" w:lineRule="auto"/>
              <w:jc w:val="center"/>
              <w:rPr>
                <w:noProof/>
              </w:rPr>
            </w:pPr>
            <w:r>
              <w:rPr>
                <w:noProof/>
              </w:rPr>
              <w:t>160</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5E6B5D08" w14:textId="77777777" w:rsidR="00615E2D" w:rsidRDefault="00C83E46">
            <w:pPr>
              <w:pStyle w:val="P68B1DB1-Normal57"/>
              <w:spacing w:before="0" w:after="0" w:line="240" w:lineRule="auto"/>
              <w:jc w:val="center"/>
              <w:rPr>
                <w:noProof/>
              </w:rPr>
            </w:pPr>
            <w:r>
              <w:rPr>
                <w:noProof/>
              </w:rPr>
              <w:t>C 2.9: Promicanje biološke raznolikosti i borbe protiv suše – reforma 1.: Izmjena i dopuna Zakona o gospodarenju vodama</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57DCE255" w14:textId="77777777" w:rsidR="00615E2D" w:rsidRDefault="00C83E46">
            <w:pPr>
              <w:pStyle w:val="P68B1DB1-Normal57"/>
              <w:spacing w:before="0" w:after="0" w:line="240" w:lineRule="auto"/>
              <w:jc w:val="center"/>
              <w:rPr>
                <w:noProof/>
              </w:rPr>
            </w:pPr>
            <w:r>
              <w:rPr>
                <w:noProof/>
              </w:rPr>
              <w:t>Prekretnica</w:t>
            </w:r>
          </w:p>
        </w:tc>
        <w:tc>
          <w:tcPr>
            <w:tcW w:w="3409" w:type="dxa"/>
            <w:tcBorders>
              <w:top w:val="single" w:sz="4" w:space="0" w:color="000000" w:themeColor="text1"/>
              <w:left w:val="nil"/>
              <w:bottom w:val="nil"/>
              <w:right w:val="single" w:sz="8" w:space="0" w:color="auto"/>
            </w:tcBorders>
            <w:shd w:val="clear" w:color="auto" w:fill="C6EFCE"/>
            <w:vAlign w:val="center"/>
            <w:hideMark/>
          </w:tcPr>
          <w:p w14:paraId="4FE3BC55" w14:textId="77777777" w:rsidR="00615E2D" w:rsidRDefault="00C83E46">
            <w:pPr>
              <w:pStyle w:val="P68B1DB1-Normal56"/>
              <w:spacing w:before="0" w:after="0" w:line="240" w:lineRule="auto"/>
              <w:jc w:val="center"/>
              <w:rPr>
                <w:noProof/>
              </w:rPr>
            </w:pPr>
            <w:r>
              <w:rPr>
                <w:noProof/>
              </w:rPr>
              <w:t xml:space="preserve">Izmjena Zakona o gospodarenju vodama (Zakon br. 254/2001 zb.) s ciljem sustavnog pristupa upravljanju sušom i nestašicom vode. </w:t>
            </w:r>
          </w:p>
        </w:tc>
      </w:tr>
      <w:tr w:rsidR="00615E2D" w14:paraId="6DCD2227" w14:textId="77777777">
        <w:trPr>
          <w:trHeight w:val="600"/>
        </w:trPr>
        <w:tc>
          <w:tcPr>
            <w:tcW w:w="1275" w:type="dxa"/>
            <w:tcBorders>
              <w:top w:val="single" w:sz="8" w:space="0" w:color="000000" w:themeColor="text1"/>
              <w:left w:val="single" w:sz="8" w:space="0" w:color="auto"/>
              <w:bottom w:val="nil"/>
              <w:right w:val="single" w:sz="8" w:space="0" w:color="000000" w:themeColor="text1"/>
            </w:tcBorders>
            <w:shd w:val="clear" w:color="auto" w:fill="C6EFCE"/>
            <w:vAlign w:val="center"/>
            <w:hideMark/>
          </w:tcPr>
          <w:p w14:paraId="5EFC4265" w14:textId="77777777" w:rsidR="00615E2D" w:rsidRDefault="00C83E46">
            <w:pPr>
              <w:pStyle w:val="P68B1DB1-Normal56"/>
              <w:spacing w:before="0" w:after="0" w:line="240" w:lineRule="auto"/>
              <w:jc w:val="center"/>
              <w:rPr>
                <w:noProof/>
              </w:rPr>
            </w:pPr>
            <w:r>
              <w:rPr>
                <w:noProof/>
              </w:rPr>
              <w:t>170</w:t>
            </w:r>
          </w:p>
        </w:tc>
        <w:tc>
          <w:tcPr>
            <w:tcW w:w="4035" w:type="dxa"/>
            <w:tcBorders>
              <w:top w:val="nil"/>
              <w:left w:val="nil"/>
              <w:bottom w:val="single" w:sz="2" w:space="0" w:color="000000" w:themeColor="text1"/>
              <w:right w:val="single" w:sz="8" w:space="0" w:color="000000" w:themeColor="text1"/>
            </w:tcBorders>
            <w:shd w:val="clear" w:color="auto" w:fill="C6EFCE"/>
            <w:vAlign w:val="center"/>
            <w:hideMark/>
          </w:tcPr>
          <w:p w14:paraId="0E8BFEA0" w14:textId="77777777" w:rsidR="00615E2D" w:rsidRDefault="00C83E46">
            <w:pPr>
              <w:pStyle w:val="P68B1DB1-Normal57"/>
              <w:spacing w:before="0" w:after="0" w:line="240" w:lineRule="auto"/>
              <w:jc w:val="center"/>
              <w:rPr>
                <w:noProof/>
              </w:rPr>
            </w:pPr>
            <w:r>
              <w:rPr>
                <w:noProof/>
              </w:rPr>
              <w:t xml:space="preserve">C 3.1: Inovacije u obrazovanju u kontekstu digitalizacije – ulaganje 1: Provedba revidiranog kurikuluma i digitalnih vještina nastavnika </w:t>
            </w:r>
          </w:p>
        </w:tc>
        <w:tc>
          <w:tcPr>
            <w:tcW w:w="1770" w:type="dxa"/>
            <w:tcBorders>
              <w:top w:val="nil"/>
              <w:left w:val="nil"/>
              <w:bottom w:val="single" w:sz="4" w:space="0" w:color="000000" w:themeColor="text1"/>
              <w:right w:val="single" w:sz="8" w:space="0" w:color="000000" w:themeColor="text1"/>
            </w:tcBorders>
            <w:shd w:val="clear" w:color="auto" w:fill="C6EFCE"/>
            <w:vAlign w:val="center"/>
            <w:hideMark/>
          </w:tcPr>
          <w:p w14:paraId="2BB4031D" w14:textId="77777777" w:rsidR="00615E2D" w:rsidRDefault="00C83E46">
            <w:pPr>
              <w:pStyle w:val="P68B1DB1-Normal57"/>
              <w:spacing w:before="0" w:after="0" w:line="240" w:lineRule="auto"/>
              <w:jc w:val="center"/>
              <w:rPr>
                <w:noProof/>
              </w:rPr>
            </w:pPr>
            <w:r>
              <w:rPr>
                <w:noProof/>
              </w:rPr>
              <w:t>Prekretnica</w:t>
            </w:r>
          </w:p>
        </w:tc>
        <w:tc>
          <w:tcPr>
            <w:tcW w:w="3409" w:type="dxa"/>
            <w:tcBorders>
              <w:top w:val="single" w:sz="8" w:space="0" w:color="000000" w:themeColor="text1"/>
              <w:left w:val="nil"/>
              <w:bottom w:val="nil"/>
              <w:right w:val="single" w:sz="8" w:space="0" w:color="000000" w:themeColor="text1"/>
            </w:tcBorders>
            <w:shd w:val="clear" w:color="auto" w:fill="C6EFCE"/>
            <w:vAlign w:val="center"/>
            <w:hideMark/>
          </w:tcPr>
          <w:p w14:paraId="33E831D9" w14:textId="77777777" w:rsidR="00615E2D" w:rsidRDefault="00C83E46">
            <w:pPr>
              <w:pStyle w:val="P68B1DB1-Normal56"/>
              <w:spacing w:before="0" w:after="0" w:line="240" w:lineRule="auto"/>
              <w:jc w:val="center"/>
              <w:rPr>
                <w:noProof/>
              </w:rPr>
            </w:pPr>
            <w:r>
              <w:rPr>
                <w:noProof/>
              </w:rPr>
              <w:t xml:space="preserve">Stvaranje digitalne platforme za učinkovito dijeljenje obrazovnih resursa </w:t>
            </w:r>
          </w:p>
        </w:tc>
      </w:tr>
      <w:tr w:rsidR="00615E2D" w14:paraId="42F90E1B" w14:textId="77777777">
        <w:trPr>
          <w:trHeight w:val="795"/>
        </w:trPr>
        <w:tc>
          <w:tcPr>
            <w:tcW w:w="1275"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2C342E07" w14:textId="77777777" w:rsidR="00615E2D" w:rsidRDefault="00C83E46">
            <w:pPr>
              <w:pStyle w:val="P68B1DB1-Normal56"/>
              <w:spacing w:before="0" w:after="0" w:line="240" w:lineRule="auto"/>
              <w:jc w:val="center"/>
              <w:rPr>
                <w:noProof/>
              </w:rPr>
            </w:pPr>
            <w:r>
              <w:rPr>
                <w:noProof/>
              </w:rPr>
              <w:t>204</w:t>
            </w:r>
          </w:p>
        </w:tc>
        <w:tc>
          <w:tcPr>
            <w:tcW w:w="4035" w:type="dxa"/>
            <w:tcBorders>
              <w:top w:val="single" w:sz="2" w:space="0" w:color="000000" w:themeColor="text1"/>
              <w:left w:val="nil"/>
              <w:bottom w:val="single" w:sz="8" w:space="0" w:color="000000" w:themeColor="text1"/>
              <w:right w:val="single" w:sz="8" w:space="0" w:color="000000" w:themeColor="text1"/>
            </w:tcBorders>
            <w:shd w:val="clear" w:color="auto" w:fill="C6EFCE"/>
            <w:vAlign w:val="center"/>
            <w:hideMark/>
          </w:tcPr>
          <w:p w14:paraId="68D6866D" w14:textId="77777777" w:rsidR="00615E2D" w:rsidRDefault="00C83E46">
            <w:pPr>
              <w:pStyle w:val="P68B1DB1-Normal57"/>
              <w:spacing w:before="0" w:after="0" w:line="240" w:lineRule="auto"/>
              <w:jc w:val="center"/>
              <w:rPr>
                <w:noProof/>
              </w:rPr>
            </w:pPr>
            <w:r>
              <w:rPr>
                <w:noProof/>
              </w:rPr>
              <w:t>C 4.3: Reforme borbe protiv korupcije – 2. reforma: Reforma pravosuđa usmjerena na jačanje zakonodavnog okvira i transparentnosti u područjima sudova, sudaca, tužitelja i sudskih izvršitelja</w:t>
            </w:r>
          </w:p>
        </w:tc>
        <w:tc>
          <w:tcPr>
            <w:tcW w:w="1770"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08EFF32B" w14:textId="77777777" w:rsidR="00615E2D" w:rsidRDefault="00C83E46">
            <w:pPr>
              <w:pStyle w:val="P68B1DB1-Normal57"/>
              <w:spacing w:before="0" w:after="0" w:line="240" w:lineRule="auto"/>
              <w:jc w:val="center"/>
              <w:rPr>
                <w:noProof/>
              </w:rPr>
            </w:pPr>
            <w:r>
              <w:rPr>
                <w:noProof/>
              </w:rPr>
              <w:t>Prekretnica</w:t>
            </w:r>
          </w:p>
        </w:tc>
        <w:tc>
          <w:tcPr>
            <w:tcW w:w="3409" w:type="dxa"/>
            <w:tcBorders>
              <w:top w:val="single" w:sz="8" w:space="0" w:color="000000" w:themeColor="text1"/>
              <w:left w:val="nil"/>
              <w:bottom w:val="single" w:sz="8" w:space="0" w:color="auto"/>
              <w:right w:val="single" w:sz="8" w:space="0" w:color="auto"/>
            </w:tcBorders>
            <w:shd w:val="clear" w:color="auto" w:fill="C6EFCE"/>
            <w:vAlign w:val="center"/>
            <w:hideMark/>
          </w:tcPr>
          <w:p w14:paraId="78507DDA" w14:textId="77777777" w:rsidR="00615E2D" w:rsidRDefault="00C83E46">
            <w:pPr>
              <w:pStyle w:val="P68B1DB1-Normal56"/>
              <w:spacing w:before="0" w:after="0" w:line="240" w:lineRule="auto"/>
              <w:jc w:val="center"/>
              <w:rPr>
                <w:noProof/>
              </w:rPr>
            </w:pPr>
            <w:r>
              <w:rPr>
                <w:noProof/>
              </w:rPr>
              <w:t>Stupanje na snagu zakona o postupcima u predmetima sudaca, tužitelja i sudskih izvršitelja</w:t>
            </w:r>
          </w:p>
        </w:tc>
      </w:tr>
      <w:tr w:rsidR="00615E2D" w14:paraId="1503470B" w14:textId="77777777">
        <w:trPr>
          <w:trHeight w:val="405"/>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3DCCDE8C" w14:textId="68D974B0" w:rsidR="00615E2D" w:rsidRDefault="00C83E46">
            <w:pPr>
              <w:pStyle w:val="P68B1DB1-Normal56"/>
              <w:spacing w:line="240" w:lineRule="auto"/>
              <w:jc w:val="center"/>
              <w:rPr>
                <w:noProof/>
              </w:rPr>
            </w:pPr>
            <w:r>
              <w:rPr>
                <w:noProof/>
              </w:rPr>
              <w:t>11</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3CC7E276" w14:textId="252A54D1" w:rsidR="00615E2D" w:rsidRDefault="00C83E46">
            <w:pPr>
              <w:pStyle w:val="P68B1DB1-Normal57"/>
              <w:spacing w:before="0" w:after="0" w:line="240" w:lineRule="auto"/>
              <w:jc w:val="center"/>
              <w:rPr>
                <w:noProof/>
              </w:rPr>
            </w:pPr>
            <w:r>
              <w:rPr>
                <w:noProof/>
              </w:rPr>
              <w:t xml:space="preserve">C 1.1: Digitalne usluge za građane i poduzeća – ulaganje 2: Razvoj otvorenih podataka i javnih podataka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67C4F978" w14:textId="168B971D" w:rsidR="00615E2D" w:rsidRDefault="00C83E46">
            <w:pPr>
              <w:pStyle w:val="P68B1DB1-Normal57"/>
              <w:spacing w:before="0" w:after="0" w:line="240" w:lineRule="auto"/>
              <w:jc w:val="center"/>
              <w:rPr>
                <w:noProof/>
              </w:rPr>
            </w:pPr>
            <w:r>
              <w:rPr>
                <w:noProof/>
              </w:rPr>
              <w:t xml:space="preserve"> Prekretnica </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172E2CCB" w14:textId="3EF318C3" w:rsidR="00615E2D" w:rsidRDefault="00C83E46">
            <w:pPr>
              <w:pStyle w:val="P68B1DB1-Normal57"/>
              <w:spacing w:before="0" w:after="0" w:line="240" w:lineRule="auto"/>
              <w:jc w:val="center"/>
              <w:rPr>
                <w:noProof/>
              </w:rPr>
            </w:pPr>
            <w:r>
              <w:rPr>
                <w:noProof/>
              </w:rPr>
              <w:t xml:space="preserve">Proširenje nacionalnog kataloga otvorenih podataka naprednim funkcijama  </w:t>
            </w:r>
          </w:p>
        </w:tc>
      </w:tr>
      <w:tr w:rsidR="00615E2D" w14:paraId="5155A2A9" w14:textId="77777777">
        <w:trPr>
          <w:trHeight w:val="405"/>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679EE9AA" w14:textId="77777777" w:rsidR="00615E2D" w:rsidRDefault="00C83E46">
            <w:pPr>
              <w:pStyle w:val="P68B1DB1-Normal56"/>
              <w:spacing w:before="0" w:after="0" w:line="240" w:lineRule="auto"/>
              <w:jc w:val="center"/>
              <w:rPr>
                <w:noProof/>
              </w:rPr>
            </w:pPr>
            <w:r>
              <w:rPr>
                <w:noProof/>
              </w:rPr>
              <w:t>218</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56770004" w14:textId="40AD72BF" w:rsidR="00615E2D" w:rsidRDefault="00C83E46">
            <w:pPr>
              <w:pStyle w:val="P68B1DB1-Normal57"/>
              <w:spacing w:before="0" w:after="0" w:line="240" w:lineRule="auto"/>
              <w:jc w:val="center"/>
              <w:rPr>
                <w:noProof/>
              </w:rPr>
            </w:pPr>
            <w:r>
              <w:rPr>
                <w:noProof/>
              </w:rPr>
              <w:t>C 4.5.: Razvoj kulturnog i kreativnog sektora – reforma 1.: Status umjetnika</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2E486A74" w14:textId="77777777" w:rsidR="00615E2D" w:rsidRDefault="00C83E46">
            <w:pPr>
              <w:pStyle w:val="P68B1DB1-Normal57"/>
              <w:spacing w:before="0" w:after="0" w:line="240" w:lineRule="auto"/>
              <w:jc w:val="center"/>
              <w:rPr>
                <w:noProof/>
              </w:rPr>
            </w:pPr>
            <w:r>
              <w:rPr>
                <w:noProof/>
              </w:rPr>
              <w:t>Ciljna</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2B28A52E" w14:textId="77777777" w:rsidR="00615E2D" w:rsidRDefault="00C83E46">
            <w:pPr>
              <w:pStyle w:val="P68B1DB1-Normal56"/>
              <w:spacing w:before="0" w:after="0" w:line="240" w:lineRule="auto"/>
              <w:jc w:val="center"/>
              <w:rPr>
                <w:noProof/>
              </w:rPr>
            </w:pPr>
            <w:r>
              <w:rPr>
                <w:noProof/>
              </w:rPr>
              <w:t>Broj stručnjaka u području kulture i kreativnosti kojima se pruža potpora pružanjem vještina</w:t>
            </w:r>
          </w:p>
        </w:tc>
      </w:tr>
      <w:tr w:rsidR="00615E2D" w14:paraId="683D9928" w14:textId="77777777">
        <w:trPr>
          <w:trHeight w:val="600"/>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30247F8" w14:textId="54E0EAD0" w:rsidR="00615E2D" w:rsidRDefault="00C83E46">
            <w:pPr>
              <w:pStyle w:val="P68B1DB1-Normal15"/>
              <w:spacing w:before="0" w:after="0" w:line="240" w:lineRule="auto"/>
              <w:jc w:val="center"/>
              <w:rPr>
                <w:noProof/>
              </w:rPr>
            </w:pPr>
            <w:r>
              <w:rPr>
                <w:noProof/>
              </w:rPr>
              <w:t xml:space="preserve">49 </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42FA85B1" w14:textId="0462A5BA" w:rsidR="00615E2D" w:rsidRDefault="00C83E46">
            <w:pPr>
              <w:pStyle w:val="P68B1DB1-Normal56"/>
              <w:spacing w:before="0" w:after="0" w:line="240" w:lineRule="auto"/>
              <w:jc w:val="center"/>
              <w:rPr>
                <w:noProof/>
              </w:rPr>
            </w:pPr>
            <w:r>
              <w:rPr>
                <w:noProof/>
              </w:rPr>
              <w:t>C 1.4.: Digitalno gospodarstvo i društvo, Inovativan početak i nova tehnologija —</w:t>
            </w:r>
          </w:p>
          <w:p w14:paraId="25AE1C88" w14:textId="21C3C3E3" w:rsidR="00615E2D" w:rsidRDefault="00C83E46">
            <w:pPr>
              <w:pStyle w:val="P68B1DB1-Normal56"/>
              <w:spacing w:before="0" w:after="0" w:line="240" w:lineRule="auto"/>
              <w:jc w:val="center"/>
              <w:rPr>
                <w:noProof/>
              </w:rPr>
            </w:pPr>
            <w:r>
              <w:rPr>
                <w:noProof/>
              </w:rPr>
              <w:t xml:space="preserve">Reforma br. 2: Zajednička skupina za potporu strateškim tehnologijama i certificiranje s Odborom za strateške tehnologije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5ADE386F" w14:textId="647B5683" w:rsidR="00615E2D" w:rsidRDefault="00C83E46">
            <w:pPr>
              <w:pStyle w:val="P68B1DB1-Normal62"/>
              <w:spacing w:before="0" w:after="0" w:line="240" w:lineRule="auto"/>
              <w:jc w:val="center"/>
              <w:rPr>
                <w:noProof/>
                <w:sz w:val="20"/>
              </w:rPr>
            </w:pPr>
            <w:r>
              <w:rPr>
                <w:noProof/>
                <w:sz w:val="18"/>
              </w:rPr>
              <w:t> </w:t>
            </w:r>
            <w:r>
              <w:rPr>
                <w:noProof/>
                <w:sz w:val="20"/>
              </w:rPr>
              <w:t>Ciljna</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05788BB4" w14:textId="1BB412BC" w:rsidR="00615E2D" w:rsidRDefault="00C83E46">
            <w:pPr>
              <w:pStyle w:val="P68B1DB1-Normal62"/>
              <w:spacing w:before="0" w:after="0" w:line="240" w:lineRule="auto"/>
              <w:jc w:val="center"/>
              <w:rPr>
                <w:noProof/>
                <w:sz w:val="18"/>
              </w:rPr>
            </w:pPr>
            <w:r>
              <w:rPr>
                <w:noProof/>
                <w:sz w:val="20"/>
              </w:rPr>
              <w:t xml:space="preserve">Broj poduzeća kojima je izdana certifikacija </w:t>
            </w:r>
            <w:r>
              <w:rPr>
                <w:noProof/>
                <w:sz w:val="18"/>
              </w:rPr>
              <w:t xml:space="preserve"> </w:t>
            </w:r>
          </w:p>
        </w:tc>
      </w:tr>
      <w:tr w:rsidR="00615E2D" w14:paraId="1991CDC9" w14:textId="77777777">
        <w:trPr>
          <w:trHeight w:val="600"/>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292D6C94" w14:textId="68BF692F" w:rsidR="00615E2D" w:rsidRDefault="00C83E46">
            <w:pPr>
              <w:pStyle w:val="P68B1DB1-Normal11"/>
              <w:spacing w:before="0" w:after="0" w:line="240" w:lineRule="auto"/>
              <w:jc w:val="center"/>
              <w:rPr>
                <w:noProof/>
              </w:rPr>
            </w:pPr>
            <w:r>
              <w:rPr>
                <w:noProof/>
              </w:rPr>
              <w:t xml:space="preserve">70 </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224C50C2" w14:textId="3D93BB9D" w:rsidR="00615E2D" w:rsidRDefault="00C83E46">
            <w:pPr>
              <w:pStyle w:val="P68B1DB1-Normal57"/>
              <w:spacing w:before="0" w:after="0" w:line="240" w:lineRule="auto"/>
              <w:jc w:val="center"/>
              <w:rPr>
                <w:noProof/>
              </w:rPr>
            </w:pPr>
            <w:r>
              <w:rPr>
                <w:noProof/>
              </w:rPr>
              <w:t>C 1.5.: Digitalna transformacija poduzeća —</w:t>
            </w:r>
          </w:p>
          <w:p w14:paraId="6CF500BD" w14:textId="10930E8C" w:rsidR="00615E2D" w:rsidRDefault="00C83E46">
            <w:pPr>
              <w:pStyle w:val="P68B1DB1-Normal63"/>
              <w:spacing w:before="0" w:after="0" w:line="240" w:lineRule="auto"/>
              <w:jc w:val="center"/>
              <w:rPr>
                <w:noProof/>
                <w:sz w:val="18"/>
              </w:rPr>
            </w:pPr>
            <w:r>
              <w:rPr>
                <w:noProof/>
                <w:sz w:val="20"/>
              </w:rPr>
              <w:t>Ulaganje 2: Europski referentni centar za ispitivanje i eksperimentiranje</w:t>
            </w:r>
            <w:r>
              <w:rPr>
                <w:noProof/>
                <w:sz w:val="18"/>
              </w:rPr>
              <w:t xml:space="preserve">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252B6A20" w14:textId="533009FC" w:rsidR="00615E2D" w:rsidRDefault="00C83E46">
            <w:pPr>
              <w:pStyle w:val="P68B1DB1-Normal63"/>
              <w:spacing w:before="0" w:after="0" w:line="240" w:lineRule="auto"/>
              <w:jc w:val="center"/>
              <w:rPr>
                <w:noProof/>
                <w:sz w:val="18"/>
              </w:rPr>
            </w:pPr>
            <w:r>
              <w:rPr>
                <w:noProof/>
                <w:sz w:val="20"/>
              </w:rPr>
              <w:t>Ciljna</w:t>
            </w:r>
            <w:r>
              <w:rPr>
                <w:noProof/>
                <w:sz w:val="18"/>
              </w:rPr>
              <w:t xml:space="preserve"> </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15B2EDB3" w14:textId="2A8FD7D3" w:rsidR="00615E2D" w:rsidRDefault="00C83E46">
            <w:pPr>
              <w:pStyle w:val="P68B1DB1-Normal57"/>
              <w:spacing w:before="0" w:after="0" w:line="240" w:lineRule="auto"/>
              <w:jc w:val="center"/>
              <w:rPr>
                <w:noProof/>
              </w:rPr>
            </w:pPr>
            <w:r>
              <w:rPr>
                <w:noProof/>
              </w:rPr>
              <w:t>Stvaranje europskog referentnog objekta za testiranje i eksperimentiranje</w:t>
            </w:r>
          </w:p>
        </w:tc>
      </w:tr>
      <w:tr w:rsidR="00615E2D" w14:paraId="6374D47F" w14:textId="77777777">
        <w:trPr>
          <w:trHeight w:val="600"/>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0557169E" w14:textId="13499DD6" w:rsidR="00615E2D" w:rsidRDefault="00C83E46">
            <w:pPr>
              <w:pStyle w:val="P68B1DB1-Normal11"/>
              <w:spacing w:before="0" w:after="0" w:line="240" w:lineRule="auto"/>
              <w:jc w:val="center"/>
              <w:rPr>
                <w:noProof/>
              </w:rPr>
            </w:pPr>
            <w:r>
              <w:rPr>
                <w:noProof/>
              </w:rPr>
              <w:t xml:space="preserve">73 </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79FD2CFA" w14:textId="3A709307" w:rsidR="00615E2D" w:rsidRDefault="00C83E46">
            <w:pPr>
              <w:pStyle w:val="P68B1DB1-Normal57"/>
              <w:spacing w:before="0" w:after="0" w:line="240" w:lineRule="auto"/>
              <w:jc w:val="center"/>
              <w:rPr>
                <w:noProof/>
              </w:rPr>
            </w:pPr>
            <w:r>
              <w:rPr>
                <w:noProof/>
              </w:rPr>
              <w:t>C 1.6.: Ubrzanje i digitalizacija procesa izgradnje —</w:t>
            </w:r>
          </w:p>
          <w:p w14:paraId="02991200" w14:textId="4FDA62CE" w:rsidR="00615E2D" w:rsidRDefault="00C83E46">
            <w:pPr>
              <w:pStyle w:val="P68B1DB1-Normal63"/>
              <w:spacing w:before="0" w:after="0" w:line="240" w:lineRule="auto"/>
              <w:jc w:val="center"/>
              <w:rPr>
                <w:noProof/>
                <w:sz w:val="18"/>
              </w:rPr>
            </w:pPr>
            <w:r>
              <w:rPr>
                <w:noProof/>
                <w:sz w:val="20"/>
              </w:rPr>
              <w:t>Reforma 1.: Provedba novog zakona o gradnji i zoniranje zakona u praksi</w:t>
            </w:r>
            <w:r>
              <w:rPr>
                <w:noProof/>
                <w:sz w:val="18"/>
              </w:rPr>
              <w:t xml:space="preserve">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3B3AF2F5" w14:textId="4A1DF2C3" w:rsidR="00615E2D" w:rsidRDefault="00C83E46">
            <w:pPr>
              <w:pStyle w:val="P68B1DB1-Normal57"/>
              <w:spacing w:before="0" w:after="0" w:line="240" w:lineRule="auto"/>
              <w:rPr>
                <w:noProof/>
              </w:rPr>
            </w:pPr>
            <w:r>
              <w:rPr>
                <w:noProof/>
              </w:rPr>
              <w:t xml:space="preserve">   Prekretnica</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5AE082A5" w14:textId="2AD03A11" w:rsidR="00615E2D" w:rsidRDefault="00C83E46">
            <w:pPr>
              <w:pStyle w:val="P68B1DB1-Normal57"/>
              <w:spacing w:before="0" w:after="0" w:line="240" w:lineRule="auto"/>
              <w:jc w:val="center"/>
              <w:rPr>
                <w:noProof/>
              </w:rPr>
            </w:pPr>
            <w:r>
              <w:rPr>
                <w:noProof/>
              </w:rPr>
              <w:t>Početak aktivnosti nove strukture građevinskih tijela</w:t>
            </w:r>
          </w:p>
        </w:tc>
      </w:tr>
      <w:tr w:rsidR="00615E2D" w14:paraId="32843A24" w14:textId="77777777">
        <w:trPr>
          <w:trHeight w:val="600"/>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57C9E25D" w14:textId="724BFE6B" w:rsidR="00615E2D" w:rsidRDefault="00C83E46">
            <w:pPr>
              <w:pStyle w:val="P68B1DB1-Normal11"/>
              <w:spacing w:before="0" w:after="0" w:line="240" w:lineRule="auto"/>
              <w:jc w:val="center"/>
              <w:rPr>
                <w:noProof/>
              </w:rPr>
            </w:pPr>
            <w:r>
              <w:rPr>
                <w:noProof/>
              </w:rPr>
              <w:t xml:space="preserve">75 </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3C889A38" w14:textId="7AF91344" w:rsidR="00615E2D" w:rsidRDefault="00C83E46">
            <w:pPr>
              <w:pStyle w:val="P68B1DB1-Normal57"/>
              <w:spacing w:before="0" w:after="0" w:line="240" w:lineRule="auto"/>
              <w:jc w:val="center"/>
              <w:rPr>
                <w:noProof/>
              </w:rPr>
            </w:pPr>
            <w:r>
              <w:rPr>
                <w:noProof/>
              </w:rPr>
              <w:t>C 1.6.: Ubrzanje i digitalizacija procesa izgradnje —</w:t>
            </w:r>
          </w:p>
          <w:p w14:paraId="0089F991" w14:textId="6CDCD4C9" w:rsidR="00615E2D" w:rsidRDefault="00C83E46">
            <w:pPr>
              <w:pStyle w:val="P68B1DB1-Normal57"/>
              <w:spacing w:before="0" w:after="0" w:line="240" w:lineRule="auto"/>
              <w:jc w:val="center"/>
              <w:rPr>
                <w:noProof/>
              </w:rPr>
            </w:pPr>
            <w:r>
              <w:rPr>
                <w:noProof/>
              </w:rPr>
              <w:t xml:space="preserve">Ulaganje 1: Stvaranje novog središnjeg informacijskog sustava („AIS”)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3130AA2F" w14:textId="463CD1A0" w:rsidR="00615E2D" w:rsidRDefault="00C83E46">
            <w:pPr>
              <w:pStyle w:val="P68B1DB1-Normal57"/>
              <w:spacing w:before="0" w:after="0" w:line="240" w:lineRule="auto"/>
              <w:jc w:val="center"/>
              <w:rPr>
                <w:noProof/>
              </w:rPr>
            </w:pPr>
            <w:r>
              <w:rPr>
                <w:noProof/>
              </w:rPr>
              <w:t xml:space="preserve">Prekretnica </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2560122F" w14:textId="5BAB08E2" w:rsidR="00615E2D" w:rsidRDefault="00C83E46">
            <w:pPr>
              <w:pStyle w:val="P68B1DB1-Normal57"/>
              <w:spacing w:before="0" w:after="0" w:line="240" w:lineRule="auto"/>
              <w:jc w:val="center"/>
              <w:rPr>
                <w:noProof/>
              </w:rPr>
            </w:pPr>
            <w:r>
              <w:rPr>
                <w:noProof/>
              </w:rPr>
              <w:t>Potpuno operativan središnji informacijski sustav</w:t>
            </w:r>
          </w:p>
        </w:tc>
      </w:tr>
      <w:tr w:rsidR="00615E2D" w14:paraId="10BC12B6" w14:textId="77777777">
        <w:trPr>
          <w:trHeight w:val="600"/>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5D4E1C23" w14:textId="126A4F0F" w:rsidR="00615E2D" w:rsidRDefault="00C83E46">
            <w:pPr>
              <w:pStyle w:val="P68B1DB1-Normal57"/>
              <w:spacing w:before="0" w:after="0" w:line="240" w:lineRule="auto"/>
              <w:jc w:val="center"/>
              <w:rPr>
                <w:noProof/>
              </w:rPr>
            </w:pPr>
            <w:r>
              <w:rPr>
                <w:noProof/>
              </w:rPr>
              <w:t>220</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189A5664" w14:textId="52798550" w:rsidR="00615E2D" w:rsidRDefault="00C83E46">
            <w:pPr>
              <w:pStyle w:val="P68B1DB1-Normal57"/>
              <w:spacing w:before="0" w:after="0" w:line="240" w:lineRule="auto"/>
              <w:jc w:val="center"/>
              <w:rPr>
                <w:noProof/>
              </w:rPr>
            </w:pPr>
            <w:r>
              <w:rPr>
                <w:noProof/>
              </w:rPr>
              <w:t>C 4.5.: Razvoj kulturnog i kreativnog sektora – reforma 2.: Zakonodavna reforma kojom se uvodi financiranje kulturnih institucija iz više izvora</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73F0EE7A" w14:textId="61BC4843" w:rsidR="00615E2D" w:rsidRDefault="00C83E46">
            <w:pPr>
              <w:pStyle w:val="P68B1DB1-Normal57"/>
              <w:spacing w:before="0" w:after="0" w:line="240" w:lineRule="auto"/>
              <w:jc w:val="center"/>
              <w:rPr>
                <w:noProof/>
              </w:rPr>
            </w:pPr>
            <w:r>
              <w:rPr>
                <w:noProof/>
              </w:rPr>
              <w:t>Prekretnica</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7CF9A857" w14:textId="63A21DA1" w:rsidR="00615E2D" w:rsidRDefault="00C83E46">
            <w:pPr>
              <w:pStyle w:val="P68B1DB1-Normal57"/>
              <w:spacing w:before="0" w:after="0" w:line="240" w:lineRule="auto"/>
              <w:jc w:val="center"/>
              <w:rPr>
                <w:noProof/>
              </w:rPr>
            </w:pPr>
            <w:r>
              <w:rPr>
                <w:noProof/>
              </w:rPr>
              <w:t xml:space="preserve">Stupanje na snagu zakonodavne izmjene kojom se omogućuje kooperativno financiranje kulture iz više izvora </w:t>
            </w:r>
          </w:p>
        </w:tc>
      </w:tr>
      <w:tr w:rsidR="00615E2D" w14:paraId="525836C2" w14:textId="77777777">
        <w:trPr>
          <w:trHeight w:val="600"/>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785C243B" w14:textId="77777777" w:rsidR="00615E2D" w:rsidRDefault="00C83E46">
            <w:pPr>
              <w:pStyle w:val="P68B1DB1-Normal57"/>
              <w:spacing w:before="0" w:after="0" w:line="240" w:lineRule="auto"/>
              <w:jc w:val="center"/>
              <w:rPr>
                <w:noProof/>
              </w:rPr>
            </w:pPr>
            <w:r>
              <w:rPr>
                <w:noProof/>
              </w:rPr>
              <w:t>196</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3B604DCD" w14:textId="77777777" w:rsidR="00615E2D" w:rsidRDefault="00C83E46">
            <w:pPr>
              <w:pStyle w:val="P68B1DB1-Normal57"/>
              <w:spacing w:before="0" w:after="0" w:line="240" w:lineRule="auto"/>
              <w:jc w:val="center"/>
              <w:rPr>
                <w:noProof/>
              </w:rPr>
            </w:pPr>
            <w:r>
              <w:rPr>
                <w:noProof/>
              </w:rPr>
              <w:t>C 3.3: Modernizacija službi za zapošljavanje i razvoj tržišta rada – ulaganje 3: Razvoj i modernizacija infrastrukture socijalne skrbi</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47C5294B" w14:textId="77777777" w:rsidR="00615E2D" w:rsidRDefault="00C83E46">
            <w:pPr>
              <w:pStyle w:val="P68B1DB1-Normal57"/>
              <w:spacing w:before="0" w:after="0" w:line="240" w:lineRule="auto"/>
              <w:jc w:val="center"/>
              <w:rPr>
                <w:noProof/>
              </w:rPr>
            </w:pPr>
            <w:r>
              <w:rPr>
                <w:noProof/>
              </w:rPr>
              <w:t>Ciljna</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6A9F6710" w14:textId="77777777" w:rsidR="00615E2D" w:rsidRDefault="00C83E46">
            <w:pPr>
              <w:pStyle w:val="P68B1DB1-Normal57"/>
              <w:spacing w:before="0" w:after="0" w:line="240" w:lineRule="auto"/>
              <w:jc w:val="center"/>
              <w:rPr>
                <w:noProof/>
              </w:rPr>
            </w:pPr>
            <w:r>
              <w:rPr>
                <w:noProof/>
              </w:rPr>
              <w:t>T1: Broj vozila s niskom razinom emisija kupljenih za usluge socijalne prevencije, savjetovanja i kućne njege</w:t>
            </w:r>
          </w:p>
        </w:tc>
      </w:tr>
      <w:tr w:rsidR="00615E2D" w14:paraId="0DAA6FE4" w14:textId="77777777">
        <w:trPr>
          <w:trHeight w:val="600"/>
        </w:trPr>
        <w:tc>
          <w:tcPr>
            <w:tcW w:w="1275" w:type="dxa"/>
            <w:tcBorders>
              <w:top w:val="single" w:sz="4" w:space="0" w:color="000000" w:themeColor="text1"/>
              <w:left w:val="single" w:sz="8" w:space="0" w:color="auto"/>
              <w:bottom w:val="single" w:sz="8" w:space="0" w:color="auto"/>
              <w:right w:val="single" w:sz="8" w:space="0" w:color="000000" w:themeColor="text1"/>
            </w:tcBorders>
            <w:shd w:val="clear" w:color="auto" w:fill="C6EFCE"/>
            <w:vAlign w:val="center"/>
            <w:hideMark/>
          </w:tcPr>
          <w:p w14:paraId="1A268266" w14:textId="77777777" w:rsidR="00615E2D" w:rsidRDefault="00C83E46">
            <w:pPr>
              <w:pStyle w:val="P68B1DB1-Normal57"/>
              <w:spacing w:before="0" w:after="0" w:line="240" w:lineRule="auto"/>
              <w:jc w:val="center"/>
              <w:rPr>
                <w:noProof/>
              </w:rPr>
            </w:pPr>
            <w:r>
              <w:rPr>
                <w:noProof/>
              </w:rPr>
              <w:t>234</w:t>
            </w:r>
          </w:p>
        </w:tc>
        <w:tc>
          <w:tcPr>
            <w:tcW w:w="4035" w:type="dxa"/>
            <w:tcBorders>
              <w:top w:val="single" w:sz="4" w:space="0" w:color="000000" w:themeColor="text1"/>
              <w:left w:val="nil"/>
              <w:bottom w:val="single" w:sz="8" w:space="0" w:color="auto"/>
              <w:right w:val="single" w:sz="8" w:space="0" w:color="000000" w:themeColor="text1"/>
            </w:tcBorders>
            <w:shd w:val="clear" w:color="auto" w:fill="C6EFCE"/>
            <w:vAlign w:val="center"/>
            <w:hideMark/>
          </w:tcPr>
          <w:p w14:paraId="526531F6" w14:textId="77777777" w:rsidR="00615E2D" w:rsidRDefault="00C83E46">
            <w:pPr>
              <w:pStyle w:val="P68B1DB1-Normal57"/>
              <w:spacing w:before="0" w:after="0" w:line="240" w:lineRule="auto"/>
              <w:jc w:val="center"/>
              <w:rPr>
                <w:noProof/>
              </w:rPr>
            </w:pPr>
            <w:r>
              <w:rPr>
                <w:noProof/>
              </w:rPr>
              <w:t>C 6.1.: Povećanje otpornosti zdravstvenog sustava – ulaganje 2: Rehabilitacijska skrb za pacijente koji se oporavljaju od kritičnih stanja</w:t>
            </w:r>
          </w:p>
        </w:tc>
        <w:tc>
          <w:tcPr>
            <w:tcW w:w="1770" w:type="dxa"/>
            <w:tcBorders>
              <w:top w:val="single" w:sz="4" w:space="0" w:color="000000" w:themeColor="text1"/>
              <w:left w:val="nil"/>
              <w:bottom w:val="single" w:sz="8" w:space="0" w:color="auto"/>
              <w:right w:val="single" w:sz="8" w:space="0" w:color="000000" w:themeColor="text1"/>
            </w:tcBorders>
            <w:shd w:val="clear" w:color="auto" w:fill="C6EFCE"/>
            <w:vAlign w:val="center"/>
            <w:hideMark/>
          </w:tcPr>
          <w:p w14:paraId="0F3A78F8" w14:textId="77777777" w:rsidR="00615E2D" w:rsidRDefault="00C83E46">
            <w:pPr>
              <w:pStyle w:val="P68B1DB1-Normal57"/>
              <w:spacing w:before="0" w:after="0" w:line="240" w:lineRule="auto"/>
              <w:jc w:val="center"/>
              <w:rPr>
                <w:noProof/>
              </w:rPr>
            </w:pPr>
            <w:r>
              <w:rPr>
                <w:noProof/>
              </w:rPr>
              <w:t>Ciljna</w:t>
            </w:r>
          </w:p>
        </w:tc>
        <w:tc>
          <w:tcPr>
            <w:tcW w:w="3409" w:type="dxa"/>
            <w:tcBorders>
              <w:top w:val="single" w:sz="4" w:space="0" w:color="000000" w:themeColor="text1"/>
              <w:left w:val="nil"/>
              <w:bottom w:val="single" w:sz="8" w:space="0" w:color="auto"/>
              <w:right w:val="single" w:sz="8" w:space="0" w:color="auto"/>
            </w:tcBorders>
            <w:shd w:val="clear" w:color="auto" w:fill="C6EFCE"/>
            <w:vAlign w:val="center"/>
            <w:hideMark/>
          </w:tcPr>
          <w:p w14:paraId="513F8A53" w14:textId="77777777" w:rsidR="00615E2D" w:rsidRDefault="00C83E46">
            <w:pPr>
              <w:pStyle w:val="P68B1DB1-Normal57"/>
              <w:spacing w:before="0" w:after="0" w:line="240" w:lineRule="auto"/>
              <w:jc w:val="center"/>
              <w:rPr>
                <w:noProof/>
              </w:rPr>
            </w:pPr>
            <w:r>
              <w:rPr>
                <w:noProof/>
              </w:rPr>
              <w:t xml:space="preserve">Potpora rehabilitaciji </w:t>
            </w:r>
          </w:p>
        </w:tc>
      </w:tr>
      <w:tr w:rsidR="00615E2D" w14:paraId="119FF051"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25B6814E" w14:textId="00DBA8F3" w:rsidR="00615E2D" w:rsidRDefault="00C83E46">
            <w:pPr>
              <w:pStyle w:val="P68B1DB1-Normal57"/>
              <w:spacing w:line="240" w:lineRule="auto"/>
              <w:jc w:val="center"/>
              <w:rPr>
                <w:noProof/>
              </w:rPr>
            </w:pPr>
            <w:r>
              <w:rPr>
                <w:noProof/>
              </w:rPr>
              <w:t xml:space="preserve">282 </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365A3840" w14:textId="127B81F3" w:rsidR="00615E2D" w:rsidRDefault="00C83E46">
            <w:pPr>
              <w:spacing w:line="240" w:lineRule="auto"/>
              <w:jc w:val="center"/>
              <w:rPr>
                <w:rFonts w:eastAsia="Times New Roman"/>
                <w:noProof/>
                <w:color w:val="006100"/>
                <w:sz w:val="20"/>
              </w:rPr>
            </w:pPr>
            <w:r>
              <w:rPr>
                <w:rFonts w:eastAsia="Times New Roman"/>
                <w:noProof/>
                <w:color w:val="006100"/>
                <w:sz w:val="20"/>
              </w:rPr>
              <w:t xml:space="preserve">C4.1.: Sustavna potpora za javna ulaganja – reforma 3: </w:t>
            </w:r>
            <w:r>
              <w:rPr>
                <w:noProof/>
              </w:rPr>
              <w:br/>
            </w:r>
            <w:r>
              <w:rPr>
                <w:rFonts w:eastAsia="Times New Roman"/>
                <w:noProof/>
                <w:color w:val="006100"/>
                <w:sz w:val="20"/>
              </w:rPr>
              <w:t xml:space="preserve"> Financijska potpora za pripremu projekata u skladu s ciljevima EU-a</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40FB3D62" w14:textId="164AAABD" w:rsidR="00615E2D" w:rsidRDefault="00C83E46">
            <w:pPr>
              <w:pStyle w:val="P68B1DB1-Normal57"/>
              <w:spacing w:line="240" w:lineRule="auto"/>
              <w:jc w:val="center"/>
              <w:rPr>
                <w:noProof/>
              </w:rPr>
            </w:pPr>
            <w:r>
              <w:rPr>
                <w:noProof/>
              </w:rPr>
              <w:t>Ciljna</w:t>
            </w:r>
          </w:p>
        </w:tc>
        <w:tc>
          <w:tcPr>
            <w:tcW w:w="3409" w:type="dxa"/>
            <w:tcBorders>
              <w:top w:val="nil"/>
              <w:left w:val="nil"/>
              <w:bottom w:val="single" w:sz="8" w:space="0" w:color="auto"/>
              <w:right w:val="single" w:sz="8" w:space="0" w:color="auto"/>
            </w:tcBorders>
            <w:shd w:val="clear" w:color="auto" w:fill="C6EFCE"/>
            <w:vAlign w:val="center"/>
            <w:hideMark/>
          </w:tcPr>
          <w:p w14:paraId="297FEEA2" w14:textId="5DE44DBD" w:rsidR="00615E2D" w:rsidRDefault="00C83E46">
            <w:pPr>
              <w:pStyle w:val="P68B1DB1-Normal57"/>
              <w:spacing w:line="240" w:lineRule="auto"/>
              <w:jc w:val="center"/>
              <w:rPr>
                <w:noProof/>
              </w:rPr>
            </w:pPr>
            <w:r>
              <w:rPr>
                <w:noProof/>
              </w:rPr>
              <w:t>Broj projekata pripremljenih za provedbu</w:t>
            </w:r>
          </w:p>
        </w:tc>
      </w:tr>
      <w:tr w:rsidR="00615E2D" w14:paraId="39F308E8"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493E1008" w14:textId="187D5AAB" w:rsidR="00615E2D" w:rsidRDefault="00C83E46">
            <w:pPr>
              <w:pStyle w:val="P68B1DB1-Normal57"/>
              <w:spacing w:line="240" w:lineRule="auto"/>
              <w:jc w:val="center"/>
              <w:rPr>
                <w:noProof/>
              </w:rPr>
            </w:pPr>
            <w:r>
              <w:rPr>
                <w:noProof/>
              </w:rPr>
              <w:t xml:space="preserve">287 </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0635773C" w14:textId="5BB2D77E" w:rsidR="00615E2D" w:rsidRDefault="00C83E46">
            <w:pPr>
              <w:pStyle w:val="P68B1DB1-Normal57"/>
              <w:spacing w:line="240" w:lineRule="auto"/>
              <w:jc w:val="center"/>
              <w:rPr>
                <w:noProof/>
              </w:rPr>
            </w:pPr>
            <w:r>
              <w:rPr>
                <w:noProof/>
              </w:rPr>
              <w:t>C4.1.: Sustavna potpora za javna ulaganja-Reforma 4:  Povećanje učinkovitosti i poboljšanje provedbe nacionalnog plana za oporavak i otpornost</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052C75FF" w14:textId="2FC1135C" w:rsidR="00615E2D" w:rsidRDefault="00C83E46">
            <w:pPr>
              <w:pStyle w:val="P68B1DB1-Normal57"/>
              <w:spacing w:line="240" w:lineRule="auto"/>
              <w:jc w:val="center"/>
              <w:rPr>
                <w:noProof/>
              </w:rPr>
            </w:pPr>
            <w:r>
              <w:rPr>
                <w:noProof/>
              </w:rPr>
              <w:t>Prekretnica</w:t>
            </w:r>
          </w:p>
        </w:tc>
        <w:tc>
          <w:tcPr>
            <w:tcW w:w="3409" w:type="dxa"/>
            <w:tcBorders>
              <w:top w:val="nil"/>
              <w:left w:val="nil"/>
              <w:bottom w:val="single" w:sz="8" w:space="0" w:color="auto"/>
              <w:right w:val="single" w:sz="8" w:space="0" w:color="auto"/>
            </w:tcBorders>
            <w:shd w:val="clear" w:color="auto" w:fill="C6EFCE"/>
            <w:vAlign w:val="center"/>
            <w:hideMark/>
          </w:tcPr>
          <w:p w14:paraId="4F7F2091" w14:textId="67A75ECE" w:rsidR="00615E2D" w:rsidRDefault="00C83E46">
            <w:pPr>
              <w:pStyle w:val="P68B1DB1-Normal57"/>
              <w:spacing w:line="240" w:lineRule="auto"/>
              <w:jc w:val="center"/>
              <w:rPr>
                <w:noProof/>
              </w:rPr>
            </w:pPr>
            <w:r>
              <w:rPr>
                <w:noProof/>
              </w:rPr>
              <w:t>Nadogradnja repozitorijskog sustava (AIS)</w:t>
            </w:r>
          </w:p>
          <w:p w14:paraId="13F1E836" w14:textId="7867D2C8" w:rsidR="00615E2D" w:rsidRDefault="00615E2D">
            <w:pPr>
              <w:spacing w:line="240" w:lineRule="auto"/>
              <w:jc w:val="center"/>
              <w:rPr>
                <w:rFonts w:eastAsia="Times New Roman"/>
                <w:noProof/>
                <w:color w:val="006100"/>
                <w:sz w:val="20"/>
              </w:rPr>
            </w:pPr>
          </w:p>
        </w:tc>
      </w:tr>
      <w:tr w:rsidR="00615E2D" w14:paraId="4A5B14C1"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7DE95585" w14:textId="4C663591" w:rsidR="00615E2D" w:rsidRDefault="00C83E46">
            <w:pPr>
              <w:pStyle w:val="P68B1DB1-Normal57"/>
              <w:spacing w:line="240" w:lineRule="auto"/>
              <w:jc w:val="center"/>
              <w:rPr>
                <w:noProof/>
              </w:rPr>
            </w:pPr>
            <w:r>
              <w:rPr>
                <w:noProof/>
              </w:rPr>
              <w:t xml:space="preserve">288 </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46138CDB" w14:textId="7808D640" w:rsidR="00615E2D" w:rsidRDefault="00C83E46">
            <w:pPr>
              <w:pStyle w:val="P68B1DB1-Normal57"/>
              <w:spacing w:line="240" w:lineRule="auto"/>
              <w:jc w:val="center"/>
              <w:rPr>
                <w:noProof/>
              </w:rPr>
            </w:pPr>
            <w:r>
              <w:rPr>
                <w:noProof/>
              </w:rPr>
              <w:t>C4.1.: Sustavna potpora za javna ulaganja-Reforma 4:  Povećanje učinkovitosti i poboljšanje provedbe nacionalnog plana za oporavak i otpornost</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0E7D0018" w14:textId="09D17019" w:rsidR="00615E2D" w:rsidRDefault="00C83E46">
            <w:pPr>
              <w:pStyle w:val="P68B1DB1-Normal57"/>
              <w:spacing w:line="240" w:lineRule="auto"/>
              <w:jc w:val="center"/>
              <w:rPr>
                <w:noProof/>
              </w:rPr>
            </w:pPr>
            <w:r>
              <w:rPr>
                <w:noProof/>
              </w:rPr>
              <w:t>Ciljna</w:t>
            </w:r>
          </w:p>
        </w:tc>
        <w:tc>
          <w:tcPr>
            <w:tcW w:w="3409" w:type="dxa"/>
            <w:tcBorders>
              <w:top w:val="nil"/>
              <w:left w:val="nil"/>
              <w:bottom w:val="single" w:sz="8" w:space="0" w:color="auto"/>
              <w:right w:val="single" w:sz="8" w:space="0" w:color="auto"/>
            </w:tcBorders>
            <w:shd w:val="clear" w:color="auto" w:fill="C6EFCE"/>
            <w:vAlign w:val="center"/>
            <w:hideMark/>
          </w:tcPr>
          <w:p w14:paraId="1B88A2FD" w14:textId="3DB33694" w:rsidR="00615E2D" w:rsidRDefault="00C83E46">
            <w:pPr>
              <w:pStyle w:val="P68B1DB1-Normal57"/>
              <w:spacing w:line="240" w:lineRule="auto"/>
              <w:jc w:val="center"/>
              <w:rPr>
                <w:noProof/>
              </w:rPr>
            </w:pPr>
            <w:r>
              <w:rPr>
                <w:noProof/>
              </w:rPr>
              <w:t>Povećanje broja osoba koje rade na planu za oporavak i otpornost do 2024.</w:t>
            </w:r>
          </w:p>
          <w:p w14:paraId="5606DBD9" w14:textId="156DE36E" w:rsidR="00615E2D" w:rsidRDefault="00615E2D">
            <w:pPr>
              <w:spacing w:line="240" w:lineRule="auto"/>
              <w:jc w:val="center"/>
              <w:rPr>
                <w:rFonts w:eastAsia="Times New Roman"/>
                <w:noProof/>
                <w:color w:val="006100"/>
                <w:sz w:val="20"/>
              </w:rPr>
            </w:pPr>
          </w:p>
        </w:tc>
      </w:tr>
      <w:tr w:rsidR="00615E2D" w14:paraId="14858923"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15F16F1A" w14:textId="66881536" w:rsidR="00615E2D" w:rsidRDefault="00C83E46">
            <w:pPr>
              <w:pStyle w:val="P68B1DB1-Normal57"/>
              <w:spacing w:line="240" w:lineRule="auto"/>
              <w:jc w:val="center"/>
              <w:rPr>
                <w:noProof/>
              </w:rPr>
            </w:pPr>
            <w:r>
              <w:rPr>
                <w:noProof/>
              </w:rPr>
              <w:t>310</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015CD107" w14:textId="66881536" w:rsidR="00615E2D" w:rsidRDefault="00C83E46">
            <w:pPr>
              <w:pStyle w:val="P68B1DB1-Normal57"/>
              <w:spacing w:before="0" w:after="0" w:line="240" w:lineRule="auto"/>
              <w:jc w:val="center"/>
              <w:rPr>
                <w:noProof/>
              </w:rPr>
            </w:pPr>
            <w:r>
              <w:rPr>
                <w:noProof/>
              </w:rPr>
              <w:t xml:space="preserve">C 7.2 Potpora decentralizaciji i digitalizaciji energetskog sektora – ulaganje 1:  Centar za podatke o električnoj energiji </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1ADDAAEC" w14:textId="761A361B" w:rsidR="00615E2D" w:rsidRDefault="00C83E46">
            <w:pPr>
              <w:pStyle w:val="P68B1DB1-Normal57"/>
              <w:spacing w:before="0" w:after="0" w:line="240" w:lineRule="auto"/>
              <w:rPr>
                <w:noProof/>
              </w:rPr>
            </w:pPr>
            <w:r>
              <w:rPr>
                <w:noProof/>
              </w:rPr>
              <w:t xml:space="preserve">       Prekretnica </w:t>
            </w:r>
          </w:p>
        </w:tc>
        <w:tc>
          <w:tcPr>
            <w:tcW w:w="3409" w:type="dxa"/>
            <w:tcBorders>
              <w:top w:val="nil"/>
              <w:left w:val="nil"/>
              <w:bottom w:val="single" w:sz="8" w:space="0" w:color="auto"/>
              <w:right w:val="single" w:sz="8" w:space="0" w:color="auto"/>
            </w:tcBorders>
            <w:shd w:val="clear" w:color="auto" w:fill="C6EFCE"/>
            <w:vAlign w:val="center"/>
            <w:hideMark/>
          </w:tcPr>
          <w:p w14:paraId="0DC095F5" w14:textId="519692C3" w:rsidR="00615E2D" w:rsidRDefault="00C83E46">
            <w:pPr>
              <w:pStyle w:val="P68B1DB1-Normal57"/>
              <w:spacing w:before="0" w:after="0" w:line="240" w:lineRule="auto"/>
              <w:rPr>
                <w:noProof/>
              </w:rPr>
            </w:pPr>
            <w:r>
              <w:rPr>
                <w:noProof/>
              </w:rPr>
              <w:t>Početak rada Centra za podatke o energiji</w:t>
            </w:r>
          </w:p>
        </w:tc>
      </w:tr>
      <w:tr w:rsidR="00615E2D" w14:paraId="6DE4423D"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0DDFBB52" w14:textId="519692C3" w:rsidR="00615E2D" w:rsidRDefault="00C83E46">
            <w:pPr>
              <w:pStyle w:val="P68B1DB1-Normal57"/>
              <w:spacing w:line="240" w:lineRule="auto"/>
              <w:jc w:val="center"/>
              <w:rPr>
                <w:noProof/>
              </w:rPr>
            </w:pPr>
            <w:r>
              <w:rPr>
                <w:noProof/>
              </w:rPr>
              <w:t>315</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08B134CF" w14:textId="608FD2E9" w:rsidR="00615E2D" w:rsidRDefault="00C83E46">
            <w:pPr>
              <w:pStyle w:val="P68B1DB1-Normal57"/>
              <w:spacing w:before="0" w:after="0" w:line="240" w:lineRule="auto"/>
              <w:jc w:val="center"/>
              <w:rPr>
                <w:noProof/>
              </w:rPr>
            </w:pPr>
            <w:r>
              <w:rPr>
                <w:noProof/>
              </w:rPr>
              <w:t xml:space="preserve">C 7.2 Potpora decentralizaciji i digitalizaciji energetskog sektora – reforma 2.: </w:t>
            </w:r>
          </w:p>
          <w:p w14:paraId="21FE2DF1" w14:textId="519692C3" w:rsidR="00615E2D" w:rsidRDefault="00C83E46">
            <w:pPr>
              <w:pStyle w:val="P68B1DB1-Normal57"/>
              <w:spacing w:before="0" w:after="0" w:line="240" w:lineRule="auto"/>
              <w:jc w:val="center"/>
              <w:rPr>
                <w:noProof/>
              </w:rPr>
            </w:pPr>
            <w:r>
              <w:rPr>
                <w:noProof/>
              </w:rPr>
              <w:t xml:space="preserve">Okvir za skladištenje energije i nefosilnu fleksibilnost </w:t>
            </w:r>
          </w:p>
          <w:p w14:paraId="47D66390" w14:textId="519692C3" w:rsidR="00615E2D" w:rsidRDefault="00C83E46">
            <w:pPr>
              <w:pStyle w:val="P68B1DB1-Normal57"/>
              <w:spacing w:before="0" w:after="0" w:line="240" w:lineRule="auto"/>
              <w:rPr>
                <w:noProof/>
              </w:rPr>
            </w:pPr>
            <w:r>
              <w:rPr>
                <w:noProof/>
              </w:rPr>
              <w:t xml:space="preserve">  </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29011907" w14:textId="15C28910" w:rsidR="00615E2D" w:rsidRDefault="00C83E46">
            <w:pPr>
              <w:pStyle w:val="P68B1DB1-Normal57"/>
              <w:spacing w:before="0" w:after="0" w:line="240" w:lineRule="auto"/>
              <w:rPr>
                <w:noProof/>
              </w:rPr>
            </w:pPr>
            <w:r>
              <w:rPr>
                <w:noProof/>
              </w:rPr>
              <w:t xml:space="preserve">       Prekretnica </w:t>
            </w:r>
          </w:p>
        </w:tc>
        <w:tc>
          <w:tcPr>
            <w:tcW w:w="3409" w:type="dxa"/>
            <w:tcBorders>
              <w:top w:val="nil"/>
              <w:left w:val="nil"/>
              <w:bottom w:val="single" w:sz="8" w:space="0" w:color="auto"/>
              <w:right w:val="single" w:sz="8" w:space="0" w:color="auto"/>
            </w:tcBorders>
            <w:shd w:val="clear" w:color="auto" w:fill="C6EFCE"/>
            <w:vAlign w:val="center"/>
            <w:hideMark/>
          </w:tcPr>
          <w:p w14:paraId="59AAE728" w14:textId="4D109454" w:rsidR="00615E2D" w:rsidRDefault="00C83E46">
            <w:pPr>
              <w:pStyle w:val="P68B1DB1-Normal57"/>
              <w:spacing w:before="0" w:after="0" w:line="240" w:lineRule="auto"/>
              <w:rPr>
                <w:noProof/>
              </w:rPr>
            </w:pPr>
            <w:r>
              <w:rPr>
                <w:noProof/>
              </w:rPr>
              <w:t>Izvješće o potrebi za nefosilnom fleksibilnošću</w:t>
            </w:r>
          </w:p>
        </w:tc>
      </w:tr>
      <w:tr w:rsidR="00615E2D" w14:paraId="31128C1B"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2FE43FB5" w14:textId="519692C3" w:rsidR="00615E2D" w:rsidRDefault="00C83E46">
            <w:pPr>
              <w:pStyle w:val="P68B1DB1-Normal57"/>
              <w:spacing w:line="240" w:lineRule="auto"/>
              <w:jc w:val="center"/>
              <w:rPr>
                <w:noProof/>
              </w:rPr>
            </w:pPr>
            <w:r>
              <w:rPr>
                <w:noProof/>
              </w:rPr>
              <w:t>316</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610EE3AC" w14:textId="519692C3" w:rsidR="00615E2D" w:rsidRDefault="00C83E46">
            <w:pPr>
              <w:pStyle w:val="P68B1DB1-Normal57"/>
              <w:spacing w:before="0" w:after="0" w:line="240" w:lineRule="auto"/>
              <w:jc w:val="center"/>
              <w:rPr>
                <w:noProof/>
              </w:rPr>
            </w:pPr>
            <w:r>
              <w:rPr>
                <w:noProof/>
              </w:rPr>
              <w:t>C 7.2 Potpora decentralizaciji i digitalizaciji energetskog sektora —</w:t>
            </w:r>
          </w:p>
          <w:p w14:paraId="35389029" w14:textId="519692C3" w:rsidR="00615E2D" w:rsidRDefault="00C83E46">
            <w:pPr>
              <w:pStyle w:val="P68B1DB1-Normal57"/>
              <w:spacing w:before="0" w:after="0" w:line="240" w:lineRule="auto"/>
              <w:jc w:val="center"/>
              <w:rPr>
                <w:noProof/>
              </w:rPr>
            </w:pPr>
            <w:r>
              <w:rPr>
                <w:noProof/>
              </w:rPr>
              <w:t xml:space="preserve">Reforma br. 2:  </w:t>
            </w:r>
          </w:p>
          <w:p w14:paraId="3FDD1856" w14:textId="519692C3" w:rsidR="00615E2D" w:rsidRDefault="00C83E46">
            <w:pPr>
              <w:pStyle w:val="P68B1DB1-Normal57"/>
              <w:spacing w:before="0" w:after="0" w:line="240" w:lineRule="auto"/>
              <w:jc w:val="center"/>
              <w:rPr>
                <w:noProof/>
              </w:rPr>
            </w:pPr>
            <w:r>
              <w:rPr>
                <w:noProof/>
              </w:rPr>
              <w:t xml:space="preserve">Okvir za skladištenje energije i nefosilnu fleksibilnost </w:t>
            </w:r>
          </w:p>
          <w:p w14:paraId="2EF11D2B" w14:textId="519692C3" w:rsidR="00615E2D" w:rsidRDefault="00C83E46">
            <w:pPr>
              <w:pStyle w:val="P68B1DB1-Normal57"/>
              <w:spacing w:before="0" w:after="0" w:line="240" w:lineRule="auto"/>
              <w:jc w:val="center"/>
              <w:rPr>
                <w:noProof/>
              </w:rPr>
            </w:pPr>
            <w:r>
              <w:rPr>
                <w:noProof/>
              </w:rPr>
              <w:t xml:space="preserve">  </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65E89F94" w14:textId="16BD5CC9" w:rsidR="00615E2D" w:rsidRDefault="00C83E46">
            <w:pPr>
              <w:pStyle w:val="P68B1DB1-Normal57"/>
              <w:spacing w:before="0" w:after="0" w:line="240" w:lineRule="auto"/>
              <w:rPr>
                <w:noProof/>
              </w:rPr>
            </w:pPr>
            <w:r>
              <w:rPr>
                <w:noProof/>
              </w:rPr>
              <w:t xml:space="preserve">       Prekretnica </w:t>
            </w:r>
          </w:p>
        </w:tc>
        <w:tc>
          <w:tcPr>
            <w:tcW w:w="3409" w:type="dxa"/>
            <w:tcBorders>
              <w:top w:val="nil"/>
              <w:left w:val="nil"/>
              <w:bottom w:val="single" w:sz="8" w:space="0" w:color="auto"/>
              <w:right w:val="single" w:sz="8" w:space="0" w:color="auto"/>
            </w:tcBorders>
            <w:shd w:val="clear" w:color="auto" w:fill="C6EFCE"/>
            <w:vAlign w:val="center"/>
            <w:hideMark/>
          </w:tcPr>
          <w:p w14:paraId="7B46823B" w14:textId="519692C3" w:rsidR="00615E2D" w:rsidRDefault="00C83E46">
            <w:pPr>
              <w:pStyle w:val="P68B1DB1-Normal57"/>
              <w:spacing w:before="0" w:after="0" w:line="240" w:lineRule="auto"/>
              <w:rPr>
                <w:noProof/>
              </w:rPr>
            </w:pPr>
            <w:r>
              <w:rPr>
                <w:noProof/>
              </w:rPr>
              <w:t>Stupanje na snagu zakonodavnih izmjena</w:t>
            </w:r>
          </w:p>
        </w:tc>
      </w:tr>
      <w:tr w:rsidR="00615E2D" w14:paraId="33ADDC7F"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078FC106" w14:textId="519692C3" w:rsidR="00615E2D" w:rsidRDefault="00C83E46">
            <w:pPr>
              <w:pStyle w:val="P68B1DB1-Normal57"/>
              <w:spacing w:line="240" w:lineRule="auto"/>
              <w:jc w:val="center"/>
              <w:rPr>
                <w:noProof/>
              </w:rPr>
            </w:pPr>
            <w:r>
              <w:rPr>
                <w:noProof/>
              </w:rPr>
              <w:t>318</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1C6D801A" w14:textId="519692C3" w:rsidR="00615E2D" w:rsidRDefault="00C83E46">
            <w:pPr>
              <w:pStyle w:val="P68B1DB1-Normal57"/>
              <w:spacing w:before="0" w:after="0" w:line="240" w:lineRule="auto"/>
              <w:rPr>
                <w:noProof/>
              </w:rPr>
            </w:pPr>
            <w:r>
              <w:rPr>
                <w:noProof/>
              </w:rPr>
              <w:t>C 7.3.: Sveobuhvatna reforma savjeta o valu obnove u Češkoj Republici—</w:t>
            </w:r>
          </w:p>
          <w:p w14:paraId="110139C0" w14:textId="519692C3" w:rsidR="00615E2D" w:rsidRDefault="00C83E46">
            <w:pPr>
              <w:pStyle w:val="P68B1DB1-Normal57"/>
              <w:spacing w:before="0" w:after="0" w:line="240" w:lineRule="auto"/>
              <w:rPr>
                <w:noProof/>
              </w:rPr>
            </w:pPr>
            <w:r>
              <w:rPr>
                <w:noProof/>
              </w:rPr>
              <w:t xml:space="preserve">Reforma 1.: Jedinstvene kontaktne točke za energetske zajednice i obnovu radi energetske učinkovitosti </w:t>
            </w:r>
          </w:p>
          <w:p w14:paraId="5CDFA473" w14:textId="519692C3" w:rsidR="00615E2D" w:rsidRDefault="00C83E46">
            <w:pPr>
              <w:pStyle w:val="P68B1DB1-Normal57"/>
              <w:spacing w:before="0" w:after="0" w:line="240" w:lineRule="auto"/>
              <w:rPr>
                <w:noProof/>
              </w:rPr>
            </w:pPr>
            <w:r>
              <w:rPr>
                <w:noProof/>
              </w:rPr>
              <w:t xml:space="preserve"> </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257A4B2E" w14:textId="2D52F812" w:rsidR="00615E2D" w:rsidRDefault="00C83E46">
            <w:pPr>
              <w:pStyle w:val="P68B1DB1-Normal57"/>
              <w:spacing w:before="0" w:after="0" w:line="240" w:lineRule="auto"/>
              <w:rPr>
                <w:noProof/>
              </w:rPr>
            </w:pPr>
            <w:r>
              <w:rPr>
                <w:noProof/>
              </w:rPr>
              <w:t xml:space="preserve">       Prekretnica </w:t>
            </w:r>
          </w:p>
        </w:tc>
        <w:tc>
          <w:tcPr>
            <w:tcW w:w="3409" w:type="dxa"/>
            <w:tcBorders>
              <w:top w:val="nil"/>
              <w:left w:val="nil"/>
              <w:bottom w:val="single" w:sz="8" w:space="0" w:color="auto"/>
              <w:right w:val="single" w:sz="8" w:space="0" w:color="auto"/>
            </w:tcBorders>
            <w:shd w:val="clear" w:color="auto" w:fill="C6EFCE"/>
            <w:vAlign w:val="center"/>
            <w:hideMark/>
          </w:tcPr>
          <w:p w14:paraId="0D7C620A" w14:textId="519692C3" w:rsidR="00615E2D" w:rsidRDefault="00C83E46">
            <w:pPr>
              <w:pStyle w:val="P68B1DB1-Normal57"/>
              <w:spacing w:before="0" w:after="0" w:line="240" w:lineRule="auto"/>
              <w:rPr>
                <w:noProof/>
              </w:rPr>
            </w:pPr>
            <w:r>
              <w:rPr>
                <w:noProof/>
              </w:rPr>
              <w:t>Jedinstvena kontaktna točka za energiju</w:t>
            </w:r>
          </w:p>
        </w:tc>
      </w:tr>
      <w:tr w:rsidR="00615E2D" w14:paraId="4D53DE42"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25766AAA" w14:textId="519692C3" w:rsidR="00615E2D" w:rsidRDefault="00C83E46">
            <w:pPr>
              <w:pStyle w:val="P68B1DB1-Normal57"/>
              <w:spacing w:line="240" w:lineRule="auto"/>
              <w:jc w:val="center"/>
              <w:rPr>
                <w:noProof/>
              </w:rPr>
            </w:pPr>
            <w:r>
              <w:rPr>
                <w:noProof/>
              </w:rPr>
              <w:t>327</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74AA231C" w14:textId="519692C3" w:rsidR="00615E2D" w:rsidRDefault="00C83E46">
            <w:pPr>
              <w:pStyle w:val="P68B1DB1-Normal57"/>
              <w:spacing w:before="0" w:after="0" w:line="240" w:lineRule="auto"/>
              <w:rPr>
                <w:noProof/>
              </w:rPr>
            </w:pPr>
            <w:r>
              <w:rPr>
                <w:noProof/>
              </w:rPr>
              <w:t>C 7.4.: Prilagodba škola – promicanje zelenih vještina i održivosti na sveučilištima—</w:t>
            </w:r>
          </w:p>
          <w:p w14:paraId="1B8CE20D" w14:textId="519692C3" w:rsidR="00615E2D" w:rsidRDefault="00C83E46">
            <w:pPr>
              <w:pStyle w:val="P68B1DB1-Normal57"/>
              <w:spacing w:before="0" w:after="0" w:line="240" w:lineRule="auto"/>
              <w:rPr>
                <w:noProof/>
              </w:rPr>
            </w:pPr>
            <w:r>
              <w:rPr>
                <w:noProof/>
              </w:rPr>
              <w:t xml:space="preserve">Ulaganje 1: Strategije za održivu i zelenu tranziciju </w:t>
            </w:r>
          </w:p>
          <w:p w14:paraId="7017747B" w14:textId="519692C3" w:rsidR="00615E2D" w:rsidRDefault="00C83E46">
            <w:pPr>
              <w:pStyle w:val="P68B1DB1-Normal57"/>
              <w:spacing w:before="0" w:after="0" w:line="240" w:lineRule="auto"/>
              <w:rPr>
                <w:noProof/>
              </w:rPr>
            </w:pPr>
            <w:r>
              <w:rPr>
                <w:noProof/>
              </w:rPr>
              <w:t xml:space="preserve">  </w:t>
            </w:r>
          </w:p>
          <w:p w14:paraId="7D1C2F20" w14:textId="519692C3" w:rsidR="00615E2D" w:rsidRDefault="00C83E46">
            <w:pPr>
              <w:pStyle w:val="P68B1DB1-Normal57"/>
              <w:spacing w:before="0" w:after="0" w:line="240" w:lineRule="auto"/>
              <w:rPr>
                <w:noProof/>
              </w:rPr>
            </w:pPr>
            <w:r>
              <w:rPr>
                <w:noProof/>
              </w:rPr>
              <w:t xml:space="preserve">  </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6285AC5E" w14:textId="0A76421C" w:rsidR="00615E2D" w:rsidRDefault="00C83E46">
            <w:pPr>
              <w:pStyle w:val="P68B1DB1-Normal57"/>
              <w:spacing w:before="0" w:after="0" w:line="240" w:lineRule="auto"/>
              <w:rPr>
                <w:noProof/>
              </w:rPr>
            </w:pPr>
            <w:r>
              <w:rPr>
                <w:noProof/>
              </w:rPr>
              <w:t xml:space="preserve">         Ciljna </w:t>
            </w:r>
          </w:p>
        </w:tc>
        <w:tc>
          <w:tcPr>
            <w:tcW w:w="3409" w:type="dxa"/>
            <w:tcBorders>
              <w:top w:val="nil"/>
              <w:left w:val="nil"/>
              <w:bottom w:val="single" w:sz="8" w:space="0" w:color="auto"/>
              <w:right w:val="single" w:sz="8" w:space="0" w:color="auto"/>
            </w:tcBorders>
            <w:shd w:val="clear" w:color="auto" w:fill="C6EFCE"/>
            <w:vAlign w:val="center"/>
            <w:hideMark/>
          </w:tcPr>
          <w:p w14:paraId="6BC5ECD6" w14:textId="519692C3" w:rsidR="00615E2D" w:rsidRDefault="00C83E46">
            <w:pPr>
              <w:pStyle w:val="P68B1DB1-Normal57"/>
              <w:spacing w:before="0" w:after="0" w:line="240" w:lineRule="auto"/>
              <w:rPr>
                <w:noProof/>
              </w:rPr>
            </w:pPr>
            <w:r>
              <w:rPr>
                <w:noProof/>
              </w:rPr>
              <w:t>Donošenje novih strategija održive i zelene tranzicije na javnim sveučilištima</w:t>
            </w:r>
          </w:p>
        </w:tc>
      </w:tr>
      <w:tr w:rsidR="00615E2D" w14:paraId="0B9BCC4A"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1F8DBD7A" w14:textId="519692C3" w:rsidR="00615E2D" w:rsidRDefault="00C83E46">
            <w:pPr>
              <w:pStyle w:val="P68B1DB1-Normal57"/>
              <w:spacing w:line="240" w:lineRule="auto"/>
              <w:jc w:val="center"/>
              <w:rPr>
                <w:noProof/>
              </w:rPr>
            </w:pPr>
            <w:r>
              <w:rPr>
                <w:noProof/>
              </w:rPr>
              <w:t>332</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0F465CBA" w14:textId="25771130" w:rsidR="00615E2D" w:rsidRDefault="00C83E46">
            <w:pPr>
              <w:pStyle w:val="P68B1DB1-Normal57"/>
              <w:spacing w:before="0" w:after="0" w:line="240" w:lineRule="auto"/>
              <w:rPr>
                <w:noProof/>
              </w:rPr>
            </w:pPr>
            <w:r>
              <w:rPr>
                <w:noProof/>
              </w:rPr>
              <w:t>C 7.5. Dekarbonizacija cestovnog prometa (REPowerEU) —</w:t>
            </w:r>
          </w:p>
          <w:p w14:paraId="3754BB6A" w14:textId="7F83E57B" w:rsidR="00615E2D" w:rsidRDefault="00C83E46">
            <w:pPr>
              <w:pStyle w:val="P68B1DB1-Normal57"/>
              <w:spacing w:before="0" w:after="0" w:line="240" w:lineRule="auto"/>
              <w:rPr>
                <w:noProof/>
              </w:rPr>
            </w:pPr>
            <w:r>
              <w:rPr>
                <w:noProof/>
              </w:rPr>
              <w:t xml:space="preserve">Reforma br. 2: Porezne mjere za potporu mobilnosti s nultom stopom emisija </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52316D70" w14:textId="54D7634F" w:rsidR="00615E2D" w:rsidRDefault="00C83E46">
            <w:pPr>
              <w:pStyle w:val="P68B1DB1-Normal57"/>
              <w:spacing w:before="0" w:after="0" w:line="240" w:lineRule="auto"/>
              <w:rPr>
                <w:noProof/>
              </w:rPr>
            </w:pPr>
            <w:r>
              <w:rPr>
                <w:noProof/>
              </w:rPr>
              <w:t xml:space="preserve">     Prekretnica  </w:t>
            </w:r>
          </w:p>
        </w:tc>
        <w:tc>
          <w:tcPr>
            <w:tcW w:w="3409" w:type="dxa"/>
            <w:tcBorders>
              <w:top w:val="nil"/>
              <w:left w:val="nil"/>
              <w:bottom w:val="single" w:sz="8" w:space="0" w:color="auto"/>
              <w:right w:val="single" w:sz="8" w:space="0" w:color="auto"/>
            </w:tcBorders>
            <w:shd w:val="clear" w:color="auto" w:fill="C6EFCE"/>
            <w:vAlign w:val="center"/>
            <w:hideMark/>
          </w:tcPr>
          <w:p w14:paraId="5664D234" w14:textId="7F83E57B" w:rsidR="00615E2D" w:rsidRDefault="00C83E46">
            <w:pPr>
              <w:pStyle w:val="P68B1DB1-Normal57"/>
              <w:spacing w:before="0" w:after="0" w:line="240" w:lineRule="auto"/>
              <w:rPr>
                <w:noProof/>
              </w:rPr>
            </w:pPr>
            <w:r>
              <w:rPr>
                <w:noProof/>
              </w:rPr>
              <w:t>Oslobođenja od poreza za promicanje uvođenja vozila s nultim emisijama u privatna poduzeća</w:t>
            </w:r>
          </w:p>
        </w:tc>
      </w:tr>
      <w:tr w:rsidR="00615E2D" w14:paraId="2AEFA08A"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58FC6F9B" w14:textId="7F83E57B" w:rsidR="00615E2D" w:rsidRDefault="00C83E46">
            <w:pPr>
              <w:pStyle w:val="P68B1DB1-Normal57"/>
              <w:spacing w:line="240" w:lineRule="auto"/>
              <w:jc w:val="center"/>
              <w:rPr>
                <w:noProof/>
              </w:rPr>
            </w:pPr>
            <w:r>
              <w:rPr>
                <w:noProof/>
              </w:rPr>
              <w:t>335</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74BE9404" w14:textId="6A6CC739" w:rsidR="00615E2D" w:rsidRDefault="00C83E46">
            <w:pPr>
              <w:pStyle w:val="P68B1DB1-Normal57"/>
              <w:spacing w:before="0" w:after="0" w:line="240" w:lineRule="auto"/>
              <w:rPr>
                <w:noProof/>
              </w:rPr>
            </w:pPr>
            <w:r>
              <w:rPr>
                <w:noProof/>
              </w:rPr>
              <w:t>C 7.5. Dekarbonizacija cestovnog prometa (REPowerEU) —</w:t>
            </w:r>
          </w:p>
          <w:p w14:paraId="7791C083" w14:textId="7F83E57B" w:rsidR="00615E2D" w:rsidRDefault="00C83E46">
            <w:pPr>
              <w:pStyle w:val="P68B1DB1-Normal57"/>
              <w:spacing w:before="0" w:after="0" w:line="240" w:lineRule="auto"/>
              <w:rPr>
                <w:noProof/>
              </w:rPr>
            </w:pPr>
            <w:r>
              <w:rPr>
                <w:noProof/>
              </w:rPr>
              <w:t xml:space="preserve">Reforma 4.: Uvjeti koji omogućuju provedbu infrastrukture za alternativna goriva s nultim emisijama </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41663258" w14:textId="42261569" w:rsidR="00615E2D" w:rsidRDefault="00C83E46">
            <w:pPr>
              <w:pStyle w:val="P68B1DB1-Normal57"/>
              <w:spacing w:before="0" w:after="0" w:line="240" w:lineRule="auto"/>
              <w:rPr>
                <w:noProof/>
              </w:rPr>
            </w:pPr>
            <w:r>
              <w:rPr>
                <w:noProof/>
              </w:rPr>
              <w:t xml:space="preserve">     Prekretnica </w:t>
            </w:r>
          </w:p>
        </w:tc>
        <w:tc>
          <w:tcPr>
            <w:tcW w:w="3409" w:type="dxa"/>
            <w:tcBorders>
              <w:top w:val="nil"/>
              <w:left w:val="nil"/>
              <w:bottom w:val="single" w:sz="8" w:space="0" w:color="auto"/>
              <w:right w:val="single" w:sz="8" w:space="0" w:color="auto"/>
            </w:tcBorders>
            <w:shd w:val="clear" w:color="auto" w:fill="C6EFCE"/>
            <w:vAlign w:val="center"/>
            <w:hideMark/>
          </w:tcPr>
          <w:p w14:paraId="6F331ED9" w14:textId="7F83E57B" w:rsidR="00615E2D" w:rsidRDefault="00C83E46">
            <w:pPr>
              <w:pStyle w:val="P68B1DB1-Normal57"/>
              <w:spacing w:before="0" w:after="0" w:line="240" w:lineRule="auto"/>
              <w:rPr>
                <w:noProof/>
              </w:rPr>
            </w:pPr>
            <w:r>
              <w:rPr>
                <w:noProof/>
              </w:rPr>
              <w:t>Pojednostavnjenje postupka izdavanja dozvola za izgradnju postaja za punjenje električnih vozila i stanica za opskrbu vodikom</w:t>
            </w:r>
          </w:p>
        </w:tc>
      </w:tr>
      <w:tr w:rsidR="00615E2D" w14:paraId="032DEC2D" w14:textId="77777777">
        <w:trPr>
          <w:trHeight w:val="600"/>
        </w:trPr>
        <w:tc>
          <w:tcPr>
            <w:tcW w:w="1275" w:type="dxa"/>
            <w:tcBorders>
              <w:top w:val="nil"/>
              <w:left w:val="single" w:sz="8" w:space="0" w:color="auto"/>
              <w:bottom w:val="single" w:sz="8" w:space="0" w:color="000000" w:themeColor="text1"/>
              <w:right w:val="single" w:sz="8" w:space="0" w:color="000000" w:themeColor="text1"/>
            </w:tcBorders>
            <w:shd w:val="clear" w:color="auto" w:fill="C6EFCE"/>
            <w:vAlign w:val="center"/>
            <w:hideMark/>
          </w:tcPr>
          <w:p w14:paraId="11010798" w14:textId="7F83E57B" w:rsidR="00615E2D" w:rsidRDefault="00C83E46">
            <w:pPr>
              <w:pStyle w:val="P68B1DB1-Normal57"/>
              <w:spacing w:line="240" w:lineRule="auto"/>
              <w:jc w:val="center"/>
              <w:rPr>
                <w:noProof/>
              </w:rPr>
            </w:pPr>
            <w:r>
              <w:rPr>
                <w:noProof/>
              </w:rPr>
              <w:t>337</w:t>
            </w:r>
          </w:p>
        </w:tc>
        <w:tc>
          <w:tcPr>
            <w:tcW w:w="4035" w:type="dxa"/>
            <w:tcBorders>
              <w:top w:val="nil"/>
              <w:left w:val="nil"/>
              <w:bottom w:val="single" w:sz="8" w:space="0" w:color="000000" w:themeColor="text1"/>
              <w:right w:val="single" w:sz="8" w:space="0" w:color="000000" w:themeColor="text1"/>
            </w:tcBorders>
            <w:shd w:val="clear" w:color="auto" w:fill="C6EFCE"/>
            <w:vAlign w:val="center"/>
            <w:hideMark/>
          </w:tcPr>
          <w:p w14:paraId="618835BB" w14:textId="59CAE169" w:rsidR="00615E2D" w:rsidRDefault="00C83E46">
            <w:pPr>
              <w:pStyle w:val="P68B1DB1-Normal57"/>
              <w:spacing w:before="0" w:after="0" w:line="240" w:lineRule="auto"/>
              <w:rPr>
                <w:noProof/>
              </w:rPr>
            </w:pPr>
            <w:r>
              <w:rPr>
                <w:noProof/>
              </w:rPr>
              <w:t>C 7.5. Dekarbonizacija cestovnog prometa (REPowerEU) —</w:t>
            </w:r>
          </w:p>
          <w:p w14:paraId="5500FF6B" w14:textId="7F83E57B" w:rsidR="00615E2D" w:rsidRDefault="00C83E46">
            <w:pPr>
              <w:pStyle w:val="P68B1DB1-Normal57"/>
              <w:spacing w:before="0" w:after="0" w:line="240" w:lineRule="auto"/>
              <w:rPr>
                <w:noProof/>
              </w:rPr>
            </w:pPr>
            <w:r>
              <w:rPr>
                <w:noProof/>
              </w:rPr>
              <w:t xml:space="preserve">Reforma br. 5: Poticanje mobilnosti s nultom stopom emisija promjenama vinjete za autoceste </w:t>
            </w:r>
          </w:p>
        </w:tc>
        <w:tc>
          <w:tcPr>
            <w:tcW w:w="1770" w:type="dxa"/>
            <w:tcBorders>
              <w:top w:val="nil"/>
              <w:left w:val="nil"/>
              <w:bottom w:val="single" w:sz="8" w:space="0" w:color="000000" w:themeColor="text1"/>
              <w:right w:val="single" w:sz="8" w:space="0" w:color="000000" w:themeColor="text1"/>
            </w:tcBorders>
            <w:shd w:val="clear" w:color="auto" w:fill="C6EFCE"/>
            <w:vAlign w:val="center"/>
            <w:hideMark/>
          </w:tcPr>
          <w:p w14:paraId="58D2A5D8" w14:textId="61805428" w:rsidR="00615E2D" w:rsidRDefault="00C83E46">
            <w:pPr>
              <w:pStyle w:val="P68B1DB1-Normal57"/>
              <w:spacing w:before="0" w:after="0" w:line="240" w:lineRule="auto"/>
              <w:rPr>
                <w:noProof/>
              </w:rPr>
            </w:pPr>
            <w:r>
              <w:rPr>
                <w:noProof/>
              </w:rPr>
              <w:t xml:space="preserve">     Prekretnica </w:t>
            </w:r>
          </w:p>
        </w:tc>
        <w:tc>
          <w:tcPr>
            <w:tcW w:w="3409" w:type="dxa"/>
            <w:tcBorders>
              <w:top w:val="nil"/>
              <w:left w:val="nil"/>
              <w:bottom w:val="single" w:sz="8" w:space="0" w:color="000000" w:themeColor="text1"/>
              <w:right w:val="single" w:sz="8" w:space="0" w:color="auto"/>
            </w:tcBorders>
            <w:shd w:val="clear" w:color="auto" w:fill="C6EFCE"/>
            <w:vAlign w:val="center"/>
            <w:hideMark/>
          </w:tcPr>
          <w:p w14:paraId="6BCECBE4" w14:textId="7F83E57B" w:rsidR="00615E2D" w:rsidRDefault="00C83E46">
            <w:pPr>
              <w:pStyle w:val="P68B1DB1-Normal57"/>
              <w:spacing w:before="0" w:after="0" w:line="240" w:lineRule="auto"/>
              <w:rPr>
                <w:noProof/>
              </w:rPr>
            </w:pPr>
            <w:r>
              <w:rPr>
                <w:noProof/>
              </w:rPr>
              <w:t xml:space="preserve">Revizija troškova vinjeta na autocestama  </w:t>
            </w:r>
          </w:p>
        </w:tc>
      </w:tr>
      <w:tr w:rsidR="00615E2D" w14:paraId="213D0938" w14:textId="77777777">
        <w:trPr>
          <w:trHeight w:val="600"/>
        </w:trPr>
        <w:tc>
          <w:tcPr>
            <w:tcW w:w="1275" w:type="dxa"/>
            <w:tcBorders>
              <w:top w:val="single" w:sz="4" w:space="0" w:color="000000" w:themeColor="text1"/>
              <w:left w:val="single" w:sz="8" w:space="0" w:color="auto"/>
              <w:bottom w:val="single" w:sz="8" w:space="0" w:color="auto"/>
              <w:right w:val="single" w:sz="8" w:space="0" w:color="000000" w:themeColor="text1"/>
            </w:tcBorders>
            <w:shd w:val="clear" w:color="auto" w:fill="C6EFCE"/>
            <w:vAlign w:val="center"/>
            <w:hideMark/>
          </w:tcPr>
          <w:p w14:paraId="7EAEC414" w14:textId="15973CA3" w:rsidR="00615E2D" w:rsidRDefault="00C83E46">
            <w:pPr>
              <w:pStyle w:val="P68B1DB1-Normal57"/>
              <w:spacing w:line="240" w:lineRule="auto"/>
              <w:jc w:val="center"/>
              <w:rPr>
                <w:noProof/>
              </w:rPr>
            </w:pPr>
            <w:r>
              <w:rPr>
                <w:noProof/>
              </w:rPr>
              <w:t>342</w:t>
            </w:r>
          </w:p>
        </w:tc>
        <w:tc>
          <w:tcPr>
            <w:tcW w:w="4035" w:type="dxa"/>
            <w:tcBorders>
              <w:top w:val="single" w:sz="4" w:space="0" w:color="000000" w:themeColor="text1"/>
              <w:left w:val="nil"/>
              <w:bottom w:val="single" w:sz="8" w:space="0" w:color="auto"/>
              <w:right w:val="single" w:sz="8" w:space="0" w:color="000000" w:themeColor="text1"/>
            </w:tcBorders>
            <w:shd w:val="clear" w:color="auto" w:fill="C6EFCE"/>
            <w:vAlign w:val="center"/>
            <w:hideMark/>
          </w:tcPr>
          <w:p w14:paraId="5503A361" w14:textId="011E7202" w:rsidR="00615E2D" w:rsidRDefault="00C83E46">
            <w:pPr>
              <w:pStyle w:val="P68B1DB1-Normal57"/>
              <w:spacing w:before="0" w:after="0" w:line="240" w:lineRule="auto"/>
              <w:rPr>
                <w:noProof/>
              </w:rPr>
            </w:pPr>
            <w:r>
              <w:rPr>
                <w:noProof/>
              </w:rPr>
              <w:t>C7.7 Pojednostavnjenje postupaka izdavanja okolišnih dozvola i definiranje područja za razvoj obnovljivih izvora energije —</w:t>
            </w:r>
          </w:p>
          <w:p w14:paraId="317D70EB" w14:textId="72590A27" w:rsidR="00615E2D" w:rsidRDefault="00C83E46">
            <w:pPr>
              <w:pStyle w:val="P68B1DB1-Normal57"/>
              <w:spacing w:before="0" w:after="0" w:line="240" w:lineRule="auto"/>
              <w:rPr>
                <w:noProof/>
              </w:rPr>
            </w:pPr>
            <w:r>
              <w:rPr>
                <w:noProof/>
              </w:rPr>
              <w:t xml:space="preserve">Reforma 1.:  Jedinstveno mišljenje o okolišu </w:t>
            </w:r>
          </w:p>
        </w:tc>
        <w:tc>
          <w:tcPr>
            <w:tcW w:w="1770" w:type="dxa"/>
            <w:tcBorders>
              <w:top w:val="single" w:sz="4" w:space="0" w:color="000000" w:themeColor="text1"/>
              <w:left w:val="nil"/>
              <w:bottom w:val="single" w:sz="8" w:space="0" w:color="auto"/>
              <w:right w:val="single" w:sz="8" w:space="0" w:color="000000" w:themeColor="text1"/>
            </w:tcBorders>
            <w:shd w:val="clear" w:color="auto" w:fill="C6EFCE"/>
            <w:vAlign w:val="center"/>
            <w:hideMark/>
          </w:tcPr>
          <w:p w14:paraId="1D760488" w14:textId="747D9C73" w:rsidR="00615E2D" w:rsidRDefault="00C83E46">
            <w:pPr>
              <w:pStyle w:val="P68B1DB1-Normal57"/>
              <w:spacing w:before="0" w:after="0" w:line="240" w:lineRule="auto"/>
              <w:rPr>
                <w:noProof/>
              </w:rPr>
            </w:pPr>
            <w:r>
              <w:rPr>
                <w:noProof/>
              </w:rPr>
              <w:t xml:space="preserve">      Prekretnica </w:t>
            </w:r>
          </w:p>
        </w:tc>
        <w:tc>
          <w:tcPr>
            <w:tcW w:w="3409" w:type="dxa"/>
            <w:tcBorders>
              <w:top w:val="single" w:sz="4" w:space="0" w:color="000000" w:themeColor="text1"/>
              <w:left w:val="nil"/>
              <w:bottom w:val="single" w:sz="8" w:space="0" w:color="auto"/>
              <w:right w:val="single" w:sz="8" w:space="0" w:color="auto"/>
            </w:tcBorders>
            <w:shd w:val="clear" w:color="auto" w:fill="C6EFCE"/>
            <w:vAlign w:val="center"/>
            <w:hideMark/>
          </w:tcPr>
          <w:p w14:paraId="6A9ADD95" w14:textId="481E8362" w:rsidR="00615E2D" w:rsidRDefault="00C83E46">
            <w:pPr>
              <w:pStyle w:val="P68B1DB1-Normal57"/>
              <w:spacing w:before="0" w:after="0" w:line="240" w:lineRule="auto"/>
              <w:rPr>
                <w:noProof/>
              </w:rPr>
            </w:pPr>
            <w:r>
              <w:rPr>
                <w:noProof/>
              </w:rPr>
              <w:t xml:space="preserve">Ministarstvo okoliša objavljuje metodologije i predloške   </w:t>
            </w:r>
          </w:p>
        </w:tc>
      </w:tr>
      <w:tr w:rsidR="00615E2D" w14:paraId="16795C5B"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05741BB6" w14:textId="0C19C899" w:rsidR="00615E2D" w:rsidRDefault="00C83E46">
            <w:pPr>
              <w:pStyle w:val="P68B1DB1-Normal57"/>
              <w:spacing w:line="240" w:lineRule="auto"/>
              <w:jc w:val="center"/>
              <w:rPr>
                <w:noProof/>
              </w:rPr>
            </w:pPr>
            <w:r>
              <w:rPr>
                <w:noProof/>
              </w:rPr>
              <w:t>344</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3BF4A935" w14:textId="2DADE6C4" w:rsidR="00615E2D" w:rsidRDefault="00C83E46">
            <w:pPr>
              <w:pStyle w:val="P68B1DB1-Normal57"/>
              <w:spacing w:before="0" w:after="0" w:line="240" w:lineRule="auto"/>
              <w:rPr>
                <w:noProof/>
              </w:rPr>
            </w:pPr>
            <w:r>
              <w:rPr>
                <w:noProof/>
              </w:rPr>
              <w:t xml:space="preserve">C7.7 Pojednostavnjenje postupaka izdavanja okolišnih dozvola i definiranje područja za razvoj obnovljivih izvora energije – Reforma 2.: </w:t>
            </w:r>
          </w:p>
          <w:p w14:paraId="0EB18D8C" w14:textId="7DD3E0E7" w:rsidR="00615E2D" w:rsidRDefault="00C83E46">
            <w:pPr>
              <w:pStyle w:val="P68B1DB1-Normal57"/>
              <w:spacing w:before="0" w:after="0" w:line="240" w:lineRule="auto"/>
              <w:rPr>
                <w:noProof/>
              </w:rPr>
            </w:pPr>
            <w:r>
              <w:rPr>
                <w:noProof/>
              </w:rPr>
              <w:t xml:space="preserve">Područja za ubrzanje proizvodnje energije iz obnovljivih izvora  </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7FB1216E" w14:textId="32BF4A31" w:rsidR="00615E2D" w:rsidRDefault="00C83E46">
            <w:pPr>
              <w:pStyle w:val="P68B1DB1-Normal57"/>
              <w:spacing w:before="0" w:after="0" w:line="240" w:lineRule="auto"/>
              <w:rPr>
                <w:noProof/>
              </w:rPr>
            </w:pPr>
            <w:r>
              <w:rPr>
                <w:noProof/>
              </w:rPr>
              <w:t xml:space="preserve">      Prekretnica </w:t>
            </w:r>
          </w:p>
        </w:tc>
        <w:tc>
          <w:tcPr>
            <w:tcW w:w="3409" w:type="dxa"/>
            <w:tcBorders>
              <w:top w:val="nil"/>
              <w:left w:val="nil"/>
              <w:bottom w:val="single" w:sz="8" w:space="0" w:color="auto"/>
              <w:right w:val="single" w:sz="8" w:space="0" w:color="auto"/>
            </w:tcBorders>
            <w:shd w:val="clear" w:color="auto" w:fill="C6EFCE"/>
            <w:vAlign w:val="center"/>
            <w:hideMark/>
          </w:tcPr>
          <w:p w14:paraId="637BB62D" w14:textId="0CBE7B36" w:rsidR="00615E2D" w:rsidRDefault="00C83E46">
            <w:pPr>
              <w:pStyle w:val="P68B1DB1-Normal57"/>
              <w:spacing w:before="0" w:after="0" w:line="240" w:lineRule="auto"/>
              <w:rPr>
                <w:noProof/>
              </w:rPr>
            </w:pPr>
            <w:r>
              <w:rPr>
                <w:noProof/>
              </w:rPr>
              <w:t xml:space="preserve">Okvir za potporu područjima ubrzane proizvodnje energije iz obnovljivih izvora </w:t>
            </w:r>
          </w:p>
          <w:p w14:paraId="07B5126B" w14:textId="018EDBB6" w:rsidR="00615E2D" w:rsidRDefault="00615E2D">
            <w:pPr>
              <w:spacing w:before="0" w:after="0" w:line="240" w:lineRule="auto"/>
              <w:rPr>
                <w:rFonts w:eastAsia="Times New Roman"/>
                <w:noProof/>
                <w:color w:val="006100"/>
                <w:sz w:val="20"/>
              </w:rPr>
            </w:pPr>
          </w:p>
        </w:tc>
      </w:tr>
      <w:tr w:rsidR="00615E2D" w14:paraId="70F7B788" w14:textId="77777777">
        <w:trPr>
          <w:trHeight w:val="600"/>
        </w:trPr>
        <w:tc>
          <w:tcPr>
            <w:tcW w:w="1275" w:type="dxa"/>
            <w:tcBorders>
              <w:top w:val="nil"/>
              <w:left w:val="single" w:sz="8" w:space="0" w:color="auto"/>
              <w:bottom w:val="single" w:sz="8" w:space="0" w:color="auto"/>
              <w:right w:val="single" w:sz="8" w:space="0" w:color="000000" w:themeColor="text1"/>
            </w:tcBorders>
            <w:shd w:val="clear" w:color="auto" w:fill="C6EFCE"/>
            <w:vAlign w:val="center"/>
            <w:hideMark/>
          </w:tcPr>
          <w:p w14:paraId="6BE0DB8B" w14:textId="2A75F5A3" w:rsidR="00615E2D" w:rsidRDefault="00C83E46">
            <w:pPr>
              <w:pStyle w:val="P68B1DB1-Normal57"/>
              <w:spacing w:line="240" w:lineRule="auto"/>
              <w:jc w:val="center"/>
              <w:rPr>
                <w:noProof/>
              </w:rPr>
            </w:pPr>
            <w:r>
              <w:rPr>
                <w:noProof/>
              </w:rPr>
              <w:t>345</w:t>
            </w:r>
          </w:p>
        </w:tc>
        <w:tc>
          <w:tcPr>
            <w:tcW w:w="4035" w:type="dxa"/>
            <w:tcBorders>
              <w:top w:val="nil"/>
              <w:left w:val="nil"/>
              <w:bottom w:val="single" w:sz="8" w:space="0" w:color="auto"/>
              <w:right w:val="single" w:sz="8" w:space="0" w:color="000000" w:themeColor="text1"/>
            </w:tcBorders>
            <w:shd w:val="clear" w:color="auto" w:fill="C6EFCE"/>
            <w:vAlign w:val="center"/>
            <w:hideMark/>
          </w:tcPr>
          <w:p w14:paraId="352F84A3" w14:textId="676445A0" w:rsidR="00615E2D" w:rsidRDefault="00C83E46">
            <w:pPr>
              <w:pStyle w:val="P68B1DB1-Normal57"/>
              <w:spacing w:before="0" w:after="0" w:line="240" w:lineRule="auto"/>
              <w:rPr>
                <w:noProof/>
              </w:rPr>
            </w:pPr>
            <w:r>
              <w:rPr>
                <w:noProof/>
              </w:rPr>
              <w:t xml:space="preserve">C7.7 Pojednostavnjenje postupaka izdavanja okolišnih dozvola i definiranje područja za razvoj obnovljivih izvora energije – Reforma 2.: </w:t>
            </w:r>
          </w:p>
          <w:p w14:paraId="32E49DA3" w14:textId="79A35A6B" w:rsidR="00615E2D" w:rsidRDefault="00C83E46">
            <w:pPr>
              <w:pStyle w:val="P68B1DB1-Normal57"/>
              <w:spacing w:before="0" w:after="0" w:line="240" w:lineRule="auto"/>
              <w:rPr>
                <w:noProof/>
              </w:rPr>
            </w:pPr>
            <w:r>
              <w:rPr>
                <w:noProof/>
              </w:rPr>
              <w:t xml:space="preserve">Područja ubrzane proizvodnje energije iz obnovljivih izvora </w:t>
            </w:r>
          </w:p>
          <w:p w14:paraId="7744272D" w14:textId="694E940A" w:rsidR="00615E2D" w:rsidRDefault="00C83E46">
            <w:pPr>
              <w:pStyle w:val="P68B1DB1-Normal57"/>
              <w:spacing w:before="0" w:after="0" w:line="240" w:lineRule="auto"/>
              <w:rPr>
                <w:noProof/>
              </w:rPr>
            </w:pPr>
            <w:r>
              <w:rPr>
                <w:noProof/>
              </w:rPr>
              <w:t xml:space="preserve"> </w:t>
            </w:r>
          </w:p>
        </w:tc>
        <w:tc>
          <w:tcPr>
            <w:tcW w:w="1770" w:type="dxa"/>
            <w:tcBorders>
              <w:top w:val="nil"/>
              <w:left w:val="nil"/>
              <w:bottom w:val="single" w:sz="8" w:space="0" w:color="auto"/>
              <w:right w:val="single" w:sz="8" w:space="0" w:color="000000" w:themeColor="text1"/>
            </w:tcBorders>
            <w:shd w:val="clear" w:color="auto" w:fill="C6EFCE"/>
            <w:vAlign w:val="center"/>
            <w:hideMark/>
          </w:tcPr>
          <w:p w14:paraId="37BDC06C" w14:textId="14E4BB0F" w:rsidR="00615E2D" w:rsidRDefault="00C83E46">
            <w:pPr>
              <w:pStyle w:val="P68B1DB1-Normal57"/>
              <w:spacing w:before="0" w:after="0" w:line="240" w:lineRule="auto"/>
              <w:rPr>
                <w:noProof/>
              </w:rPr>
            </w:pPr>
            <w:r>
              <w:rPr>
                <w:noProof/>
              </w:rPr>
              <w:t xml:space="preserve">       Ciljna   </w:t>
            </w:r>
          </w:p>
        </w:tc>
        <w:tc>
          <w:tcPr>
            <w:tcW w:w="3409" w:type="dxa"/>
            <w:tcBorders>
              <w:top w:val="nil"/>
              <w:left w:val="nil"/>
              <w:bottom w:val="single" w:sz="8" w:space="0" w:color="auto"/>
              <w:right w:val="single" w:sz="8" w:space="0" w:color="auto"/>
            </w:tcBorders>
            <w:shd w:val="clear" w:color="auto" w:fill="C6EFCE"/>
            <w:vAlign w:val="center"/>
            <w:hideMark/>
          </w:tcPr>
          <w:p w14:paraId="17EB5399" w14:textId="52F3CA25" w:rsidR="00615E2D" w:rsidRDefault="00C83E46">
            <w:pPr>
              <w:pStyle w:val="P68B1DB1-Normal57"/>
              <w:spacing w:before="0" w:after="0" w:line="240" w:lineRule="auto"/>
              <w:rPr>
                <w:noProof/>
              </w:rPr>
            </w:pPr>
            <w:r>
              <w:rPr>
                <w:noProof/>
              </w:rPr>
              <w:t>Određivanje područja za ubrzanje proizvodnje energije iz obnovljivih izvora za razvoj energije vjetra i solarne energije</w:t>
            </w:r>
          </w:p>
        </w:tc>
      </w:tr>
      <w:tr w:rsidR="00615E2D" w14:paraId="44DA0E4A" w14:textId="77777777">
        <w:trPr>
          <w:trHeight w:val="575"/>
        </w:trPr>
        <w:tc>
          <w:tcPr>
            <w:tcW w:w="1275" w:type="dxa"/>
            <w:tcBorders>
              <w:top w:val="nil"/>
              <w:left w:val="single" w:sz="8" w:space="0" w:color="auto"/>
              <w:bottom w:val="single" w:sz="8" w:space="0" w:color="auto"/>
              <w:right w:val="single" w:sz="8" w:space="0" w:color="000000" w:themeColor="text1"/>
            </w:tcBorders>
            <w:shd w:val="clear" w:color="auto" w:fill="C6EFCE"/>
            <w:vAlign w:val="center"/>
          </w:tcPr>
          <w:p w14:paraId="5E933A38" w14:textId="77777777" w:rsidR="00615E2D" w:rsidRDefault="00615E2D">
            <w:pPr>
              <w:spacing w:before="0" w:after="0" w:line="240" w:lineRule="auto"/>
              <w:jc w:val="center"/>
              <w:rPr>
                <w:rFonts w:eastAsia="Times New Roman"/>
                <w:noProof/>
                <w:color w:val="006100"/>
                <w:sz w:val="20"/>
              </w:rPr>
            </w:pPr>
          </w:p>
        </w:tc>
        <w:tc>
          <w:tcPr>
            <w:tcW w:w="4035" w:type="dxa"/>
            <w:tcBorders>
              <w:top w:val="nil"/>
              <w:left w:val="nil"/>
              <w:bottom w:val="single" w:sz="8" w:space="0" w:color="auto"/>
              <w:right w:val="single" w:sz="8" w:space="0" w:color="000000" w:themeColor="text1"/>
            </w:tcBorders>
            <w:shd w:val="clear" w:color="auto" w:fill="C6EFCE"/>
            <w:vAlign w:val="center"/>
          </w:tcPr>
          <w:p w14:paraId="512D5F9E" w14:textId="77777777" w:rsidR="00615E2D" w:rsidRDefault="00615E2D">
            <w:pPr>
              <w:spacing w:before="0" w:after="0" w:line="240" w:lineRule="auto"/>
              <w:jc w:val="center"/>
              <w:rPr>
                <w:rFonts w:eastAsia="Times New Roman"/>
                <w:noProof/>
                <w:color w:val="006100"/>
                <w:sz w:val="20"/>
              </w:rPr>
            </w:pPr>
          </w:p>
        </w:tc>
        <w:tc>
          <w:tcPr>
            <w:tcW w:w="1770" w:type="dxa"/>
            <w:tcBorders>
              <w:top w:val="nil"/>
              <w:left w:val="nil"/>
              <w:bottom w:val="single" w:sz="8" w:space="0" w:color="auto"/>
              <w:right w:val="single" w:sz="8" w:space="0" w:color="000000" w:themeColor="text1"/>
            </w:tcBorders>
            <w:shd w:val="clear" w:color="auto" w:fill="C6EFCE"/>
            <w:vAlign w:val="center"/>
          </w:tcPr>
          <w:p w14:paraId="54BA121B" w14:textId="77777777" w:rsidR="00615E2D" w:rsidRDefault="00C83E46">
            <w:pPr>
              <w:pStyle w:val="P68B1DB1-Normal59"/>
              <w:spacing w:before="0" w:after="0" w:line="240" w:lineRule="auto"/>
              <w:jc w:val="center"/>
              <w:rPr>
                <w:noProof/>
              </w:rPr>
            </w:pPr>
            <w:r>
              <w:rPr>
                <w:noProof/>
              </w:rPr>
              <w:t>Iznos obroka</w:t>
            </w:r>
          </w:p>
        </w:tc>
        <w:tc>
          <w:tcPr>
            <w:tcW w:w="3409" w:type="dxa"/>
            <w:tcBorders>
              <w:top w:val="nil"/>
              <w:left w:val="nil"/>
              <w:bottom w:val="single" w:sz="8" w:space="0" w:color="auto"/>
              <w:right w:val="single" w:sz="8" w:space="0" w:color="auto"/>
            </w:tcBorders>
            <w:shd w:val="clear" w:color="auto" w:fill="C6EFCE"/>
            <w:vAlign w:val="center"/>
          </w:tcPr>
          <w:p w14:paraId="01556A42" w14:textId="22312CB3" w:rsidR="00615E2D" w:rsidRDefault="00C83E46">
            <w:pPr>
              <w:pStyle w:val="P68B1DB1-Normal59"/>
              <w:spacing w:before="0" w:after="0" w:line="240" w:lineRule="auto"/>
              <w:jc w:val="center"/>
              <w:rPr>
                <w:noProof/>
              </w:rPr>
            </w:pPr>
            <w:r>
              <w:rPr>
                <w:noProof/>
              </w:rPr>
              <w:t>1616469125 EURA</w:t>
            </w:r>
          </w:p>
        </w:tc>
      </w:tr>
    </w:tbl>
    <w:p w14:paraId="7C62FC14" w14:textId="77777777" w:rsidR="00615E2D" w:rsidRDefault="00615E2D">
      <w:pPr>
        <w:spacing w:line="240" w:lineRule="auto"/>
        <w:jc w:val="both"/>
        <w:rPr>
          <w:noProof/>
        </w:rPr>
      </w:pPr>
    </w:p>
    <w:p w14:paraId="7C6D96B4" w14:textId="77777777" w:rsidR="00615E2D" w:rsidRDefault="00C83E46">
      <w:pPr>
        <w:numPr>
          <w:ilvl w:val="1"/>
          <w:numId w:val="198"/>
        </w:numPr>
        <w:spacing w:line="240" w:lineRule="auto"/>
        <w:jc w:val="both"/>
        <w:rPr>
          <w:noProof/>
        </w:rPr>
      </w:pPr>
      <w:r>
        <w:rPr>
          <w:noProof/>
        </w:rPr>
        <w:t xml:space="preserve">Sedmi obrok (bespovratna potpora): </w:t>
      </w:r>
    </w:p>
    <w:tbl>
      <w:tblPr>
        <w:tblW w:w="10490" w:type="dxa"/>
        <w:tblInd w:w="-601" w:type="dxa"/>
        <w:tblLook w:val="04A0" w:firstRow="1" w:lastRow="0" w:firstColumn="1" w:lastColumn="0" w:noHBand="0" w:noVBand="1"/>
      </w:tblPr>
      <w:tblGrid>
        <w:gridCol w:w="1276"/>
        <w:gridCol w:w="3969"/>
        <w:gridCol w:w="1843"/>
        <w:gridCol w:w="3402"/>
      </w:tblGrid>
      <w:tr w:rsidR="00615E2D" w14:paraId="565ED868" w14:textId="77777777">
        <w:trPr>
          <w:trHeight w:val="825"/>
          <w:tblHeader/>
        </w:trPr>
        <w:tc>
          <w:tcPr>
            <w:tcW w:w="1276" w:type="dxa"/>
            <w:tcBorders>
              <w:top w:val="single" w:sz="8" w:space="0" w:color="auto"/>
              <w:left w:val="single" w:sz="8" w:space="0" w:color="auto"/>
              <w:bottom w:val="single" w:sz="8" w:space="0" w:color="auto"/>
              <w:right w:val="single" w:sz="8" w:space="0" w:color="auto"/>
            </w:tcBorders>
            <w:shd w:val="clear" w:color="auto" w:fill="BDD7EE"/>
            <w:vAlign w:val="center"/>
            <w:hideMark/>
          </w:tcPr>
          <w:p w14:paraId="6B9B91A3" w14:textId="77777777" w:rsidR="00615E2D" w:rsidRDefault="00C83E46">
            <w:pPr>
              <w:pStyle w:val="P68B1DB1-Normal55"/>
              <w:spacing w:before="0" w:after="0" w:line="240" w:lineRule="auto"/>
              <w:jc w:val="center"/>
              <w:rPr>
                <w:noProof/>
              </w:rPr>
            </w:pPr>
            <w:r>
              <w:rPr>
                <w:noProof/>
              </w:rPr>
              <w:t>Redni broj</w:t>
            </w:r>
          </w:p>
        </w:tc>
        <w:tc>
          <w:tcPr>
            <w:tcW w:w="3969" w:type="dxa"/>
            <w:tcBorders>
              <w:top w:val="single" w:sz="8" w:space="0" w:color="auto"/>
              <w:left w:val="nil"/>
              <w:bottom w:val="single" w:sz="8" w:space="0" w:color="auto"/>
              <w:right w:val="single" w:sz="8" w:space="0" w:color="auto"/>
            </w:tcBorders>
            <w:shd w:val="clear" w:color="auto" w:fill="BDD7EE"/>
            <w:vAlign w:val="center"/>
            <w:hideMark/>
          </w:tcPr>
          <w:p w14:paraId="4A2EFD1F" w14:textId="77777777" w:rsidR="00615E2D" w:rsidRDefault="00C83E46">
            <w:pPr>
              <w:pStyle w:val="P68B1DB1-Normal55"/>
              <w:spacing w:before="0" w:after="0" w:line="240" w:lineRule="auto"/>
              <w:jc w:val="center"/>
              <w:rPr>
                <w:noProof/>
              </w:rPr>
            </w:pPr>
            <w:r>
              <w:rPr>
                <w:noProof/>
              </w:rPr>
              <w:t>Povezana mjera (reforma ili ulaganje)</w:t>
            </w:r>
          </w:p>
        </w:tc>
        <w:tc>
          <w:tcPr>
            <w:tcW w:w="1843" w:type="dxa"/>
            <w:tcBorders>
              <w:top w:val="single" w:sz="8" w:space="0" w:color="auto"/>
              <w:left w:val="nil"/>
              <w:bottom w:val="single" w:sz="8" w:space="0" w:color="auto"/>
              <w:right w:val="single" w:sz="8" w:space="0" w:color="auto"/>
            </w:tcBorders>
            <w:shd w:val="clear" w:color="auto" w:fill="BDD7EE"/>
            <w:vAlign w:val="center"/>
            <w:hideMark/>
          </w:tcPr>
          <w:p w14:paraId="07B15F1D" w14:textId="77777777" w:rsidR="00615E2D" w:rsidRDefault="00C83E46">
            <w:pPr>
              <w:pStyle w:val="P68B1DB1-Normal55"/>
              <w:spacing w:before="0" w:after="0" w:line="240" w:lineRule="auto"/>
              <w:jc w:val="center"/>
              <w:rPr>
                <w:noProof/>
              </w:rPr>
            </w:pPr>
            <w:r>
              <w:rPr>
                <w:noProof/>
              </w:rPr>
              <w:t>Ključna etapa/ciljna vrijednost</w:t>
            </w:r>
          </w:p>
        </w:tc>
        <w:tc>
          <w:tcPr>
            <w:tcW w:w="3402" w:type="dxa"/>
            <w:tcBorders>
              <w:top w:val="single" w:sz="8" w:space="0" w:color="auto"/>
              <w:left w:val="nil"/>
              <w:bottom w:val="single" w:sz="8" w:space="0" w:color="auto"/>
              <w:right w:val="single" w:sz="8" w:space="0" w:color="auto"/>
            </w:tcBorders>
            <w:shd w:val="clear" w:color="auto" w:fill="BDD7EE"/>
            <w:vAlign w:val="center"/>
            <w:hideMark/>
          </w:tcPr>
          <w:p w14:paraId="3A9A8EA3" w14:textId="77777777" w:rsidR="00615E2D" w:rsidRDefault="00C83E46">
            <w:pPr>
              <w:pStyle w:val="P68B1DB1-Normal55"/>
              <w:spacing w:before="0" w:after="0" w:line="240" w:lineRule="auto"/>
              <w:jc w:val="center"/>
              <w:rPr>
                <w:noProof/>
              </w:rPr>
            </w:pPr>
            <w:r>
              <w:rPr>
                <w:noProof/>
              </w:rPr>
              <w:t>Ime</w:t>
            </w:r>
          </w:p>
        </w:tc>
      </w:tr>
      <w:tr w:rsidR="00615E2D" w14:paraId="77997413" w14:textId="77777777">
        <w:trPr>
          <w:trHeight w:val="795"/>
        </w:trPr>
        <w:tc>
          <w:tcPr>
            <w:tcW w:w="1276" w:type="dxa"/>
            <w:tcBorders>
              <w:top w:val="nil"/>
              <w:left w:val="single" w:sz="8" w:space="0" w:color="auto"/>
              <w:bottom w:val="single" w:sz="4" w:space="0" w:color="auto"/>
              <w:right w:val="single" w:sz="8" w:space="0" w:color="000000" w:themeColor="text1"/>
            </w:tcBorders>
            <w:shd w:val="clear" w:color="auto" w:fill="C6EFCE"/>
            <w:vAlign w:val="center"/>
            <w:hideMark/>
          </w:tcPr>
          <w:p w14:paraId="2938E294" w14:textId="7770C85F" w:rsidR="00615E2D" w:rsidRDefault="00C83E46">
            <w:pPr>
              <w:pStyle w:val="P68B1DB1-Normal56"/>
              <w:spacing w:line="240" w:lineRule="auto"/>
              <w:jc w:val="center"/>
              <w:rPr>
                <w:noProof/>
              </w:rPr>
            </w:pPr>
            <w:r>
              <w:rPr>
                <w:noProof/>
              </w:rPr>
              <w:t>21</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6E390B89" w14:textId="7AB26B46" w:rsidR="00615E2D" w:rsidRDefault="00C83E46">
            <w:pPr>
              <w:pStyle w:val="P68B1DB1-Normal57"/>
              <w:spacing w:line="240" w:lineRule="auto"/>
              <w:jc w:val="center"/>
              <w:rPr>
                <w:noProof/>
              </w:rPr>
            </w:pPr>
            <w:r>
              <w:rPr>
                <w:noProof/>
              </w:rPr>
              <w:t>C 1.2.: Sustavi digitalne javne uprave – ulaganje 2: Razvoj temeljnih registara i objekata za e-upravu</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01273A5C" w14:textId="3060D3F2" w:rsidR="00615E2D" w:rsidRDefault="00C83E46">
            <w:pPr>
              <w:pStyle w:val="P68B1DB1-Normal57"/>
              <w:spacing w:line="240" w:lineRule="auto"/>
              <w:jc w:val="center"/>
              <w:rPr>
                <w:noProof/>
              </w:rPr>
            </w:pPr>
            <w:r>
              <w:rPr>
                <w:noProof/>
              </w:rPr>
              <w:t>Prekretnica</w:t>
            </w:r>
          </w:p>
        </w:tc>
        <w:tc>
          <w:tcPr>
            <w:tcW w:w="3402" w:type="dxa"/>
            <w:tcBorders>
              <w:top w:val="nil"/>
              <w:left w:val="nil"/>
              <w:bottom w:val="single" w:sz="4" w:space="0" w:color="auto"/>
              <w:right w:val="single" w:sz="8" w:space="0" w:color="auto"/>
            </w:tcBorders>
            <w:shd w:val="clear" w:color="auto" w:fill="C6EFCE"/>
            <w:vAlign w:val="center"/>
            <w:hideMark/>
          </w:tcPr>
          <w:p w14:paraId="344118C0" w14:textId="757445F1" w:rsidR="00615E2D" w:rsidRDefault="00C83E46">
            <w:pPr>
              <w:pStyle w:val="P68B1DB1-Normal56"/>
              <w:spacing w:line="240" w:lineRule="auto"/>
              <w:jc w:val="center"/>
              <w:rPr>
                <w:noProof/>
              </w:rPr>
            </w:pPr>
            <w:r>
              <w:rPr>
                <w:noProof/>
              </w:rPr>
              <w:t>Završetak navedenih projekata kojima se povećava kapacitet prijenosa središnje točke usluga te moderniziraju i optimiziraju komunikacijska i informacijska infrastruktura i informacijski sustavi</w:t>
            </w:r>
          </w:p>
        </w:tc>
      </w:tr>
      <w:tr w:rsidR="00615E2D" w14:paraId="4244AEC4" w14:textId="77777777">
        <w:trPr>
          <w:trHeight w:val="795"/>
        </w:trPr>
        <w:tc>
          <w:tcPr>
            <w:tcW w:w="1276" w:type="dxa"/>
            <w:tcBorders>
              <w:top w:val="nil"/>
              <w:left w:val="single" w:sz="8" w:space="0" w:color="auto"/>
              <w:bottom w:val="single" w:sz="4" w:space="0" w:color="auto"/>
              <w:right w:val="single" w:sz="8" w:space="0" w:color="000000" w:themeColor="text1"/>
            </w:tcBorders>
            <w:shd w:val="clear" w:color="auto" w:fill="C6EFCE"/>
            <w:vAlign w:val="center"/>
            <w:hideMark/>
          </w:tcPr>
          <w:p w14:paraId="0FA0FBC7" w14:textId="77777777" w:rsidR="00615E2D" w:rsidRDefault="00C83E46">
            <w:pPr>
              <w:pStyle w:val="P68B1DB1-Normal56"/>
              <w:spacing w:before="0" w:after="0" w:line="240" w:lineRule="auto"/>
              <w:jc w:val="center"/>
              <w:rPr>
                <w:noProof/>
              </w:rPr>
            </w:pPr>
            <w:r>
              <w:rPr>
                <w:noProof/>
              </w:rPr>
              <w:t>47</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2DE7CDA5" w14:textId="77777777" w:rsidR="00615E2D" w:rsidRDefault="00C83E46">
            <w:pPr>
              <w:pStyle w:val="P68B1DB1-Normal57"/>
              <w:spacing w:before="0" w:after="0" w:line="240" w:lineRule="auto"/>
              <w:jc w:val="center"/>
              <w:rPr>
                <w:noProof/>
              </w:rPr>
            </w:pPr>
            <w:r>
              <w:rPr>
                <w:noProof/>
              </w:rPr>
              <w:t>C 1.4.: Digitalno gospodarstvo i društvo, Inovativni početak i nova tehnologija – reforma 1.: Institucionalna reforma sustava koordinacije i potpore za digitalnu transformaciju gospodarstva (uključujući RIS 3)</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30C9104E"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4" w:space="0" w:color="auto"/>
              <w:right w:val="single" w:sz="8" w:space="0" w:color="auto"/>
            </w:tcBorders>
            <w:shd w:val="clear" w:color="auto" w:fill="C6EFCE"/>
            <w:vAlign w:val="center"/>
            <w:hideMark/>
          </w:tcPr>
          <w:p w14:paraId="2C834040" w14:textId="77777777" w:rsidR="00615E2D" w:rsidRDefault="00C83E46">
            <w:pPr>
              <w:pStyle w:val="P68B1DB1-Normal56"/>
              <w:spacing w:before="0" w:after="0" w:line="240" w:lineRule="auto"/>
              <w:jc w:val="center"/>
              <w:rPr>
                <w:noProof/>
              </w:rPr>
            </w:pPr>
            <w:r>
              <w:rPr>
                <w:noProof/>
              </w:rPr>
              <w:t>Provedba organizacijskih promjena radi reforme strukture javnih tijela koja nadziru digitalnu transformaciju gospodarstva</w:t>
            </w:r>
          </w:p>
        </w:tc>
      </w:tr>
      <w:tr w:rsidR="00615E2D" w14:paraId="4AF51886"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DB3EB72" w14:textId="33A79399" w:rsidR="00615E2D" w:rsidRDefault="00C83E46">
            <w:pPr>
              <w:pStyle w:val="P68B1DB1-Normal56"/>
              <w:spacing w:line="240" w:lineRule="auto"/>
              <w:jc w:val="center"/>
              <w:rPr>
                <w:noProof/>
              </w:rPr>
            </w:pPr>
            <w:r>
              <w:rPr>
                <w:noProof/>
              </w:rPr>
              <w:t>65</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AAE9FF1" w14:textId="429A108B" w:rsidR="00615E2D" w:rsidRDefault="00C83E46">
            <w:pPr>
              <w:pStyle w:val="P68B1DB1-Normal57"/>
              <w:spacing w:line="240" w:lineRule="auto"/>
              <w:jc w:val="center"/>
              <w:rPr>
                <w:noProof/>
              </w:rPr>
            </w:pPr>
            <w:r>
              <w:rPr>
                <w:noProof/>
              </w:rPr>
              <w:t xml:space="preserve">C 1.4.: Digitalno gospodarstvo i društvo, Inovativni početak i nova tehnologija – ulaganje 11: Digitalno regulatorno izolirano okruženje u skladu s prioritetima EU-a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05984A1" w14:textId="290C643D"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8469360" w14:textId="67752DC8" w:rsidR="00615E2D" w:rsidRDefault="00C83E46">
            <w:pPr>
              <w:pStyle w:val="P68B1DB1-Normal56"/>
              <w:spacing w:line="240" w:lineRule="auto"/>
              <w:jc w:val="center"/>
              <w:rPr>
                <w:noProof/>
              </w:rPr>
            </w:pPr>
            <w:r>
              <w:rPr>
                <w:noProof/>
              </w:rPr>
              <w:t xml:space="preserve">Sudionici u izoliranom okruženju koji primaju potporu iz izoliranog okruženja  </w:t>
            </w:r>
          </w:p>
        </w:tc>
      </w:tr>
      <w:tr w:rsidR="00615E2D" w14:paraId="76268C54"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10FC27A" w14:textId="440F86A8" w:rsidR="00615E2D" w:rsidRDefault="00C83E46">
            <w:pPr>
              <w:pStyle w:val="P68B1DB1-Normal56"/>
              <w:spacing w:line="240" w:lineRule="auto"/>
              <w:jc w:val="center"/>
              <w:rPr>
                <w:noProof/>
              </w:rPr>
            </w:pPr>
            <w:r>
              <w:rPr>
                <w:noProof/>
              </w:rPr>
              <w:t>197</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CCAE353" w14:textId="068BD408" w:rsidR="00615E2D" w:rsidRDefault="00C83E46">
            <w:pPr>
              <w:pStyle w:val="P68B1DB1-Normal57"/>
              <w:spacing w:line="240" w:lineRule="auto"/>
              <w:jc w:val="center"/>
              <w:rPr>
                <w:noProof/>
              </w:rPr>
            </w:pPr>
            <w:r>
              <w:rPr>
                <w:noProof/>
              </w:rPr>
              <w:t xml:space="preserve">C. 3.3: Modernizacija službi za zapošljavanje i razvoj tržišta rada – ulaganje 3: Razvoj i modernizacija infrastrukture socijalne skrbi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08188CB" w14:textId="5616EDAC"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9AAB9FB" w14:textId="73A42329" w:rsidR="00615E2D" w:rsidRDefault="00C83E46">
            <w:pPr>
              <w:pStyle w:val="P68B1DB1-Normal56"/>
              <w:spacing w:line="240" w:lineRule="auto"/>
              <w:jc w:val="center"/>
              <w:rPr>
                <w:noProof/>
              </w:rPr>
            </w:pPr>
            <w:r>
              <w:rPr>
                <w:noProof/>
              </w:rPr>
              <w:t>T2: Broj vozila s niskom razinom emisija kupljenih za usluge socijalne prevencije, savjetovanja i kućne njege</w:t>
            </w:r>
          </w:p>
        </w:tc>
      </w:tr>
      <w:tr w:rsidR="00615E2D" w14:paraId="53E4FA48"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E90917E" w14:textId="573710AB" w:rsidR="00615E2D" w:rsidRDefault="00C83E46">
            <w:pPr>
              <w:pStyle w:val="P68B1DB1-Normal56"/>
              <w:spacing w:line="240" w:lineRule="auto"/>
              <w:jc w:val="center"/>
              <w:rPr>
                <w:noProof/>
              </w:rPr>
            </w:pPr>
            <w:r>
              <w:rPr>
                <w:noProof/>
              </w:rPr>
              <w:t>206</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FEA85CE" w14:textId="07F85AED" w:rsidR="00615E2D" w:rsidRDefault="00C83E46">
            <w:pPr>
              <w:pStyle w:val="P68B1DB1-Normal57"/>
              <w:spacing w:line="240" w:lineRule="auto"/>
              <w:jc w:val="center"/>
              <w:rPr>
                <w:noProof/>
              </w:rPr>
            </w:pPr>
            <w:r>
              <w:rPr>
                <w:noProof/>
              </w:rPr>
              <w:t>C 4.3: Reforme borbe protiv korupcije – četvrta reforma: Reguliranje lobiranja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2030539" w14:textId="2F50E90F"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842F497" w14:textId="7B9C09D7" w:rsidR="00615E2D" w:rsidRDefault="00C83E46">
            <w:pPr>
              <w:pStyle w:val="P68B1DB1-Normal56"/>
              <w:spacing w:line="240" w:lineRule="auto"/>
              <w:jc w:val="center"/>
              <w:rPr>
                <w:noProof/>
              </w:rPr>
            </w:pPr>
            <w:r>
              <w:rPr>
                <w:noProof/>
              </w:rPr>
              <w:t>Stupanje na snagu zakona o lobiranju</w:t>
            </w:r>
          </w:p>
        </w:tc>
      </w:tr>
      <w:tr w:rsidR="00615E2D" w14:paraId="1940B133"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FF17509" w14:textId="77777777" w:rsidR="00615E2D" w:rsidRDefault="00C83E46">
            <w:pPr>
              <w:pStyle w:val="P68B1DB1-Normal56"/>
              <w:spacing w:before="0" w:after="0" w:line="240" w:lineRule="auto"/>
              <w:jc w:val="center"/>
              <w:rPr>
                <w:noProof/>
              </w:rPr>
            </w:pPr>
            <w:r>
              <w:rPr>
                <w:noProof/>
              </w:rPr>
              <w:t>237</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D23C052" w14:textId="77777777" w:rsidR="00615E2D" w:rsidRDefault="00C83E46">
            <w:pPr>
              <w:pStyle w:val="P68B1DB1-Normal57"/>
              <w:spacing w:before="0" w:after="0" w:line="240" w:lineRule="auto"/>
              <w:jc w:val="center"/>
              <w:rPr>
                <w:noProof/>
              </w:rPr>
            </w:pPr>
            <w:r>
              <w:rPr>
                <w:noProof/>
              </w:rPr>
              <w:t>C 6.2: Nacionalni plan za jačanje onkološke prevencije i skrbi – reforma 2: Podupiranje i poboljšanje kvalitete programa preventivnog probira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F95F2C3"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68F0F09" w14:textId="77777777" w:rsidR="00615E2D" w:rsidRDefault="00C83E46">
            <w:pPr>
              <w:pStyle w:val="P68B1DB1-Normal56"/>
              <w:spacing w:before="0" w:after="0" w:line="240" w:lineRule="auto"/>
              <w:jc w:val="center"/>
              <w:rPr>
                <w:noProof/>
              </w:rPr>
            </w:pPr>
            <w:r>
              <w:rPr>
                <w:noProof/>
              </w:rPr>
              <w:t xml:space="preserve">Imenovanje institucije odgovorne za koordinaciju programa onkološkog probira </w:t>
            </w:r>
          </w:p>
        </w:tc>
      </w:tr>
      <w:tr w:rsidR="00615E2D" w14:paraId="6DB9DCE9"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70CD965A" w14:textId="1C3D45AD" w:rsidR="00615E2D" w:rsidRDefault="00C83E46">
            <w:pPr>
              <w:pStyle w:val="P68B1DB1-Normal56"/>
              <w:spacing w:line="240" w:lineRule="auto"/>
              <w:jc w:val="center"/>
              <w:rPr>
                <w:noProof/>
              </w:rPr>
            </w:pPr>
            <w:r>
              <w:rPr>
                <w:noProof/>
              </w:rPr>
              <w:t>273</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7E91FF38" w14:textId="39EE93C5" w:rsidR="00615E2D" w:rsidRDefault="00C83E46">
            <w:pPr>
              <w:pStyle w:val="P68B1DB1-Normal57"/>
              <w:spacing w:line="240" w:lineRule="auto"/>
              <w:jc w:val="center"/>
              <w:rPr>
                <w:noProof/>
              </w:rPr>
            </w:pPr>
            <w:r>
              <w:rPr>
                <w:noProof/>
              </w:rPr>
              <w:t>C 3.3: Modernizacija službi za zapošljavanje i razvoj tržišta rada – ulaganje 3: Razvoj i modernizacija infrastrukture socijalne skrbi</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5E7CB820" w14:textId="684F10B8"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63BC7A04" w14:textId="02AE52C7" w:rsidR="00615E2D" w:rsidRDefault="00C83E46">
            <w:pPr>
              <w:pStyle w:val="P68B1DB1-Normal56"/>
              <w:spacing w:line="240" w:lineRule="auto"/>
              <w:jc w:val="center"/>
              <w:rPr>
                <w:noProof/>
              </w:rPr>
            </w:pPr>
            <w:r>
              <w:rPr>
                <w:noProof/>
              </w:rPr>
              <w:t xml:space="preserve">Izmjena Zakona o socijalnoj skrbi u vezi s inspekcijama i pritužbama  </w:t>
            </w:r>
          </w:p>
        </w:tc>
      </w:tr>
      <w:tr w:rsidR="00615E2D" w14:paraId="1C3E08C0"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58407B05" w14:textId="390F93DD" w:rsidR="00615E2D" w:rsidRDefault="00C83E46">
            <w:pPr>
              <w:pStyle w:val="P68B1DB1-Normal56"/>
              <w:spacing w:line="240" w:lineRule="auto"/>
              <w:jc w:val="center"/>
              <w:rPr>
                <w:noProof/>
              </w:rPr>
            </w:pPr>
            <w:r>
              <w:rPr>
                <w:noProof/>
              </w:rPr>
              <w:t>277</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76139271" w14:textId="13AF730F" w:rsidR="00615E2D" w:rsidRDefault="00C83E46">
            <w:pPr>
              <w:pStyle w:val="P68B1DB1-Normal57"/>
              <w:spacing w:line="240" w:lineRule="auto"/>
              <w:jc w:val="center"/>
              <w:rPr>
                <w:noProof/>
              </w:rPr>
            </w:pPr>
            <w:r>
              <w:rPr>
                <w:noProof/>
              </w:rPr>
              <w:t xml:space="preserve">C 3.3: Modernizacija službi za zapošljavanje i razvoj tržišta rada – ulaganje 4: Razvoj i modernizacija infrastrukture za socijalnu skrb o djeci  </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01D65C0E" w14:textId="58967BF6"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64896E89" w14:textId="65B91313" w:rsidR="00615E2D" w:rsidRDefault="00C83E46">
            <w:pPr>
              <w:pStyle w:val="P68B1DB1-Normal56"/>
              <w:spacing w:line="240" w:lineRule="auto"/>
              <w:jc w:val="center"/>
              <w:rPr>
                <w:noProof/>
              </w:rPr>
            </w:pPr>
            <w:r>
              <w:rPr>
                <w:noProof/>
              </w:rPr>
              <w:t>Stambeni prostor za rizičnu djecu stečenu – prva serija</w:t>
            </w:r>
          </w:p>
        </w:tc>
      </w:tr>
      <w:tr w:rsidR="00615E2D" w14:paraId="78076393"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76E70253" w14:textId="587A4740" w:rsidR="00615E2D" w:rsidRDefault="00C83E46">
            <w:pPr>
              <w:pStyle w:val="P68B1DB1-Normal56"/>
              <w:spacing w:line="240" w:lineRule="auto"/>
              <w:jc w:val="center"/>
              <w:rPr>
                <w:noProof/>
              </w:rPr>
            </w:pPr>
            <w:r>
              <w:rPr>
                <w:noProof/>
              </w:rPr>
              <w:t>298</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121FBA8F" w14:textId="642C1AEE" w:rsidR="00615E2D" w:rsidRDefault="00C83E46">
            <w:pPr>
              <w:pStyle w:val="P68B1DB1-Normal57"/>
              <w:spacing w:line="240" w:lineRule="auto"/>
              <w:jc w:val="center"/>
              <w:rPr>
                <w:noProof/>
              </w:rPr>
            </w:pPr>
            <w:r>
              <w:rPr>
                <w:noProof/>
              </w:rPr>
              <w:t>C 5.3.: Ekosustav istraživanja, razvoja i inovacija kojim se strateški upravlja i koji je konkurentan na međunarodnoj razini – reforma 1.:  Ekosustav istraživanja, razvoja i inovacija kojim se strateški upravlja i koji je konkurentan na međunarodnoj razini</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2961178F" w14:textId="7361E720"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6D1CD292" w14:textId="3D1EFEB0" w:rsidR="00615E2D" w:rsidRDefault="00C83E46">
            <w:pPr>
              <w:pStyle w:val="P68B1DB1-Normal56"/>
              <w:spacing w:line="240" w:lineRule="auto"/>
              <w:jc w:val="center"/>
              <w:rPr>
                <w:noProof/>
              </w:rPr>
            </w:pPr>
            <w:r>
              <w:rPr>
                <w:noProof/>
              </w:rPr>
              <w:t xml:space="preserve">Jačanje strateških obavještajnih kapaciteta, stvaranje programa izvrsnosti i donošenje metodoloških smjernica za pružatelje potpore  </w:t>
            </w:r>
          </w:p>
        </w:tc>
      </w:tr>
      <w:tr w:rsidR="00615E2D" w14:paraId="7F32EE8D"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1DDD7822" w14:textId="020EF8D6" w:rsidR="00615E2D" w:rsidRDefault="00C83E46">
            <w:pPr>
              <w:pStyle w:val="P68B1DB1-Normal56"/>
              <w:spacing w:line="240" w:lineRule="auto"/>
              <w:jc w:val="center"/>
              <w:rPr>
                <w:noProof/>
              </w:rPr>
            </w:pPr>
            <w:r>
              <w:rPr>
                <w:noProof/>
              </w:rPr>
              <w:t>306</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076D8AD6" w14:textId="32C533D7" w:rsidR="00615E2D" w:rsidRDefault="00C83E46">
            <w:pPr>
              <w:pStyle w:val="P68B1DB1-Normal57"/>
              <w:spacing w:line="240" w:lineRule="auto"/>
              <w:jc w:val="center"/>
              <w:rPr>
                <w:noProof/>
              </w:rPr>
            </w:pPr>
            <w:r>
              <w:rPr>
                <w:noProof/>
              </w:rPr>
              <w:t>C 7.1.:  Infrastruktura za obnovljivu energiju i električnu energiju (REPowerEU) – 3. reforma – potmjera 1.: Poboljšanje transparentnosti postupka priključenja na mrežu</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104E56FB" w14:textId="5F37D605"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40A6A2C2" w14:textId="00A8467D" w:rsidR="00615E2D" w:rsidRDefault="00C83E46">
            <w:pPr>
              <w:pStyle w:val="P68B1DB1-Normal56"/>
              <w:spacing w:line="240" w:lineRule="auto"/>
              <w:jc w:val="center"/>
              <w:rPr>
                <w:noProof/>
              </w:rPr>
            </w:pPr>
            <w:r>
              <w:rPr>
                <w:noProof/>
              </w:rPr>
              <w:t xml:space="preserve">Objava informacija o zahtjevima za priključenje na mrežu i kapacitetima  </w:t>
            </w:r>
          </w:p>
        </w:tc>
      </w:tr>
      <w:tr w:rsidR="00615E2D" w14:paraId="5E6751B3"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4BEFCE6D" w14:textId="305B2C95" w:rsidR="00615E2D" w:rsidRDefault="00C83E46">
            <w:pPr>
              <w:pStyle w:val="P68B1DB1-Normal56"/>
              <w:spacing w:line="240" w:lineRule="auto"/>
              <w:jc w:val="center"/>
              <w:rPr>
                <w:noProof/>
              </w:rPr>
            </w:pPr>
            <w:r>
              <w:rPr>
                <w:noProof/>
              </w:rPr>
              <w:t>313</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6616FF7D" w14:textId="5593C1A2" w:rsidR="00615E2D" w:rsidRDefault="00C83E46">
            <w:pPr>
              <w:pStyle w:val="P68B1DB1-Normal57"/>
              <w:spacing w:line="240" w:lineRule="auto"/>
              <w:jc w:val="center"/>
              <w:rPr>
                <w:noProof/>
              </w:rPr>
            </w:pPr>
            <w:r>
              <w:rPr>
                <w:noProof/>
              </w:rPr>
              <w:t>C 7.2 Potpora decentralizaciji i digitalizaciji energetskog sektora (REPOWER EU) – reforma 1.: Energetske zajednice.</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4630E5A0" w14:textId="6034361A"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5F9221C4" w14:textId="5C61BC96" w:rsidR="00615E2D" w:rsidRDefault="00C83E46">
            <w:pPr>
              <w:pStyle w:val="P68B1DB1-Normal56"/>
              <w:spacing w:line="240" w:lineRule="auto"/>
              <w:jc w:val="center"/>
              <w:rPr>
                <w:noProof/>
              </w:rPr>
            </w:pPr>
            <w:r>
              <w:rPr>
                <w:noProof/>
              </w:rPr>
              <w:t xml:space="preserve">Izvješće o napretku ulaganja u informatičku infrastrukturu  </w:t>
            </w:r>
          </w:p>
        </w:tc>
      </w:tr>
      <w:tr w:rsidR="00615E2D" w14:paraId="715DC546"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197559E5" w14:textId="24613357" w:rsidR="00615E2D" w:rsidRDefault="00C83E46">
            <w:pPr>
              <w:pStyle w:val="P68B1DB1-Normal56"/>
              <w:spacing w:line="240" w:lineRule="auto"/>
              <w:jc w:val="center"/>
              <w:rPr>
                <w:noProof/>
              </w:rPr>
            </w:pPr>
            <w:r>
              <w:rPr>
                <w:noProof/>
              </w:rPr>
              <w:t>317</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2F8C2911" w14:textId="79C587CC" w:rsidR="00615E2D" w:rsidRDefault="00C83E46">
            <w:pPr>
              <w:pStyle w:val="P68B1DB1-Normal57"/>
              <w:spacing w:line="240" w:lineRule="auto"/>
              <w:jc w:val="center"/>
              <w:rPr>
                <w:noProof/>
              </w:rPr>
            </w:pPr>
            <w:r>
              <w:rPr>
                <w:noProof/>
              </w:rPr>
              <w:t>C 7.2 Potpora decentralizaciji i digitalizaciji energetskog sektora (REPOWER EU) – 2. reforma:  Okvir za skladištenje energije i nefosilnu fleksibilnost</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56A393F2" w14:textId="6D2EAF43"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68C90006" w14:textId="3715AD5E" w:rsidR="00615E2D" w:rsidRDefault="00C83E46">
            <w:pPr>
              <w:pStyle w:val="P68B1DB1-Normal56"/>
              <w:spacing w:line="240" w:lineRule="auto"/>
              <w:jc w:val="center"/>
              <w:rPr>
                <w:noProof/>
              </w:rPr>
            </w:pPr>
            <w:r>
              <w:rPr>
                <w:noProof/>
              </w:rPr>
              <w:t>Objava akcijskog plana fleksibilnosti</w:t>
            </w:r>
          </w:p>
        </w:tc>
      </w:tr>
      <w:tr w:rsidR="00615E2D" w14:paraId="0AB78C0E"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12AA036C" w14:textId="100A22C0" w:rsidR="00615E2D" w:rsidRDefault="00C83E46">
            <w:pPr>
              <w:pStyle w:val="P68B1DB1-Normal56"/>
              <w:spacing w:line="240" w:lineRule="auto"/>
              <w:jc w:val="center"/>
              <w:rPr>
                <w:noProof/>
              </w:rPr>
            </w:pPr>
            <w:r>
              <w:rPr>
                <w:noProof/>
              </w:rPr>
              <w:t>320</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5CB975B1" w14:textId="571B4448" w:rsidR="00615E2D" w:rsidRDefault="00C83E46">
            <w:pPr>
              <w:pStyle w:val="P68B1DB1-Normal57"/>
              <w:spacing w:line="240" w:lineRule="auto"/>
              <w:jc w:val="center"/>
              <w:rPr>
                <w:noProof/>
              </w:rPr>
            </w:pPr>
            <w:r>
              <w:rPr>
                <w:noProof/>
              </w:rPr>
              <w:t xml:space="preserve">C 7.3.: Sveobuhvatna reforma savjeta vala obnove u Češkoj (REPOWER EU) – reforma 2.: Podaci, metodološke smjernice i osposobljavanja za savjetodavni sustav  </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4870A1FC" w14:textId="779AA6AD"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6341199B" w14:textId="597FD74E" w:rsidR="00615E2D" w:rsidRDefault="00C83E46">
            <w:pPr>
              <w:pStyle w:val="P68B1DB1-Normal56"/>
              <w:spacing w:line="240" w:lineRule="auto"/>
              <w:jc w:val="center"/>
              <w:rPr>
                <w:noProof/>
              </w:rPr>
            </w:pPr>
            <w:r>
              <w:rPr>
                <w:noProof/>
              </w:rPr>
              <w:t>Podaci, metodološke smjernice</w:t>
            </w:r>
          </w:p>
        </w:tc>
      </w:tr>
      <w:tr w:rsidR="00615E2D" w14:paraId="5A871188"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37110B09" w14:textId="5A18EEB8" w:rsidR="00615E2D" w:rsidRDefault="00C83E46">
            <w:pPr>
              <w:pStyle w:val="P68B1DB1-Normal56"/>
              <w:spacing w:line="240" w:lineRule="auto"/>
              <w:jc w:val="center"/>
              <w:rPr>
                <w:noProof/>
              </w:rPr>
            </w:pPr>
            <w:r>
              <w:rPr>
                <w:noProof/>
              </w:rPr>
              <w:t>321</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1A9EEC34" w14:textId="12613E96" w:rsidR="00615E2D" w:rsidRDefault="00C83E46">
            <w:pPr>
              <w:pStyle w:val="P68B1DB1-Normal57"/>
              <w:spacing w:line="240" w:lineRule="auto"/>
              <w:jc w:val="center"/>
              <w:rPr>
                <w:noProof/>
              </w:rPr>
            </w:pPr>
            <w:r>
              <w:rPr>
                <w:noProof/>
              </w:rPr>
              <w:t xml:space="preserve">C 7.3.: Sveobuhvatna reforma savjeta vala obnove u Češkoj (REPOWER EU) – reforma 2.: Podaci, metodološke smjernice i osposobljavanja za savjetodavni sustav  </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16C70D48" w14:textId="72FAA4ED"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3B729EE7" w14:textId="1A798DA0" w:rsidR="00615E2D" w:rsidRDefault="00C83E46">
            <w:pPr>
              <w:pStyle w:val="P68B1DB1-Normal56"/>
              <w:spacing w:line="240" w:lineRule="auto"/>
              <w:jc w:val="center"/>
              <w:rPr>
                <w:noProof/>
              </w:rPr>
            </w:pPr>
            <w:r>
              <w:rPr>
                <w:noProof/>
              </w:rPr>
              <w:t xml:space="preserve">Broj pruženih osposobljavanja  </w:t>
            </w:r>
          </w:p>
        </w:tc>
      </w:tr>
      <w:tr w:rsidR="00615E2D" w14:paraId="32183B63"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39A97656" w14:textId="734500E6" w:rsidR="00615E2D" w:rsidRDefault="00C83E46">
            <w:pPr>
              <w:pStyle w:val="P68B1DB1-Normal56"/>
              <w:spacing w:line="240" w:lineRule="auto"/>
              <w:jc w:val="center"/>
              <w:rPr>
                <w:noProof/>
              </w:rPr>
            </w:pPr>
            <w:r>
              <w:rPr>
                <w:noProof/>
              </w:rPr>
              <w:t>322</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6C9E9C88" w14:textId="30912292" w:rsidR="00615E2D" w:rsidRDefault="00C83E46">
            <w:pPr>
              <w:pStyle w:val="P68B1DB1-Normal57"/>
              <w:spacing w:line="240" w:lineRule="auto"/>
              <w:jc w:val="center"/>
              <w:rPr>
                <w:noProof/>
              </w:rPr>
            </w:pPr>
            <w:r>
              <w:rPr>
                <w:noProof/>
              </w:rPr>
              <w:t xml:space="preserve">C 7.3.: Sveobuhvatna reforma savjeta vala obnove u Češkoj (REPOWER EU) – ulaganja 1: Pružanje savjetodavnih usluga kućanstvima, poduzećima i javnom sektoru  </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72DE90C5" w14:textId="09FA68A6"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2D95B918" w14:textId="2E5657CA" w:rsidR="00615E2D" w:rsidRDefault="00C83E46">
            <w:pPr>
              <w:pStyle w:val="P68B1DB1-Normal56"/>
              <w:spacing w:line="240" w:lineRule="auto"/>
              <w:jc w:val="center"/>
              <w:rPr>
                <w:noProof/>
              </w:rPr>
            </w:pPr>
            <w:r>
              <w:rPr>
                <w:noProof/>
              </w:rPr>
              <w:t xml:space="preserve">Pružanje savjetodavnih usluga kućanstvima, poduzećima i javnom sektoru  </w:t>
            </w:r>
          </w:p>
        </w:tc>
      </w:tr>
      <w:tr w:rsidR="00615E2D" w14:paraId="28D7736A"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15D932CA" w14:textId="422AF3A2" w:rsidR="00615E2D" w:rsidRDefault="00C83E46">
            <w:pPr>
              <w:pStyle w:val="P68B1DB1-Normal56"/>
              <w:spacing w:line="240" w:lineRule="auto"/>
              <w:jc w:val="center"/>
              <w:rPr>
                <w:noProof/>
              </w:rPr>
            </w:pPr>
            <w:r>
              <w:rPr>
                <w:noProof/>
              </w:rPr>
              <w:t>324</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60B814C6" w14:textId="3A51F7BD" w:rsidR="00615E2D" w:rsidRDefault="00C83E46">
            <w:pPr>
              <w:pStyle w:val="P68B1DB1-Normal57"/>
              <w:spacing w:line="240" w:lineRule="auto"/>
              <w:jc w:val="center"/>
              <w:rPr>
                <w:noProof/>
              </w:rPr>
            </w:pPr>
            <w:r>
              <w:rPr>
                <w:noProof/>
              </w:rPr>
              <w:t xml:space="preserve">C 7.3.: Sveobuhvatna reforma savjeta vala obnove u Češkoj (REPOWER EU) – ulaganje 2: Podizanje svijesti  </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5FEC4618" w14:textId="576FEFCD"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7D33C834" w14:textId="60314F5F" w:rsidR="00615E2D" w:rsidRDefault="00C83E46">
            <w:pPr>
              <w:pStyle w:val="P68B1DB1-Normal56"/>
              <w:spacing w:line="240" w:lineRule="auto"/>
              <w:jc w:val="center"/>
              <w:rPr>
                <w:noProof/>
              </w:rPr>
            </w:pPr>
            <w:r>
              <w:rPr>
                <w:noProof/>
              </w:rPr>
              <w:t xml:space="preserve">Završetak kampanje podizanja svijesti na nacionalnoj razini  </w:t>
            </w:r>
          </w:p>
        </w:tc>
      </w:tr>
      <w:tr w:rsidR="00615E2D" w14:paraId="6A6699F2"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3CB70356" w14:textId="6963A4E9" w:rsidR="00615E2D" w:rsidRDefault="00C83E46">
            <w:pPr>
              <w:pStyle w:val="P68B1DB1-Normal56"/>
              <w:spacing w:line="240" w:lineRule="auto"/>
              <w:jc w:val="center"/>
              <w:rPr>
                <w:noProof/>
              </w:rPr>
            </w:pPr>
            <w:r>
              <w:rPr>
                <w:noProof/>
              </w:rPr>
              <w:t>328</w:t>
            </w: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751147B5" w14:textId="47FF26AA" w:rsidR="00615E2D" w:rsidRDefault="00C83E46">
            <w:pPr>
              <w:pStyle w:val="P68B1DB1-Normal57"/>
              <w:spacing w:line="240" w:lineRule="auto"/>
              <w:jc w:val="center"/>
              <w:rPr>
                <w:noProof/>
              </w:rPr>
            </w:pPr>
            <w:r>
              <w:rPr>
                <w:noProof/>
              </w:rPr>
              <w:t>C 7.4.: Prilagodba škola – Promicanje zelenih vještina i održivosti na sveučilištima (REPowerEU) – ulaganje 2: Uspostava strateškog partnerstva</w:t>
            </w: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39884FB0" w14:textId="1BD16276"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6691C0D7" w14:textId="334CA392" w:rsidR="00615E2D" w:rsidRDefault="00C83E46">
            <w:pPr>
              <w:pStyle w:val="P68B1DB1-Normal56"/>
              <w:spacing w:line="240" w:lineRule="auto"/>
              <w:jc w:val="center"/>
              <w:rPr>
                <w:noProof/>
              </w:rPr>
            </w:pPr>
            <w:r>
              <w:rPr>
                <w:noProof/>
              </w:rPr>
              <w:t xml:space="preserve">Uspostava strateških partnerstava na javnim sveučilištima  </w:t>
            </w:r>
          </w:p>
        </w:tc>
      </w:tr>
      <w:tr w:rsidR="00615E2D" w14:paraId="1658FB28" w14:textId="77777777">
        <w:trPr>
          <w:trHeight w:val="569"/>
        </w:trPr>
        <w:tc>
          <w:tcPr>
            <w:tcW w:w="1276" w:type="dxa"/>
            <w:tcBorders>
              <w:top w:val="single" w:sz="4" w:space="0" w:color="auto"/>
              <w:left w:val="single" w:sz="8" w:space="0" w:color="auto"/>
              <w:bottom w:val="single" w:sz="8" w:space="0" w:color="auto"/>
              <w:right w:val="single" w:sz="8" w:space="0" w:color="000000" w:themeColor="text1"/>
            </w:tcBorders>
            <w:shd w:val="clear" w:color="auto" w:fill="C6EFCE"/>
            <w:vAlign w:val="center"/>
          </w:tcPr>
          <w:p w14:paraId="61DABEB4" w14:textId="77777777" w:rsidR="00615E2D" w:rsidRDefault="00615E2D">
            <w:pPr>
              <w:spacing w:before="0" w:after="0" w:line="240" w:lineRule="auto"/>
              <w:jc w:val="center"/>
              <w:rPr>
                <w:rFonts w:eastAsia="Times New Roman"/>
                <w:noProof/>
                <w:color w:val="004300"/>
                <w:sz w:val="20"/>
              </w:rPr>
            </w:pPr>
          </w:p>
        </w:tc>
        <w:tc>
          <w:tcPr>
            <w:tcW w:w="3969" w:type="dxa"/>
            <w:tcBorders>
              <w:top w:val="single" w:sz="4" w:space="0" w:color="auto"/>
              <w:left w:val="nil"/>
              <w:bottom w:val="single" w:sz="8" w:space="0" w:color="auto"/>
              <w:right w:val="single" w:sz="8" w:space="0" w:color="000000" w:themeColor="text1"/>
            </w:tcBorders>
            <w:shd w:val="clear" w:color="auto" w:fill="C6EFCE"/>
            <w:vAlign w:val="center"/>
          </w:tcPr>
          <w:p w14:paraId="1FD2DCAE" w14:textId="77777777" w:rsidR="00615E2D" w:rsidRDefault="00615E2D">
            <w:pPr>
              <w:spacing w:before="0" w:after="0" w:line="240" w:lineRule="auto"/>
              <w:jc w:val="center"/>
              <w:rPr>
                <w:rFonts w:eastAsia="Times New Roman"/>
                <w:noProof/>
                <w:color w:val="006100"/>
                <w:sz w:val="20"/>
              </w:rPr>
            </w:pPr>
          </w:p>
        </w:tc>
        <w:tc>
          <w:tcPr>
            <w:tcW w:w="1843" w:type="dxa"/>
            <w:tcBorders>
              <w:top w:val="single" w:sz="4" w:space="0" w:color="auto"/>
              <w:left w:val="nil"/>
              <w:bottom w:val="single" w:sz="8" w:space="0" w:color="auto"/>
              <w:right w:val="single" w:sz="8" w:space="0" w:color="000000" w:themeColor="text1"/>
            </w:tcBorders>
            <w:shd w:val="clear" w:color="auto" w:fill="C6EFCE"/>
            <w:vAlign w:val="center"/>
          </w:tcPr>
          <w:p w14:paraId="7768B827" w14:textId="77777777" w:rsidR="00615E2D" w:rsidRDefault="00C83E46">
            <w:pPr>
              <w:pStyle w:val="P68B1DB1-Normal59"/>
              <w:spacing w:before="0" w:after="0" w:line="240" w:lineRule="auto"/>
              <w:jc w:val="center"/>
              <w:rPr>
                <w:noProof/>
              </w:rPr>
            </w:pPr>
            <w:r>
              <w:rPr>
                <w:noProof/>
              </w:rPr>
              <w:t>Iznos obroka</w:t>
            </w:r>
          </w:p>
        </w:tc>
        <w:tc>
          <w:tcPr>
            <w:tcW w:w="3402" w:type="dxa"/>
            <w:tcBorders>
              <w:top w:val="single" w:sz="4" w:space="0" w:color="auto"/>
              <w:left w:val="nil"/>
              <w:bottom w:val="single" w:sz="8" w:space="0" w:color="auto"/>
              <w:right w:val="single" w:sz="8" w:space="0" w:color="auto"/>
            </w:tcBorders>
            <w:shd w:val="clear" w:color="auto" w:fill="C6EFCE"/>
            <w:vAlign w:val="center"/>
          </w:tcPr>
          <w:p w14:paraId="076DB22C" w14:textId="1F3AEB96" w:rsidR="00615E2D" w:rsidRDefault="00C83E46">
            <w:pPr>
              <w:pStyle w:val="P68B1DB1-Normal60"/>
              <w:spacing w:before="0" w:after="0" w:line="240" w:lineRule="auto"/>
              <w:jc w:val="center"/>
              <w:rPr>
                <w:noProof/>
              </w:rPr>
            </w:pPr>
            <w:r>
              <w:rPr>
                <w:noProof/>
              </w:rPr>
              <w:t>444005144 EURA</w:t>
            </w:r>
          </w:p>
        </w:tc>
      </w:tr>
    </w:tbl>
    <w:p w14:paraId="6EA7F7B5" w14:textId="77777777" w:rsidR="00615E2D" w:rsidRDefault="00615E2D">
      <w:pPr>
        <w:spacing w:line="240" w:lineRule="auto"/>
        <w:ind w:left="850"/>
        <w:jc w:val="both"/>
        <w:rPr>
          <w:noProof/>
        </w:rPr>
      </w:pPr>
    </w:p>
    <w:p w14:paraId="3CD6D437" w14:textId="01A415BF" w:rsidR="00615E2D" w:rsidRDefault="00C83E46">
      <w:pPr>
        <w:numPr>
          <w:ilvl w:val="1"/>
          <w:numId w:val="198"/>
        </w:numPr>
        <w:spacing w:line="240" w:lineRule="auto"/>
        <w:jc w:val="both"/>
        <w:rPr>
          <w:noProof/>
        </w:rPr>
      </w:pPr>
      <w:r>
        <w:rPr>
          <w:noProof/>
        </w:rPr>
        <w:t xml:space="preserve">Osmi obrok (bespovratna potpora): </w:t>
      </w:r>
    </w:p>
    <w:tbl>
      <w:tblPr>
        <w:tblW w:w="10490" w:type="dxa"/>
        <w:tblInd w:w="-601" w:type="dxa"/>
        <w:tblLook w:val="04A0" w:firstRow="1" w:lastRow="0" w:firstColumn="1" w:lastColumn="0" w:noHBand="0" w:noVBand="1"/>
      </w:tblPr>
      <w:tblGrid>
        <w:gridCol w:w="1276"/>
        <w:gridCol w:w="3969"/>
        <w:gridCol w:w="1843"/>
        <w:gridCol w:w="3402"/>
      </w:tblGrid>
      <w:tr w:rsidR="00615E2D" w14:paraId="2F192F2E" w14:textId="77777777">
        <w:trPr>
          <w:trHeight w:val="825"/>
          <w:tblHeader/>
        </w:trPr>
        <w:tc>
          <w:tcPr>
            <w:tcW w:w="1276" w:type="dxa"/>
            <w:tcBorders>
              <w:top w:val="single" w:sz="8" w:space="0" w:color="auto"/>
              <w:left w:val="single" w:sz="8" w:space="0" w:color="auto"/>
              <w:bottom w:val="single" w:sz="8" w:space="0" w:color="auto"/>
              <w:right w:val="single" w:sz="8" w:space="0" w:color="auto"/>
            </w:tcBorders>
            <w:shd w:val="clear" w:color="auto" w:fill="BDD7EE"/>
            <w:vAlign w:val="center"/>
            <w:hideMark/>
          </w:tcPr>
          <w:p w14:paraId="1B39FDF3" w14:textId="77777777" w:rsidR="00615E2D" w:rsidRDefault="00C83E46">
            <w:pPr>
              <w:pStyle w:val="P68B1DB1-Normal55"/>
              <w:spacing w:before="0" w:after="0" w:line="240" w:lineRule="auto"/>
              <w:jc w:val="center"/>
              <w:rPr>
                <w:noProof/>
              </w:rPr>
            </w:pPr>
            <w:r>
              <w:rPr>
                <w:noProof/>
              </w:rPr>
              <w:t>Redni broj</w:t>
            </w:r>
          </w:p>
        </w:tc>
        <w:tc>
          <w:tcPr>
            <w:tcW w:w="3969" w:type="dxa"/>
            <w:tcBorders>
              <w:top w:val="single" w:sz="8" w:space="0" w:color="auto"/>
              <w:left w:val="nil"/>
              <w:bottom w:val="single" w:sz="8" w:space="0" w:color="auto"/>
              <w:right w:val="single" w:sz="8" w:space="0" w:color="auto"/>
            </w:tcBorders>
            <w:shd w:val="clear" w:color="auto" w:fill="BDD7EE"/>
            <w:vAlign w:val="center"/>
            <w:hideMark/>
          </w:tcPr>
          <w:p w14:paraId="1AD02208" w14:textId="77777777" w:rsidR="00615E2D" w:rsidRDefault="00C83E46">
            <w:pPr>
              <w:pStyle w:val="P68B1DB1-Normal55"/>
              <w:spacing w:before="0" w:after="0" w:line="240" w:lineRule="auto"/>
              <w:jc w:val="center"/>
              <w:rPr>
                <w:noProof/>
              </w:rPr>
            </w:pPr>
            <w:r>
              <w:rPr>
                <w:noProof/>
              </w:rPr>
              <w:t>Povezana mjera (reforma ili ulaganje)</w:t>
            </w:r>
          </w:p>
        </w:tc>
        <w:tc>
          <w:tcPr>
            <w:tcW w:w="1843" w:type="dxa"/>
            <w:tcBorders>
              <w:top w:val="single" w:sz="8" w:space="0" w:color="auto"/>
              <w:left w:val="nil"/>
              <w:bottom w:val="single" w:sz="8" w:space="0" w:color="auto"/>
              <w:right w:val="single" w:sz="8" w:space="0" w:color="auto"/>
            </w:tcBorders>
            <w:shd w:val="clear" w:color="auto" w:fill="BDD7EE"/>
            <w:vAlign w:val="center"/>
            <w:hideMark/>
          </w:tcPr>
          <w:p w14:paraId="3DB63CB6" w14:textId="77777777" w:rsidR="00615E2D" w:rsidRDefault="00C83E46">
            <w:pPr>
              <w:pStyle w:val="P68B1DB1-Normal55"/>
              <w:spacing w:before="0" w:after="0" w:line="240" w:lineRule="auto"/>
              <w:jc w:val="center"/>
              <w:rPr>
                <w:noProof/>
              </w:rPr>
            </w:pPr>
            <w:r>
              <w:rPr>
                <w:noProof/>
              </w:rPr>
              <w:t>Ključna etapa/ciljna vrijednost</w:t>
            </w:r>
          </w:p>
        </w:tc>
        <w:tc>
          <w:tcPr>
            <w:tcW w:w="3402" w:type="dxa"/>
            <w:tcBorders>
              <w:top w:val="single" w:sz="8" w:space="0" w:color="auto"/>
              <w:left w:val="nil"/>
              <w:bottom w:val="single" w:sz="8" w:space="0" w:color="auto"/>
              <w:right w:val="single" w:sz="8" w:space="0" w:color="auto"/>
            </w:tcBorders>
            <w:shd w:val="clear" w:color="auto" w:fill="BDD7EE"/>
            <w:vAlign w:val="center"/>
            <w:hideMark/>
          </w:tcPr>
          <w:p w14:paraId="1343E79D" w14:textId="77777777" w:rsidR="00615E2D" w:rsidRDefault="00C83E46">
            <w:pPr>
              <w:pStyle w:val="P68B1DB1-Normal55"/>
              <w:spacing w:before="0" w:after="0" w:line="240" w:lineRule="auto"/>
              <w:jc w:val="center"/>
              <w:rPr>
                <w:noProof/>
              </w:rPr>
            </w:pPr>
            <w:r>
              <w:rPr>
                <w:noProof/>
              </w:rPr>
              <w:t>Ime</w:t>
            </w:r>
          </w:p>
        </w:tc>
      </w:tr>
      <w:tr w:rsidR="00615E2D" w14:paraId="09514DDE" w14:textId="77777777">
        <w:trPr>
          <w:trHeight w:val="600"/>
        </w:trPr>
        <w:tc>
          <w:tcPr>
            <w:tcW w:w="1276" w:type="dxa"/>
            <w:tcBorders>
              <w:top w:val="nil"/>
              <w:left w:val="single" w:sz="8" w:space="0" w:color="000000" w:themeColor="text1"/>
              <w:bottom w:val="nil"/>
              <w:right w:val="single" w:sz="8" w:space="0" w:color="000000" w:themeColor="text1"/>
            </w:tcBorders>
            <w:shd w:val="clear" w:color="auto" w:fill="C6EFCE"/>
            <w:vAlign w:val="center"/>
            <w:hideMark/>
          </w:tcPr>
          <w:p w14:paraId="7433B393" w14:textId="77777777" w:rsidR="00615E2D" w:rsidRDefault="00C83E46">
            <w:pPr>
              <w:pStyle w:val="P68B1DB1-Normal57"/>
              <w:spacing w:before="0" w:after="0" w:line="240" w:lineRule="auto"/>
              <w:jc w:val="center"/>
              <w:rPr>
                <w:noProof/>
              </w:rPr>
            </w:pPr>
            <w:r>
              <w:rPr>
                <w:noProof/>
              </w:rPr>
              <w:t>147</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E7D139F" w14:textId="77777777" w:rsidR="00615E2D" w:rsidRDefault="00C83E46">
            <w:pPr>
              <w:pStyle w:val="P68B1DB1-Normal57"/>
              <w:spacing w:before="0" w:after="0" w:line="240" w:lineRule="auto"/>
              <w:jc w:val="center"/>
              <w:rPr>
                <w:noProof/>
              </w:rPr>
            </w:pPr>
            <w:r>
              <w:rPr>
                <w:noProof/>
              </w:rPr>
              <w:t>C 2.7.: Kružno gospodarstvo, recikliranje i industrijska voda – 2. reforma: Dovršetak i provedba kružne strategije za Češku 2040.</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F66B978"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nil"/>
              <w:right w:val="single" w:sz="8" w:space="0" w:color="000000" w:themeColor="text1"/>
            </w:tcBorders>
            <w:shd w:val="clear" w:color="auto" w:fill="C6EFCE"/>
            <w:vAlign w:val="center"/>
            <w:hideMark/>
          </w:tcPr>
          <w:p w14:paraId="42E5EA10" w14:textId="77777777" w:rsidR="00615E2D" w:rsidRDefault="00C83E46">
            <w:pPr>
              <w:pStyle w:val="P68B1DB1-Normal57"/>
              <w:spacing w:before="0" w:after="0" w:line="240" w:lineRule="auto"/>
              <w:jc w:val="center"/>
              <w:rPr>
                <w:noProof/>
              </w:rPr>
            </w:pPr>
            <w:r>
              <w:rPr>
                <w:noProof/>
              </w:rPr>
              <w:t>Dovršetak izvješća o praćenju u kojem se ocjenjuje stanje provedbe strategije za Češku 2040.</w:t>
            </w:r>
          </w:p>
        </w:tc>
      </w:tr>
      <w:tr w:rsidR="00615E2D" w14:paraId="496AFA5C" w14:textId="77777777">
        <w:trPr>
          <w:trHeight w:val="60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0F250043" w14:textId="77777777" w:rsidR="00615E2D" w:rsidRDefault="00C83E46">
            <w:pPr>
              <w:pStyle w:val="P68B1DB1-Normal56"/>
              <w:spacing w:before="0" w:after="0" w:line="240" w:lineRule="auto"/>
              <w:jc w:val="center"/>
              <w:rPr>
                <w:noProof/>
              </w:rPr>
            </w:pPr>
            <w:r>
              <w:rPr>
                <w:noProof/>
              </w:rPr>
              <w:t>169</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1987D02D" w14:textId="77777777" w:rsidR="00615E2D" w:rsidRDefault="00C83E46">
            <w:pPr>
              <w:pStyle w:val="P68B1DB1-Normal57"/>
              <w:spacing w:before="0" w:after="0" w:line="240" w:lineRule="auto"/>
              <w:jc w:val="center"/>
              <w:rPr>
                <w:noProof/>
              </w:rPr>
            </w:pPr>
            <w:r>
              <w:rPr>
                <w:noProof/>
              </w:rPr>
              <w:t>C 3.1: Inovacije u obrazovanju u kontekstu digitalizacije – reforma 1.: Reforma kurikuluma i jačanje obrazovanja u području IT-a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0A4A0CEB"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55DE3A2F" w14:textId="77777777" w:rsidR="00615E2D" w:rsidRDefault="00C83E46">
            <w:pPr>
              <w:pStyle w:val="P68B1DB1-Normal56"/>
              <w:spacing w:before="0" w:after="0" w:line="240" w:lineRule="auto"/>
              <w:jc w:val="center"/>
              <w:rPr>
                <w:noProof/>
              </w:rPr>
            </w:pPr>
            <w:r>
              <w:rPr>
                <w:noProof/>
              </w:rPr>
              <w:t>Provedba novih kurikuluma za jačanje digitalne pismenosti i računalnog razmišljanja u školama</w:t>
            </w:r>
          </w:p>
        </w:tc>
      </w:tr>
      <w:tr w:rsidR="00615E2D" w14:paraId="6E0CAD18" w14:textId="77777777">
        <w:trPr>
          <w:trHeight w:val="600"/>
        </w:trPr>
        <w:tc>
          <w:tcPr>
            <w:tcW w:w="1276"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D2FCC34" w14:textId="77777777" w:rsidR="00615E2D" w:rsidRDefault="00C83E46">
            <w:pPr>
              <w:pStyle w:val="P68B1DB1-Normal57"/>
              <w:spacing w:before="0" w:after="0" w:line="240" w:lineRule="auto"/>
              <w:jc w:val="center"/>
              <w:rPr>
                <w:noProof/>
              </w:rPr>
            </w:pPr>
            <w:r>
              <w:rPr>
                <w:noProof/>
              </w:rPr>
              <w:t>2</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DB9B710" w14:textId="77777777" w:rsidR="00615E2D" w:rsidRDefault="00C83E46">
            <w:pPr>
              <w:pStyle w:val="P68B1DB1-Normal57"/>
              <w:spacing w:before="0" w:after="0" w:line="240" w:lineRule="auto"/>
              <w:jc w:val="center"/>
              <w:rPr>
                <w:noProof/>
              </w:rPr>
            </w:pPr>
            <w:r>
              <w:rPr>
                <w:noProof/>
              </w:rPr>
              <w:t>C 1.1: Digitalne usluge za građane i poduzeća – reforma 1.: Uvjeti za upravljanje kvalitetnim skupom podataka i osiguravanje kontroliranog pristupa podacima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68B0C849"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000000" w:themeColor="text1"/>
              <w:right w:val="single" w:sz="8" w:space="0" w:color="000000" w:themeColor="text1"/>
            </w:tcBorders>
            <w:shd w:val="clear" w:color="auto" w:fill="C6EFCE"/>
            <w:vAlign w:val="center"/>
            <w:hideMark/>
          </w:tcPr>
          <w:p w14:paraId="610092CD" w14:textId="77777777" w:rsidR="00615E2D" w:rsidRDefault="00C83E46">
            <w:pPr>
              <w:pStyle w:val="P68B1DB1-Normal57"/>
              <w:spacing w:before="0" w:after="0" w:line="240" w:lineRule="auto"/>
              <w:jc w:val="center"/>
              <w:rPr>
                <w:noProof/>
              </w:rPr>
            </w:pPr>
            <w:r>
              <w:rPr>
                <w:noProof/>
              </w:rPr>
              <w:t>Uvođenje novih metodologija upravljanja podacima u javnu upravu</w:t>
            </w:r>
          </w:p>
        </w:tc>
      </w:tr>
      <w:tr w:rsidR="00615E2D" w14:paraId="5E8D0068" w14:textId="77777777">
        <w:trPr>
          <w:trHeight w:val="405"/>
        </w:trPr>
        <w:tc>
          <w:tcPr>
            <w:tcW w:w="1276" w:type="dxa"/>
            <w:tcBorders>
              <w:top w:val="nil"/>
              <w:left w:val="single" w:sz="8" w:space="0" w:color="000000" w:themeColor="text1"/>
              <w:bottom w:val="nil"/>
              <w:right w:val="single" w:sz="8" w:space="0" w:color="000000" w:themeColor="text1"/>
            </w:tcBorders>
            <w:shd w:val="clear" w:color="auto" w:fill="C6EFCE"/>
            <w:vAlign w:val="center"/>
            <w:hideMark/>
          </w:tcPr>
          <w:p w14:paraId="77595DC3" w14:textId="77777777" w:rsidR="00615E2D" w:rsidRDefault="00C83E46">
            <w:pPr>
              <w:pStyle w:val="P68B1DB1-Normal57"/>
              <w:spacing w:before="0" w:after="0" w:line="240" w:lineRule="auto"/>
              <w:jc w:val="center"/>
              <w:rPr>
                <w:noProof/>
              </w:rPr>
            </w:pPr>
            <w:r>
              <w:rPr>
                <w:noProof/>
              </w:rPr>
              <w:t>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3A6EFF58" w14:textId="77777777" w:rsidR="00615E2D" w:rsidRDefault="00C83E46">
            <w:pPr>
              <w:pStyle w:val="P68B1DB1-Normal57"/>
              <w:spacing w:before="0" w:after="0" w:line="240" w:lineRule="auto"/>
              <w:jc w:val="center"/>
              <w:rPr>
                <w:noProof/>
              </w:rPr>
            </w:pPr>
            <w:r>
              <w:rPr>
                <w:noProof/>
              </w:rPr>
              <w:t>C 1.1: Digitalne usluge za građane i poduzeća – 2. reforma: e-zdravstvo</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F46B666"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nil"/>
              <w:right w:val="single" w:sz="8" w:space="0" w:color="000000" w:themeColor="text1"/>
            </w:tcBorders>
            <w:shd w:val="clear" w:color="auto" w:fill="C6EFCE"/>
            <w:vAlign w:val="center"/>
            <w:hideMark/>
          </w:tcPr>
          <w:p w14:paraId="66D04251" w14:textId="77777777" w:rsidR="00615E2D" w:rsidRDefault="00C83E46">
            <w:pPr>
              <w:pStyle w:val="P68B1DB1-Normal57"/>
              <w:spacing w:before="0" w:after="0" w:line="240" w:lineRule="auto"/>
              <w:jc w:val="center"/>
              <w:rPr>
                <w:noProof/>
              </w:rPr>
            </w:pPr>
            <w:r>
              <w:rPr>
                <w:noProof/>
              </w:rPr>
              <w:t>Broj novih telemedicinskih usluga koje su uvedene i stavljene na raspolaganje pacijentima</w:t>
            </w:r>
          </w:p>
        </w:tc>
      </w:tr>
      <w:tr w:rsidR="00615E2D" w14:paraId="4066C88C" w14:textId="77777777">
        <w:trPr>
          <w:trHeight w:val="405"/>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62556D98" w14:textId="77777777" w:rsidR="00615E2D" w:rsidRDefault="00C83E46">
            <w:pPr>
              <w:pStyle w:val="P68B1DB1-Normal57"/>
              <w:spacing w:before="0" w:after="0" w:line="240" w:lineRule="auto"/>
              <w:jc w:val="center"/>
              <w:rPr>
                <w:noProof/>
              </w:rPr>
            </w:pPr>
            <w:r>
              <w:rPr>
                <w:noProof/>
              </w:rPr>
              <w:t>5</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025A5BEE" w14:textId="77777777" w:rsidR="00615E2D" w:rsidRDefault="00C83E46">
            <w:pPr>
              <w:pStyle w:val="P68B1DB1-Normal57"/>
              <w:spacing w:before="0" w:after="0" w:line="240" w:lineRule="auto"/>
              <w:jc w:val="center"/>
              <w:rPr>
                <w:noProof/>
              </w:rPr>
            </w:pPr>
            <w:r>
              <w:rPr>
                <w:noProof/>
              </w:rPr>
              <w:t>C 1.1: Digitalne usluge za građane i poduzeća – 2. reforma: e-zdravstvo</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5F8568AA"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1C0D2C3C" w14:textId="77777777" w:rsidR="00615E2D" w:rsidRDefault="00C83E46">
            <w:pPr>
              <w:pStyle w:val="P68B1DB1-Normal57"/>
              <w:spacing w:before="0" w:after="0" w:line="240" w:lineRule="auto"/>
              <w:jc w:val="center"/>
              <w:rPr>
                <w:noProof/>
              </w:rPr>
            </w:pPr>
            <w:r>
              <w:rPr>
                <w:noProof/>
              </w:rPr>
              <w:t xml:space="preserve"> Dovršetak projekata koji vode do provedbe novih digitalnih zdravstvenih usluga.</w:t>
            </w:r>
          </w:p>
        </w:tc>
      </w:tr>
      <w:tr w:rsidR="00615E2D" w14:paraId="60A4E8C1" w14:textId="77777777">
        <w:trPr>
          <w:trHeight w:val="990"/>
        </w:trPr>
        <w:tc>
          <w:tcPr>
            <w:tcW w:w="1276" w:type="dxa"/>
            <w:tcBorders>
              <w:top w:val="nil"/>
              <w:left w:val="single" w:sz="8" w:space="0" w:color="000000" w:themeColor="text1"/>
              <w:bottom w:val="nil"/>
              <w:right w:val="single" w:sz="8" w:space="0" w:color="000000" w:themeColor="text1"/>
            </w:tcBorders>
            <w:shd w:val="clear" w:color="auto" w:fill="C6EFCE"/>
            <w:vAlign w:val="center"/>
            <w:hideMark/>
          </w:tcPr>
          <w:p w14:paraId="42287907" w14:textId="77777777" w:rsidR="00615E2D" w:rsidRDefault="00C83E46">
            <w:pPr>
              <w:pStyle w:val="P68B1DB1-Normal57"/>
              <w:spacing w:before="0" w:after="0" w:line="240" w:lineRule="auto"/>
              <w:jc w:val="center"/>
              <w:rPr>
                <w:noProof/>
              </w:rPr>
            </w:pPr>
            <w:r>
              <w:rPr>
                <w:noProof/>
              </w:rPr>
              <w:t>6</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5B7D70A" w14:textId="77777777" w:rsidR="00615E2D" w:rsidRDefault="00C83E46">
            <w:pPr>
              <w:pStyle w:val="P68B1DB1-Normal57"/>
              <w:spacing w:before="0" w:after="0" w:line="240" w:lineRule="auto"/>
              <w:jc w:val="center"/>
              <w:rPr>
                <w:noProof/>
              </w:rPr>
            </w:pPr>
            <w:r>
              <w:rPr>
                <w:noProof/>
              </w:rPr>
              <w:t>C 1.1: Digitalne usluge za građane i poduzeća – 2. reforma: e-zdravstvo</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8C157C7"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4" w:space="0" w:color="000000" w:themeColor="text1"/>
              <w:right w:val="single" w:sz="8" w:space="0" w:color="000000" w:themeColor="text1"/>
            </w:tcBorders>
            <w:shd w:val="clear" w:color="auto" w:fill="C6EFCE"/>
            <w:vAlign w:val="center"/>
            <w:hideMark/>
          </w:tcPr>
          <w:p w14:paraId="4C512929" w14:textId="37A6C748" w:rsidR="00615E2D" w:rsidRDefault="00C83E46">
            <w:pPr>
              <w:pStyle w:val="P68B1DB1-Normal57"/>
              <w:spacing w:before="0" w:after="0" w:line="240" w:lineRule="auto"/>
              <w:jc w:val="center"/>
              <w:rPr>
                <w:noProof/>
              </w:rPr>
            </w:pPr>
            <w:r>
              <w:rPr>
                <w:noProof/>
              </w:rPr>
              <w:t>Povezivanje pružatelja zdravstvene zaštite sa sustavom interoperabilnosti u skladu s pravilima interoperabilnosti za usluge e-zdravstva</w:t>
            </w:r>
          </w:p>
        </w:tc>
      </w:tr>
      <w:tr w:rsidR="00615E2D" w14:paraId="65CC5CEE" w14:textId="77777777">
        <w:trPr>
          <w:trHeight w:val="795"/>
        </w:trPr>
        <w:tc>
          <w:tcPr>
            <w:tcW w:w="1276" w:type="dxa"/>
            <w:tcBorders>
              <w:top w:val="single" w:sz="8" w:space="0" w:color="auto"/>
              <w:left w:val="single" w:sz="8" w:space="0" w:color="auto"/>
              <w:bottom w:val="single" w:sz="4" w:space="0" w:color="auto"/>
              <w:right w:val="single" w:sz="8" w:space="0" w:color="000000" w:themeColor="text1"/>
            </w:tcBorders>
            <w:shd w:val="clear" w:color="auto" w:fill="C6EFCE"/>
            <w:vAlign w:val="center"/>
            <w:hideMark/>
          </w:tcPr>
          <w:p w14:paraId="31820C4E" w14:textId="77777777" w:rsidR="00615E2D" w:rsidRDefault="00C83E46">
            <w:pPr>
              <w:pStyle w:val="P68B1DB1-Normal56"/>
              <w:spacing w:before="0" w:after="0" w:line="240" w:lineRule="auto"/>
              <w:jc w:val="center"/>
              <w:rPr>
                <w:noProof/>
              </w:rPr>
            </w:pPr>
            <w:r>
              <w:rPr>
                <w:noProof/>
              </w:rPr>
              <w:t>19</w:t>
            </w:r>
          </w:p>
        </w:tc>
        <w:tc>
          <w:tcPr>
            <w:tcW w:w="3969" w:type="dxa"/>
            <w:tcBorders>
              <w:top w:val="single" w:sz="4" w:space="0" w:color="000000" w:themeColor="text1"/>
              <w:left w:val="nil"/>
              <w:bottom w:val="single" w:sz="4" w:space="0" w:color="auto"/>
              <w:right w:val="single" w:sz="8" w:space="0" w:color="000000" w:themeColor="text1"/>
            </w:tcBorders>
            <w:shd w:val="clear" w:color="auto" w:fill="C6EFCE"/>
            <w:vAlign w:val="center"/>
            <w:hideMark/>
          </w:tcPr>
          <w:p w14:paraId="651EDE28" w14:textId="77777777" w:rsidR="00615E2D" w:rsidRDefault="00C83E46">
            <w:pPr>
              <w:pStyle w:val="P68B1DB1-Normal57"/>
              <w:spacing w:before="0" w:after="0" w:line="240" w:lineRule="auto"/>
              <w:jc w:val="center"/>
              <w:rPr>
                <w:noProof/>
              </w:rPr>
            </w:pPr>
            <w:r>
              <w:rPr>
                <w:noProof/>
              </w:rPr>
              <w:t>C 1.2.: Sustavi digitalne javne uprave – ulaganja 1:</w:t>
            </w:r>
            <w:r>
              <w:rPr>
                <w:noProof/>
              </w:rPr>
              <w:br/>
              <w:t>Razvoj informacijskih sustava</w:t>
            </w:r>
          </w:p>
        </w:tc>
        <w:tc>
          <w:tcPr>
            <w:tcW w:w="1843" w:type="dxa"/>
            <w:tcBorders>
              <w:top w:val="single" w:sz="4" w:space="0" w:color="000000" w:themeColor="text1"/>
              <w:left w:val="nil"/>
              <w:bottom w:val="single" w:sz="4" w:space="0" w:color="auto"/>
              <w:right w:val="single" w:sz="8" w:space="0" w:color="000000" w:themeColor="text1"/>
            </w:tcBorders>
            <w:shd w:val="clear" w:color="auto" w:fill="C6EFCE"/>
            <w:vAlign w:val="center"/>
            <w:hideMark/>
          </w:tcPr>
          <w:p w14:paraId="6C3D8BDB"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102B3CE8" w14:textId="12E1F5C3" w:rsidR="00615E2D" w:rsidRDefault="00C83E46">
            <w:pPr>
              <w:pStyle w:val="P68B1DB1-Normal57"/>
              <w:spacing w:before="0" w:after="0" w:line="240" w:lineRule="auto"/>
              <w:jc w:val="center"/>
              <w:rPr>
                <w:noProof/>
              </w:rPr>
            </w:pPr>
            <w:r>
              <w:rPr>
                <w:noProof/>
              </w:rPr>
              <w:t>Uspješno funkcioniranje novih ili poboljšanih informacijskih sustava javne uprave (završetak projekata ugovorenih u okviru cilja 18)</w:t>
            </w:r>
          </w:p>
        </w:tc>
      </w:tr>
      <w:tr w:rsidR="00615E2D" w14:paraId="6193620F"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C160FB1" w14:textId="77777777" w:rsidR="00615E2D" w:rsidRDefault="00C83E46">
            <w:pPr>
              <w:pStyle w:val="P68B1DB1-Normal56"/>
              <w:spacing w:before="0" w:after="0" w:line="240" w:lineRule="auto"/>
              <w:jc w:val="center"/>
              <w:rPr>
                <w:noProof/>
              </w:rPr>
            </w:pPr>
            <w:r>
              <w:rPr>
                <w:noProof/>
              </w:rPr>
              <w:t>24</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564F575" w14:textId="77777777" w:rsidR="00615E2D" w:rsidRDefault="00C83E46">
            <w:pPr>
              <w:pStyle w:val="P68B1DB1-Normal57"/>
              <w:spacing w:before="0" w:after="0" w:line="240" w:lineRule="auto"/>
              <w:jc w:val="center"/>
              <w:rPr>
                <w:noProof/>
              </w:rPr>
            </w:pPr>
            <w:r>
              <w:rPr>
                <w:noProof/>
              </w:rPr>
              <w:t>C 1.2.: Sustavi digitalne javne uprave – ulaganja 3:</w:t>
            </w:r>
            <w:r>
              <w:rPr>
                <w:noProof/>
              </w:rPr>
              <w:br/>
              <w:t>Kibersigurnost</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D296298"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7B839F0" w14:textId="0F09928C" w:rsidR="00615E2D" w:rsidRDefault="00C83E46">
            <w:pPr>
              <w:pStyle w:val="P68B1DB1-Normal57"/>
              <w:spacing w:before="0" w:after="0" w:line="240" w:lineRule="auto"/>
              <w:jc w:val="center"/>
              <w:rPr>
                <w:noProof/>
              </w:rPr>
            </w:pPr>
            <w:r>
              <w:rPr>
                <w:noProof/>
              </w:rPr>
              <w:t xml:space="preserve">Broj informacijskih sustava čija je kibersigurnost ojačana u skladu sa Zakonom br. 181/2014 zb. o kibersigurnosti  </w:t>
            </w:r>
          </w:p>
        </w:tc>
      </w:tr>
      <w:tr w:rsidR="00615E2D" w14:paraId="17A72449" w14:textId="77777777">
        <w:trPr>
          <w:trHeight w:val="1185"/>
        </w:trPr>
        <w:tc>
          <w:tcPr>
            <w:tcW w:w="1276" w:type="dxa"/>
            <w:tcBorders>
              <w:top w:val="single" w:sz="4" w:space="0" w:color="auto"/>
              <w:left w:val="single" w:sz="8" w:space="0" w:color="auto"/>
              <w:bottom w:val="single" w:sz="4" w:space="0" w:color="auto"/>
              <w:right w:val="single" w:sz="8" w:space="0" w:color="000000" w:themeColor="text1"/>
            </w:tcBorders>
            <w:shd w:val="clear" w:color="auto" w:fill="C6EFCE"/>
            <w:vAlign w:val="center"/>
            <w:hideMark/>
          </w:tcPr>
          <w:p w14:paraId="6E25CA4A" w14:textId="77777777" w:rsidR="00615E2D" w:rsidRDefault="00C83E46">
            <w:pPr>
              <w:pStyle w:val="P68B1DB1-Normal56"/>
              <w:spacing w:before="0" w:after="0" w:line="240" w:lineRule="auto"/>
              <w:jc w:val="center"/>
              <w:rPr>
                <w:noProof/>
              </w:rPr>
            </w:pPr>
            <w:r>
              <w:rPr>
                <w:noProof/>
              </w:rPr>
              <w:t>26</w:t>
            </w:r>
          </w:p>
        </w:tc>
        <w:tc>
          <w:tcPr>
            <w:tcW w:w="3969" w:type="dxa"/>
            <w:tcBorders>
              <w:top w:val="single" w:sz="4" w:space="0" w:color="auto"/>
              <w:left w:val="nil"/>
              <w:bottom w:val="single" w:sz="4" w:space="0" w:color="auto"/>
              <w:right w:val="single" w:sz="8" w:space="0" w:color="000000" w:themeColor="text1"/>
            </w:tcBorders>
            <w:shd w:val="clear" w:color="auto" w:fill="C6EFCE"/>
            <w:vAlign w:val="center"/>
            <w:hideMark/>
          </w:tcPr>
          <w:p w14:paraId="3ACE67DA" w14:textId="0EE2E33B" w:rsidR="00615E2D" w:rsidRDefault="00C83E46">
            <w:pPr>
              <w:pStyle w:val="P68B1DB1-Normal57"/>
              <w:spacing w:before="0" w:after="0" w:line="240" w:lineRule="auto"/>
              <w:jc w:val="center"/>
              <w:rPr>
                <w:noProof/>
              </w:rPr>
            </w:pPr>
            <w:r>
              <w:rPr>
                <w:noProof/>
              </w:rPr>
              <w:t>C 1.2.: Sustavi digitalne javne uprave – reforme 1.:</w:t>
            </w:r>
            <w:r>
              <w:rPr>
                <w:noProof/>
              </w:rPr>
              <w:br/>
              <w:t>Centri kompetentnosti za potporu e-upravi, kibersigurnosti i e-zdravstvu</w:t>
            </w:r>
          </w:p>
        </w:tc>
        <w:tc>
          <w:tcPr>
            <w:tcW w:w="1843" w:type="dxa"/>
            <w:tcBorders>
              <w:top w:val="single" w:sz="4" w:space="0" w:color="auto"/>
              <w:left w:val="nil"/>
              <w:bottom w:val="single" w:sz="4" w:space="0" w:color="auto"/>
              <w:right w:val="single" w:sz="8" w:space="0" w:color="000000" w:themeColor="text1"/>
            </w:tcBorders>
            <w:shd w:val="clear" w:color="auto" w:fill="C6EFCE"/>
            <w:vAlign w:val="center"/>
            <w:hideMark/>
          </w:tcPr>
          <w:p w14:paraId="1B72F07D"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single" w:sz="4" w:space="0" w:color="auto"/>
              <w:right w:val="single" w:sz="8" w:space="0" w:color="000000" w:themeColor="text1"/>
            </w:tcBorders>
            <w:shd w:val="clear" w:color="auto" w:fill="C6EFCE"/>
            <w:vAlign w:val="center"/>
            <w:hideMark/>
          </w:tcPr>
          <w:p w14:paraId="23809A2B" w14:textId="1759BAD6" w:rsidR="00615E2D" w:rsidRDefault="00C83E46">
            <w:pPr>
              <w:pStyle w:val="P68B1DB1-Normal57"/>
              <w:spacing w:before="0" w:after="0" w:line="240" w:lineRule="auto"/>
              <w:jc w:val="center"/>
              <w:rPr>
                <w:noProof/>
              </w:rPr>
            </w:pPr>
            <w:r>
              <w:rPr>
                <w:noProof/>
              </w:rPr>
              <w:t>Savjetovanja i pomoć pružena u vezi s temama povezanima s mjerama u okviru sastavnica 1.1. i 1.2. u opsegu od najmanje pet radnih dana, koji se pružaju određenim tijelima javne uprave</w:t>
            </w:r>
          </w:p>
        </w:tc>
      </w:tr>
      <w:tr w:rsidR="00615E2D" w14:paraId="4DC12AFB" w14:textId="77777777">
        <w:trPr>
          <w:trHeight w:val="99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227D4FF" w14:textId="77777777" w:rsidR="00615E2D" w:rsidRDefault="00C83E46">
            <w:pPr>
              <w:pStyle w:val="P68B1DB1-Normal56"/>
              <w:spacing w:before="0" w:after="0" w:line="240" w:lineRule="auto"/>
              <w:jc w:val="center"/>
              <w:rPr>
                <w:noProof/>
              </w:rPr>
            </w:pPr>
            <w:r>
              <w:rPr>
                <w:noProof/>
              </w:rPr>
              <w:t>28</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D22F142" w14:textId="77777777" w:rsidR="00615E2D" w:rsidRDefault="00C83E46">
            <w:pPr>
              <w:pStyle w:val="P68B1DB1-Normal57"/>
              <w:spacing w:before="0" w:after="0" w:line="240" w:lineRule="auto"/>
              <w:jc w:val="center"/>
              <w:rPr>
                <w:noProof/>
              </w:rPr>
            </w:pPr>
            <w:r>
              <w:rPr>
                <w:noProof/>
              </w:rPr>
              <w:t>C 1.2.: Sustavi digitalne javne uprave – 2. reforma:</w:t>
            </w:r>
            <w:r>
              <w:rPr>
                <w:noProof/>
              </w:rPr>
              <w:br/>
              <w:t>Razvoj sustava kojima se podupire e-zdravstvo</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08E5AC7"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03D610F" w14:textId="77777777" w:rsidR="00615E2D" w:rsidRDefault="00C83E46">
            <w:pPr>
              <w:pStyle w:val="P68B1DB1-Normal57"/>
              <w:spacing w:before="0" w:after="0" w:line="240" w:lineRule="auto"/>
              <w:jc w:val="center"/>
              <w:rPr>
                <w:noProof/>
              </w:rPr>
            </w:pPr>
            <w:r>
              <w:rPr>
                <w:noProof/>
              </w:rPr>
              <w:t>Završetak projekata za konsolidaciju i razvoj infrastrukture za elektroničku zdravstvenu skrb kako bi se stvorile međusobno povezane baze podataka i poboljšale digitalne zdravstvene usluge</w:t>
            </w:r>
          </w:p>
        </w:tc>
      </w:tr>
      <w:tr w:rsidR="00615E2D" w14:paraId="47620643" w14:textId="77777777">
        <w:trPr>
          <w:trHeight w:val="600"/>
        </w:trPr>
        <w:tc>
          <w:tcPr>
            <w:tcW w:w="127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069AB14F" w14:textId="77777777" w:rsidR="00615E2D" w:rsidRDefault="00C83E46">
            <w:pPr>
              <w:pStyle w:val="P68B1DB1-Normal56"/>
              <w:spacing w:before="0" w:after="0" w:line="240" w:lineRule="auto"/>
              <w:jc w:val="center"/>
              <w:rPr>
                <w:noProof/>
              </w:rPr>
            </w:pPr>
            <w:r>
              <w:rPr>
                <w:noProof/>
              </w:rPr>
              <w:t>33</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7790E88E" w14:textId="35E3662B" w:rsidR="00615E2D" w:rsidRDefault="00C83E46">
            <w:pPr>
              <w:pStyle w:val="P68B1DB1-Normal57"/>
              <w:spacing w:before="0" w:after="0" w:line="240" w:lineRule="auto"/>
              <w:jc w:val="center"/>
              <w:rPr>
                <w:noProof/>
              </w:rPr>
            </w:pPr>
            <w:r>
              <w:rPr>
                <w:noProof/>
              </w:rPr>
              <w:t>C 1.3.: Digitalne mreže visokog kapaciteta – reforma 1.: Poboljšanje okruženja za uvođenje elektroničkih komunikacijskih mreža </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0D368D05"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00CCAEFE" w14:textId="77777777" w:rsidR="00615E2D" w:rsidRDefault="00C83E46">
            <w:pPr>
              <w:pStyle w:val="P68B1DB1-Normal56"/>
              <w:spacing w:before="0" w:after="0" w:line="240" w:lineRule="auto"/>
              <w:jc w:val="center"/>
              <w:rPr>
                <w:noProof/>
              </w:rPr>
            </w:pPr>
            <w:r>
              <w:rPr>
                <w:noProof/>
              </w:rPr>
              <w:t xml:space="preserve">Dovršetak objekata digitalnih tehničkih karata (DTM) za osnovnu prostornu situaciju </w:t>
            </w:r>
          </w:p>
        </w:tc>
      </w:tr>
      <w:tr w:rsidR="00615E2D" w14:paraId="1A4AC028" w14:textId="77777777">
        <w:trPr>
          <w:trHeight w:val="600"/>
        </w:trPr>
        <w:tc>
          <w:tcPr>
            <w:tcW w:w="1276" w:type="dxa"/>
            <w:tcBorders>
              <w:top w:val="nil"/>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69716D4" w14:textId="77777777" w:rsidR="00615E2D" w:rsidRDefault="00C83E46">
            <w:pPr>
              <w:pStyle w:val="P68B1DB1-Normal56"/>
              <w:spacing w:before="0" w:after="0" w:line="240" w:lineRule="auto"/>
              <w:jc w:val="center"/>
              <w:rPr>
                <w:noProof/>
              </w:rPr>
            </w:pPr>
            <w:r>
              <w:rPr>
                <w:noProof/>
              </w:rPr>
              <w:t>34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3D5383D4" w14:textId="6FD3560C" w:rsidR="00615E2D" w:rsidRDefault="00C83E46">
            <w:pPr>
              <w:pStyle w:val="P68B1DB1-Normal57"/>
              <w:spacing w:before="0" w:after="0" w:line="240" w:lineRule="auto"/>
              <w:jc w:val="center"/>
              <w:rPr>
                <w:noProof/>
              </w:rPr>
            </w:pPr>
            <w:r>
              <w:rPr>
                <w:noProof/>
              </w:rPr>
              <w:t>C 1.3.: Digitalne mreže visokog kapaciteta – reforma 1.: Poboljšanje okruženja za uvođenje elektroničkih komunikacijskih mreža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7F53A6D"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000000" w:themeColor="text1"/>
              <w:right w:val="single" w:sz="8" w:space="0" w:color="000000" w:themeColor="text1"/>
            </w:tcBorders>
            <w:shd w:val="clear" w:color="auto" w:fill="C6EFCE"/>
            <w:vAlign w:val="center"/>
            <w:hideMark/>
          </w:tcPr>
          <w:p w14:paraId="25CF3C58" w14:textId="77777777" w:rsidR="00615E2D" w:rsidRDefault="00C83E46">
            <w:pPr>
              <w:pStyle w:val="P68B1DB1-Normal56"/>
              <w:spacing w:before="0" w:after="0" w:line="240" w:lineRule="auto"/>
              <w:jc w:val="center"/>
              <w:rPr>
                <w:noProof/>
              </w:rPr>
            </w:pPr>
            <w:r>
              <w:rPr>
                <w:noProof/>
              </w:rPr>
              <w:t>Dovršetak digitalnih tehničkih karata (DTM) objekata za prometne mreže i mreže tehničke infrastrukture</w:t>
            </w:r>
          </w:p>
        </w:tc>
      </w:tr>
      <w:tr w:rsidR="00615E2D" w14:paraId="4FE861AE" w14:textId="77777777">
        <w:trPr>
          <w:trHeight w:val="600"/>
        </w:trPr>
        <w:tc>
          <w:tcPr>
            <w:tcW w:w="1276" w:type="dxa"/>
            <w:tcBorders>
              <w:top w:val="single" w:sz="4" w:space="0" w:color="000000" w:themeColor="text1"/>
              <w:left w:val="single" w:sz="8" w:space="0" w:color="000000" w:themeColor="text1"/>
              <w:bottom w:val="nil"/>
              <w:right w:val="single" w:sz="8" w:space="0" w:color="000000" w:themeColor="text1"/>
            </w:tcBorders>
            <w:shd w:val="clear" w:color="auto" w:fill="C6EFCE"/>
            <w:vAlign w:val="center"/>
            <w:hideMark/>
          </w:tcPr>
          <w:p w14:paraId="40BA7D3F" w14:textId="77777777" w:rsidR="00615E2D" w:rsidRDefault="00C83E46">
            <w:pPr>
              <w:pStyle w:val="P68B1DB1-Normal56"/>
              <w:spacing w:before="0" w:after="0" w:line="240" w:lineRule="auto"/>
              <w:jc w:val="center"/>
              <w:rPr>
                <w:noProof/>
              </w:rPr>
            </w:pPr>
            <w:r>
              <w:rPr>
                <w:noProof/>
              </w:rPr>
              <w:t>35</w:t>
            </w:r>
          </w:p>
        </w:tc>
        <w:tc>
          <w:tcPr>
            <w:tcW w:w="396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4D63B500" w14:textId="19990B63" w:rsidR="00615E2D" w:rsidRDefault="00C83E46">
            <w:pPr>
              <w:pStyle w:val="P68B1DB1-Normal57"/>
              <w:spacing w:before="0" w:after="0" w:line="240" w:lineRule="auto"/>
              <w:jc w:val="center"/>
              <w:rPr>
                <w:noProof/>
              </w:rPr>
            </w:pPr>
            <w:r>
              <w:rPr>
                <w:noProof/>
              </w:rPr>
              <w:t>C 1.3.: Digitalne mreže visokog kapaciteta – reforma 1.: Poboljšanje okruženja za uvođenje elektroničkih komunikacijskih mreža</w:t>
            </w:r>
          </w:p>
        </w:tc>
        <w:tc>
          <w:tcPr>
            <w:tcW w:w="1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0523960C"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000000" w:themeColor="text1"/>
              <w:left w:val="nil"/>
              <w:bottom w:val="nil"/>
              <w:right w:val="single" w:sz="8" w:space="0" w:color="000000" w:themeColor="text1"/>
            </w:tcBorders>
            <w:shd w:val="clear" w:color="auto" w:fill="C6EFCE"/>
            <w:vAlign w:val="center"/>
            <w:hideMark/>
          </w:tcPr>
          <w:p w14:paraId="4140040E" w14:textId="77777777" w:rsidR="00615E2D" w:rsidRDefault="00C83E46">
            <w:pPr>
              <w:pStyle w:val="P68B1DB1-Normal56"/>
              <w:spacing w:before="0" w:after="0" w:line="240" w:lineRule="auto"/>
              <w:jc w:val="center"/>
              <w:rPr>
                <w:noProof/>
              </w:rPr>
            </w:pPr>
            <w:r>
              <w:rPr>
                <w:noProof/>
              </w:rPr>
              <w:t>Završetak mjerenja kvalitete elektroničke komunikacije </w:t>
            </w:r>
          </w:p>
        </w:tc>
      </w:tr>
      <w:tr w:rsidR="00615E2D" w14:paraId="593EBEB5" w14:textId="77777777">
        <w:trPr>
          <w:trHeight w:val="405"/>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20F82CD3" w14:textId="77777777" w:rsidR="00615E2D" w:rsidRDefault="00C83E46">
            <w:pPr>
              <w:pStyle w:val="P68B1DB1-Normal56"/>
              <w:spacing w:before="0" w:after="0" w:line="240" w:lineRule="auto"/>
              <w:jc w:val="center"/>
              <w:rPr>
                <w:noProof/>
              </w:rPr>
            </w:pPr>
            <w:r>
              <w:rPr>
                <w:noProof/>
              </w:rPr>
              <w:t>37</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6BDC619B" w14:textId="1F56A6B7" w:rsidR="00615E2D" w:rsidRDefault="00C83E46">
            <w:pPr>
              <w:pStyle w:val="P68B1DB1-Normal57"/>
              <w:spacing w:before="0" w:after="0" w:line="240" w:lineRule="auto"/>
              <w:jc w:val="center"/>
              <w:rPr>
                <w:noProof/>
              </w:rPr>
            </w:pPr>
            <w:r>
              <w:rPr>
                <w:noProof/>
              </w:rPr>
              <w:t>C 1.3.: Digitalne mreže visokog kapaciteta – reforma 2.: Potpora razvoju 5G ekosustava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0099780A"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1A9ECD82" w14:textId="77777777" w:rsidR="00615E2D" w:rsidRDefault="00C83E46">
            <w:pPr>
              <w:pStyle w:val="P68B1DB1-Normal56"/>
              <w:spacing w:before="0" w:after="0" w:line="240" w:lineRule="auto"/>
              <w:jc w:val="center"/>
              <w:rPr>
                <w:noProof/>
              </w:rPr>
            </w:pPr>
            <w:r>
              <w:rPr>
                <w:noProof/>
              </w:rPr>
              <w:t>Ministarstvo industrije i trgovine objavi smjernice o uvođenju 5G mreža </w:t>
            </w:r>
          </w:p>
        </w:tc>
      </w:tr>
      <w:tr w:rsidR="00615E2D" w14:paraId="7E733A6C" w14:textId="77777777">
        <w:trPr>
          <w:trHeight w:val="600"/>
        </w:trPr>
        <w:tc>
          <w:tcPr>
            <w:tcW w:w="1276" w:type="dxa"/>
            <w:tcBorders>
              <w:top w:val="nil"/>
              <w:left w:val="single" w:sz="8" w:space="0" w:color="000000" w:themeColor="text1"/>
              <w:bottom w:val="single" w:sz="4" w:space="0" w:color="auto"/>
              <w:right w:val="single" w:sz="8" w:space="0" w:color="000000" w:themeColor="text1"/>
            </w:tcBorders>
            <w:shd w:val="clear" w:color="auto" w:fill="C6EFCE"/>
            <w:vAlign w:val="center"/>
            <w:hideMark/>
          </w:tcPr>
          <w:p w14:paraId="623BA210" w14:textId="77777777" w:rsidR="00615E2D" w:rsidRDefault="00C83E46">
            <w:pPr>
              <w:pStyle w:val="P68B1DB1-Normal56"/>
              <w:spacing w:before="0" w:after="0" w:line="240" w:lineRule="auto"/>
              <w:jc w:val="center"/>
              <w:rPr>
                <w:noProof/>
              </w:rPr>
            </w:pPr>
            <w:r>
              <w:rPr>
                <w:noProof/>
              </w:rPr>
              <w:t>41</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24C533BB" w14:textId="5BEF366C" w:rsidR="00615E2D" w:rsidRDefault="00C83E46">
            <w:pPr>
              <w:pStyle w:val="P68B1DB1-Normal57"/>
              <w:spacing w:before="0" w:after="0" w:line="240" w:lineRule="auto"/>
              <w:jc w:val="center"/>
              <w:rPr>
                <w:noProof/>
              </w:rPr>
            </w:pPr>
            <w:r>
              <w:rPr>
                <w:noProof/>
              </w:rPr>
              <w:t>C 1.3.: Digitalne mreže visokog kapaciteta – ulaganja 2: Obuhvaćanje 5G koridora i promicanje razvoja mreže 5G </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3C5E4056"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4" w:space="0" w:color="auto"/>
              <w:right w:val="single" w:sz="8" w:space="0" w:color="000000" w:themeColor="text1"/>
            </w:tcBorders>
            <w:shd w:val="clear" w:color="auto" w:fill="C6EFCE"/>
            <w:vAlign w:val="center"/>
            <w:hideMark/>
          </w:tcPr>
          <w:p w14:paraId="06D6EDF3" w14:textId="3A172CB1" w:rsidR="00615E2D" w:rsidRDefault="00C83E46">
            <w:pPr>
              <w:pStyle w:val="P68B1DB1-Normal56"/>
              <w:spacing w:before="0" w:after="0" w:line="240" w:lineRule="auto"/>
              <w:jc w:val="center"/>
              <w:rPr>
                <w:noProof/>
              </w:rPr>
            </w:pPr>
            <w:r>
              <w:rPr>
                <w:noProof/>
              </w:rPr>
              <w:t>Dovršetak osiguravanja pokrivenosti mobilnim signalom željezničkih vagona</w:t>
            </w:r>
          </w:p>
        </w:tc>
      </w:tr>
      <w:tr w:rsidR="00615E2D" w14:paraId="2148804D"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5953573" w14:textId="77777777" w:rsidR="00615E2D" w:rsidRDefault="00C83E46">
            <w:pPr>
              <w:pStyle w:val="P68B1DB1-Normal56"/>
              <w:spacing w:before="0" w:after="0" w:line="240" w:lineRule="auto"/>
              <w:jc w:val="center"/>
              <w:rPr>
                <w:noProof/>
              </w:rPr>
            </w:pPr>
            <w:r>
              <w:rPr>
                <w:noProof/>
              </w:rPr>
              <w:t>42</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8304C20" w14:textId="0307BFBB" w:rsidR="00615E2D" w:rsidRDefault="00C83E46">
            <w:pPr>
              <w:pStyle w:val="P68B1DB1-Normal57"/>
              <w:spacing w:before="0" w:after="0" w:line="240" w:lineRule="auto"/>
              <w:jc w:val="center"/>
              <w:rPr>
                <w:noProof/>
              </w:rPr>
            </w:pPr>
            <w:r>
              <w:rPr>
                <w:noProof/>
              </w:rPr>
              <w:t>C 1.3.: Digitalne mreže visokog kapaciteta – ulaganja 2: Obuhvaćanje 5G koridora i promicanje razvoja mreže 5G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FE54F2E"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B1B4C3C" w14:textId="77777777" w:rsidR="00615E2D" w:rsidRDefault="00C83E46">
            <w:pPr>
              <w:pStyle w:val="P68B1DB1-Normal56"/>
              <w:spacing w:before="0" w:after="0" w:line="240" w:lineRule="auto"/>
              <w:jc w:val="center"/>
              <w:rPr>
                <w:noProof/>
              </w:rPr>
            </w:pPr>
            <w:r>
              <w:rPr>
                <w:noProof/>
              </w:rPr>
              <w:t>Ugradnja i ispitivanje uvođenja inteligentnog prometnog sustava (C-ITS). </w:t>
            </w:r>
          </w:p>
        </w:tc>
      </w:tr>
      <w:tr w:rsidR="00615E2D" w14:paraId="0633B5E1" w14:textId="77777777">
        <w:trPr>
          <w:trHeight w:val="600"/>
        </w:trPr>
        <w:tc>
          <w:tcPr>
            <w:tcW w:w="1276" w:type="dxa"/>
            <w:tcBorders>
              <w:top w:val="single" w:sz="4" w:space="0" w:color="auto"/>
              <w:left w:val="single" w:sz="8" w:space="0" w:color="auto"/>
              <w:bottom w:val="single" w:sz="8" w:space="0" w:color="auto"/>
              <w:right w:val="single" w:sz="8" w:space="0" w:color="auto"/>
            </w:tcBorders>
            <w:shd w:val="clear" w:color="auto" w:fill="C6EFCE"/>
            <w:vAlign w:val="center"/>
            <w:hideMark/>
          </w:tcPr>
          <w:p w14:paraId="756ED007" w14:textId="77777777" w:rsidR="00615E2D" w:rsidRDefault="00C83E46">
            <w:pPr>
              <w:pStyle w:val="P68B1DB1-Normal56"/>
              <w:spacing w:before="0" w:after="0" w:line="240" w:lineRule="auto"/>
              <w:jc w:val="center"/>
              <w:rPr>
                <w:noProof/>
              </w:rPr>
            </w:pPr>
            <w:r>
              <w:rPr>
                <w:noProof/>
              </w:rPr>
              <w:t>46</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372F9661" w14:textId="5B530B06" w:rsidR="00615E2D" w:rsidRDefault="00C83E46">
            <w:pPr>
              <w:pStyle w:val="P68B1DB1-Normal57"/>
              <w:spacing w:before="0" w:after="0" w:line="240" w:lineRule="auto"/>
              <w:jc w:val="center"/>
              <w:rPr>
                <w:noProof/>
              </w:rPr>
            </w:pPr>
            <w:r>
              <w:rPr>
                <w:noProof/>
              </w:rPr>
              <w:t>C 1.3.: Digitalne mreže visokog kapaciteta – ulaganja 4: Znanstveno-istraživačke aktivnosti povezane s razvojem 5G mreža i usluga </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37A8C834"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single" w:sz="8" w:space="0" w:color="auto"/>
              <w:right w:val="single" w:sz="8" w:space="0" w:color="auto"/>
            </w:tcBorders>
            <w:shd w:val="clear" w:color="auto" w:fill="C6EFCE"/>
            <w:vAlign w:val="center"/>
            <w:hideMark/>
          </w:tcPr>
          <w:p w14:paraId="611538DF" w14:textId="77777777" w:rsidR="00615E2D" w:rsidRDefault="00C83E46">
            <w:pPr>
              <w:pStyle w:val="P68B1DB1-Normal56"/>
              <w:spacing w:before="0" w:after="0" w:line="240" w:lineRule="auto"/>
              <w:jc w:val="center"/>
              <w:rPr>
                <w:noProof/>
              </w:rPr>
            </w:pPr>
            <w:r>
              <w:rPr>
                <w:noProof/>
              </w:rPr>
              <w:t>Završetak znanstvenih istraživačkih projekata povezanih s 5G mrežama</w:t>
            </w:r>
          </w:p>
        </w:tc>
      </w:tr>
      <w:tr w:rsidR="00615E2D" w14:paraId="6DF14D51" w14:textId="77777777">
        <w:trPr>
          <w:trHeight w:val="600"/>
        </w:trPr>
        <w:tc>
          <w:tcPr>
            <w:tcW w:w="1276" w:type="dxa"/>
            <w:tcBorders>
              <w:top w:val="nil"/>
              <w:left w:val="single" w:sz="8" w:space="0" w:color="auto"/>
              <w:bottom w:val="nil"/>
              <w:right w:val="single" w:sz="8" w:space="0" w:color="auto"/>
            </w:tcBorders>
            <w:shd w:val="clear" w:color="auto" w:fill="C6EFCE"/>
            <w:vAlign w:val="center"/>
            <w:hideMark/>
          </w:tcPr>
          <w:p w14:paraId="08D53DAD" w14:textId="77777777" w:rsidR="00615E2D" w:rsidRDefault="00C83E46">
            <w:pPr>
              <w:pStyle w:val="P68B1DB1-Normal56"/>
              <w:spacing w:before="0" w:after="0" w:line="240" w:lineRule="auto"/>
              <w:jc w:val="center"/>
              <w:rPr>
                <w:noProof/>
              </w:rPr>
            </w:pPr>
            <w:r>
              <w:rPr>
                <w:noProof/>
              </w:rPr>
              <w:t>52</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7ABCD84" w14:textId="77777777" w:rsidR="00615E2D" w:rsidRDefault="00C83E46">
            <w:pPr>
              <w:pStyle w:val="P68B1DB1-Normal57"/>
              <w:spacing w:before="0" w:after="0" w:line="240" w:lineRule="auto"/>
              <w:jc w:val="center"/>
              <w:rPr>
                <w:noProof/>
              </w:rPr>
            </w:pPr>
            <w:r>
              <w:rPr>
                <w:noProof/>
              </w:rPr>
              <w:t>C 1.4.: Digitalno gospodarstvo i društvo, Inovativan početak i nova tehnologija – ulaganje 2: Europski opservatorij za digitalne medije (EDMO)</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4F83F96"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nil"/>
              <w:right w:val="single" w:sz="8" w:space="0" w:color="auto"/>
            </w:tcBorders>
            <w:shd w:val="clear" w:color="auto" w:fill="C6EFCE"/>
            <w:vAlign w:val="center"/>
            <w:hideMark/>
          </w:tcPr>
          <w:p w14:paraId="12AC1012" w14:textId="5C47C664" w:rsidR="00615E2D" w:rsidRDefault="00C83E46">
            <w:pPr>
              <w:pStyle w:val="P68B1DB1-Normal56"/>
              <w:spacing w:before="0" w:after="0" w:line="240" w:lineRule="auto"/>
              <w:jc w:val="center"/>
              <w:rPr>
                <w:noProof/>
              </w:rPr>
            </w:pPr>
            <w:r>
              <w:rPr>
                <w:noProof/>
              </w:rPr>
              <w:t xml:space="preserve">Objava rezultata istraživanja od strane CEDMO-a </w:t>
            </w:r>
          </w:p>
        </w:tc>
      </w:tr>
      <w:tr w:rsidR="00615E2D" w14:paraId="7B957ECF" w14:textId="77777777">
        <w:trPr>
          <w:trHeight w:val="795"/>
        </w:trPr>
        <w:tc>
          <w:tcPr>
            <w:tcW w:w="1276" w:type="dxa"/>
            <w:tcBorders>
              <w:top w:val="single" w:sz="8" w:space="0" w:color="auto"/>
              <w:left w:val="single" w:sz="8" w:space="0" w:color="auto"/>
              <w:bottom w:val="single" w:sz="4" w:space="0" w:color="000000" w:themeColor="text1"/>
              <w:right w:val="single" w:sz="8" w:space="0" w:color="auto"/>
            </w:tcBorders>
            <w:shd w:val="clear" w:color="auto" w:fill="C6EFCE"/>
            <w:vAlign w:val="center"/>
            <w:hideMark/>
          </w:tcPr>
          <w:p w14:paraId="5D3000E7" w14:textId="77777777" w:rsidR="00615E2D" w:rsidRDefault="00C83E46">
            <w:pPr>
              <w:pStyle w:val="P68B1DB1-Normal56"/>
              <w:spacing w:before="0" w:after="0" w:line="240" w:lineRule="auto"/>
              <w:jc w:val="center"/>
              <w:rPr>
                <w:noProof/>
              </w:rPr>
            </w:pPr>
            <w:r>
              <w:rPr>
                <w:noProof/>
              </w:rPr>
              <w:t>58</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159F8E17" w14:textId="77777777" w:rsidR="00615E2D" w:rsidRDefault="00C83E46">
            <w:pPr>
              <w:pStyle w:val="P68B1DB1-Normal57"/>
              <w:spacing w:before="0" w:after="0" w:line="240" w:lineRule="auto"/>
              <w:jc w:val="center"/>
              <w:rPr>
                <w:noProof/>
              </w:rPr>
            </w:pPr>
            <w:r>
              <w:rPr>
                <w:noProof/>
              </w:rPr>
              <w:t>C 1.4.: Digitalno gospodarstvo i društvo, Inovativan početak i nova tehnologija – ulaganje 6: Demonstracijski projekti prijave za 5G mreže za gradove i industrijska područja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251AB89C"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4" w:space="0" w:color="000000" w:themeColor="text1"/>
              <w:right w:val="single" w:sz="8" w:space="0" w:color="auto"/>
            </w:tcBorders>
            <w:shd w:val="clear" w:color="auto" w:fill="C6EFCE"/>
            <w:vAlign w:val="center"/>
            <w:hideMark/>
          </w:tcPr>
          <w:p w14:paraId="0D29119D" w14:textId="04052A94" w:rsidR="00615E2D" w:rsidRDefault="00C83E46">
            <w:pPr>
              <w:pStyle w:val="P68B1DB1-Normal56"/>
              <w:spacing w:before="0" w:after="0" w:line="240" w:lineRule="auto"/>
              <w:jc w:val="center"/>
              <w:rPr>
                <w:noProof/>
              </w:rPr>
            </w:pPr>
            <w:r>
              <w:rPr>
                <w:noProof/>
              </w:rPr>
              <w:t>Dovršetak primjera upotrebe za pametne gradove i industriju 4.0</w:t>
            </w:r>
          </w:p>
        </w:tc>
      </w:tr>
      <w:tr w:rsidR="00615E2D" w14:paraId="2A88AE0E" w14:textId="77777777">
        <w:trPr>
          <w:trHeight w:val="600"/>
        </w:trPr>
        <w:tc>
          <w:tcPr>
            <w:tcW w:w="1276" w:type="dxa"/>
            <w:tcBorders>
              <w:top w:val="single" w:sz="4" w:space="0" w:color="000000" w:themeColor="text1"/>
              <w:left w:val="single" w:sz="8" w:space="0" w:color="auto"/>
              <w:bottom w:val="single" w:sz="8" w:space="0" w:color="auto"/>
              <w:right w:val="single" w:sz="8" w:space="0" w:color="auto"/>
            </w:tcBorders>
            <w:shd w:val="clear" w:color="auto" w:fill="C6EFCE"/>
            <w:vAlign w:val="center"/>
            <w:hideMark/>
          </w:tcPr>
          <w:p w14:paraId="377B6896" w14:textId="77777777" w:rsidR="00615E2D" w:rsidRDefault="00C83E46">
            <w:pPr>
              <w:pStyle w:val="P68B1DB1-Normal56"/>
              <w:spacing w:before="0" w:after="0" w:line="240" w:lineRule="auto"/>
              <w:jc w:val="center"/>
              <w:rPr>
                <w:noProof/>
              </w:rPr>
            </w:pPr>
            <w:r>
              <w:rPr>
                <w:noProof/>
              </w:rPr>
              <w:t>63</w:t>
            </w:r>
          </w:p>
        </w:tc>
        <w:tc>
          <w:tcPr>
            <w:tcW w:w="396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14680F4C" w14:textId="77777777" w:rsidR="00615E2D" w:rsidRDefault="00C83E46">
            <w:pPr>
              <w:pStyle w:val="P68B1DB1-Normal57"/>
              <w:spacing w:before="0" w:after="0" w:line="240" w:lineRule="auto"/>
              <w:jc w:val="center"/>
              <w:rPr>
                <w:noProof/>
              </w:rPr>
            </w:pPr>
            <w:r>
              <w:rPr>
                <w:noProof/>
              </w:rPr>
              <w:t>C 1.4.: Digitalno gospodarstvo i društvo, Inovativan početak i nova tehnologija – ulaganje 10: Internacionalizacija novoosnovanih poduzeća</w:t>
            </w:r>
          </w:p>
        </w:tc>
        <w:tc>
          <w:tcPr>
            <w:tcW w:w="1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771F910D"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000000" w:themeColor="text1"/>
              <w:left w:val="nil"/>
              <w:bottom w:val="single" w:sz="8" w:space="0" w:color="auto"/>
              <w:right w:val="single" w:sz="8" w:space="0" w:color="auto"/>
            </w:tcBorders>
            <w:shd w:val="clear" w:color="auto" w:fill="C6EFCE"/>
            <w:vAlign w:val="center"/>
            <w:hideMark/>
          </w:tcPr>
          <w:p w14:paraId="110C93A4" w14:textId="77777777" w:rsidR="00615E2D" w:rsidRDefault="00C83E46">
            <w:pPr>
              <w:pStyle w:val="P68B1DB1-Normal56"/>
              <w:spacing w:before="0" w:after="0" w:line="240" w:lineRule="auto"/>
              <w:jc w:val="center"/>
              <w:rPr>
                <w:noProof/>
              </w:rPr>
            </w:pPr>
            <w:r>
              <w:rPr>
                <w:noProof/>
              </w:rPr>
              <w:t>Potpora međunarodnom širenju novoosnovanih poduzeća putem savjetovanja, mentorskih usluga poslovnog savjetovanja, programa ubrzavanja</w:t>
            </w:r>
          </w:p>
        </w:tc>
      </w:tr>
      <w:tr w:rsidR="00615E2D" w14:paraId="793B5FF6" w14:textId="77777777">
        <w:trPr>
          <w:trHeight w:val="600"/>
        </w:trPr>
        <w:tc>
          <w:tcPr>
            <w:tcW w:w="1276" w:type="dxa"/>
            <w:tcBorders>
              <w:top w:val="nil"/>
              <w:left w:val="single" w:sz="8" w:space="0" w:color="auto"/>
              <w:bottom w:val="single" w:sz="8" w:space="0" w:color="auto"/>
              <w:right w:val="single" w:sz="8" w:space="0" w:color="auto"/>
            </w:tcBorders>
            <w:shd w:val="clear" w:color="auto" w:fill="C6EFCE"/>
            <w:vAlign w:val="center"/>
            <w:hideMark/>
          </w:tcPr>
          <w:p w14:paraId="588A20C2" w14:textId="77777777" w:rsidR="00615E2D" w:rsidRDefault="00C83E46">
            <w:pPr>
              <w:pStyle w:val="P68B1DB1-Normal56"/>
              <w:spacing w:before="0" w:after="0" w:line="240" w:lineRule="auto"/>
              <w:jc w:val="center"/>
              <w:rPr>
                <w:noProof/>
              </w:rPr>
            </w:pPr>
            <w:r>
              <w:rPr>
                <w:noProof/>
              </w:rPr>
              <w:t>66</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6178BDE" w14:textId="77777777" w:rsidR="00615E2D" w:rsidRDefault="00C83E46">
            <w:pPr>
              <w:pStyle w:val="P68B1DB1-Normal57"/>
              <w:spacing w:before="0" w:after="0" w:line="240" w:lineRule="auto"/>
              <w:jc w:val="center"/>
              <w:rPr>
                <w:noProof/>
              </w:rPr>
            </w:pPr>
            <w:r>
              <w:rPr>
                <w:noProof/>
              </w:rPr>
              <w:t>C 1.4.: Digitalno gospodarstvo i društvo, Inovativan početak i nova tehnologija – ulaganje 12: Izgradnja kvantne komunikacijske infrastrukture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05D91E0"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auto"/>
              <w:right w:val="single" w:sz="8" w:space="0" w:color="auto"/>
            </w:tcBorders>
            <w:shd w:val="clear" w:color="auto" w:fill="C6EFCE"/>
            <w:vAlign w:val="center"/>
            <w:hideMark/>
          </w:tcPr>
          <w:p w14:paraId="70B20A20" w14:textId="77777777" w:rsidR="00615E2D" w:rsidRDefault="00C83E46">
            <w:pPr>
              <w:pStyle w:val="P68B1DB1-Normal56"/>
              <w:spacing w:before="0" w:after="0" w:line="240" w:lineRule="auto"/>
              <w:jc w:val="center"/>
              <w:rPr>
                <w:noProof/>
              </w:rPr>
            </w:pPr>
            <w:r>
              <w:rPr>
                <w:noProof/>
              </w:rPr>
              <w:t>Završetak faze izgradnje i pilot-operacijske faze optičke kvantne mreže</w:t>
            </w:r>
          </w:p>
        </w:tc>
      </w:tr>
      <w:tr w:rsidR="00615E2D" w14:paraId="650E6169" w14:textId="77777777">
        <w:trPr>
          <w:trHeight w:val="795"/>
        </w:trPr>
        <w:tc>
          <w:tcPr>
            <w:tcW w:w="1276" w:type="dxa"/>
            <w:tcBorders>
              <w:top w:val="nil"/>
              <w:left w:val="single" w:sz="8" w:space="0" w:color="auto"/>
              <w:bottom w:val="single" w:sz="4" w:space="0" w:color="auto"/>
              <w:right w:val="single" w:sz="8" w:space="0" w:color="auto"/>
            </w:tcBorders>
            <w:shd w:val="clear" w:color="auto" w:fill="C6EFCE"/>
            <w:vAlign w:val="center"/>
            <w:hideMark/>
          </w:tcPr>
          <w:p w14:paraId="75DD67C2" w14:textId="77777777" w:rsidR="00615E2D" w:rsidRDefault="00C83E46">
            <w:pPr>
              <w:pStyle w:val="P68B1DB1-Normal57"/>
              <w:spacing w:before="0" w:after="0" w:line="240" w:lineRule="auto"/>
              <w:jc w:val="center"/>
              <w:rPr>
                <w:noProof/>
              </w:rPr>
            </w:pPr>
            <w:r>
              <w:rPr>
                <w:noProof/>
              </w:rPr>
              <w:t>71</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49E2865F" w14:textId="77777777" w:rsidR="00615E2D" w:rsidRDefault="00C83E46">
            <w:pPr>
              <w:pStyle w:val="P68B1DB1-Normal57"/>
              <w:spacing w:before="0" w:after="0" w:line="240" w:lineRule="auto"/>
              <w:jc w:val="center"/>
              <w:rPr>
                <w:noProof/>
              </w:rPr>
            </w:pPr>
            <w:r>
              <w:rPr>
                <w:noProof/>
              </w:rPr>
              <w:t>C 1.5.: Digitalna transformacija poduzeća – ulaganje 3: Digitalna transformacija proizvodnih i neproizvodnih poduzeća i povećanje njihove otpornosti</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1249BEF6"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4" w:space="0" w:color="auto"/>
              <w:right w:val="single" w:sz="8" w:space="0" w:color="auto"/>
            </w:tcBorders>
            <w:shd w:val="clear" w:color="auto" w:fill="C6EFCE"/>
            <w:vAlign w:val="center"/>
            <w:hideMark/>
          </w:tcPr>
          <w:p w14:paraId="322F8BAE" w14:textId="77777777" w:rsidR="00615E2D" w:rsidRDefault="00C83E46">
            <w:pPr>
              <w:pStyle w:val="P68B1DB1-Normal57"/>
              <w:spacing w:before="0" w:after="0" w:line="240" w:lineRule="auto"/>
              <w:jc w:val="center"/>
              <w:rPr>
                <w:noProof/>
              </w:rPr>
            </w:pPr>
            <w:r>
              <w:rPr>
                <w:noProof/>
              </w:rPr>
              <w:t xml:space="preserve">Izravna potpora poduzećima za digitalnu transformaciju </w:t>
            </w:r>
          </w:p>
        </w:tc>
      </w:tr>
      <w:tr w:rsidR="00615E2D" w14:paraId="0672D638"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3BBD2C2" w14:textId="77777777" w:rsidR="00615E2D" w:rsidRDefault="00C83E46">
            <w:pPr>
              <w:pStyle w:val="P68B1DB1-Normal57"/>
              <w:spacing w:before="0" w:after="0" w:line="240" w:lineRule="auto"/>
              <w:jc w:val="center"/>
              <w:rPr>
                <w:noProof/>
              </w:rPr>
            </w:pPr>
            <w:r>
              <w:rPr>
                <w:noProof/>
              </w:rPr>
              <w:t>74</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7913F9C" w14:textId="77777777" w:rsidR="00615E2D" w:rsidRDefault="00C83E46">
            <w:pPr>
              <w:pStyle w:val="P68B1DB1-Normal57"/>
              <w:spacing w:before="0" w:after="0" w:line="240" w:lineRule="auto"/>
              <w:jc w:val="center"/>
              <w:rPr>
                <w:noProof/>
              </w:rPr>
            </w:pPr>
            <w:r>
              <w:rPr>
                <w:noProof/>
              </w:rPr>
              <w:t>C 1.6.: Ubrzanje i digitalizacija procesa izgradnje – reforma 1.: Provedba novog zakona o gradnji i zoniranje zakona u praksi</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A420322"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17F29CA" w14:textId="77777777" w:rsidR="00615E2D" w:rsidRDefault="00C83E46">
            <w:pPr>
              <w:pStyle w:val="P68B1DB1-Normal57"/>
              <w:spacing w:before="0" w:after="0" w:line="240" w:lineRule="auto"/>
              <w:jc w:val="center"/>
              <w:rPr>
                <w:noProof/>
              </w:rPr>
            </w:pPr>
            <w:r>
              <w:rPr>
                <w:noProof/>
              </w:rPr>
              <w:t>Skraćivanje postupka izdavanja građevinske dozvole za najmanje dvije godine</w:t>
            </w:r>
          </w:p>
        </w:tc>
      </w:tr>
      <w:tr w:rsidR="00615E2D" w14:paraId="6233FE50" w14:textId="77777777">
        <w:trPr>
          <w:trHeight w:val="795"/>
        </w:trPr>
        <w:tc>
          <w:tcPr>
            <w:tcW w:w="1276" w:type="dxa"/>
            <w:tcBorders>
              <w:top w:val="single" w:sz="4" w:space="0" w:color="auto"/>
              <w:left w:val="single" w:sz="8" w:space="0" w:color="auto"/>
              <w:bottom w:val="nil"/>
              <w:right w:val="single" w:sz="8" w:space="0" w:color="auto"/>
            </w:tcBorders>
            <w:shd w:val="clear" w:color="auto" w:fill="C6EFCE"/>
            <w:vAlign w:val="center"/>
            <w:hideMark/>
          </w:tcPr>
          <w:p w14:paraId="7E90DFC8" w14:textId="77777777" w:rsidR="00615E2D" w:rsidRDefault="00C83E46">
            <w:pPr>
              <w:pStyle w:val="P68B1DB1-Normal57"/>
              <w:spacing w:before="0" w:after="0" w:line="240" w:lineRule="auto"/>
              <w:jc w:val="center"/>
              <w:rPr>
                <w:noProof/>
              </w:rPr>
            </w:pPr>
            <w:r>
              <w:rPr>
                <w:noProof/>
              </w:rPr>
              <w:t>81</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16E60543" w14:textId="77777777" w:rsidR="00615E2D" w:rsidRDefault="00C83E46">
            <w:pPr>
              <w:pStyle w:val="P68B1DB1-Normal57"/>
              <w:spacing w:before="0" w:after="0" w:line="240" w:lineRule="auto"/>
              <w:jc w:val="center"/>
              <w:rPr>
                <w:noProof/>
              </w:rPr>
            </w:pPr>
            <w:r>
              <w:rPr>
                <w:noProof/>
              </w:rPr>
              <w:t>C 2.1.: Održivi promet – reforma 1.: Stvaranje alternativa za energetski i prostorno intenzivan cestovni promet</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11648A79"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nil"/>
              <w:right w:val="single" w:sz="8" w:space="0" w:color="auto"/>
            </w:tcBorders>
            <w:shd w:val="clear" w:color="auto" w:fill="C6EFCE"/>
            <w:vAlign w:val="center"/>
            <w:hideMark/>
          </w:tcPr>
          <w:p w14:paraId="59210119" w14:textId="77777777" w:rsidR="00615E2D" w:rsidRDefault="00C83E46">
            <w:pPr>
              <w:pStyle w:val="P68B1DB1-Normal57"/>
              <w:spacing w:before="0" w:after="0" w:line="240" w:lineRule="auto"/>
              <w:jc w:val="center"/>
              <w:rPr>
                <w:noProof/>
              </w:rPr>
            </w:pPr>
            <w:r>
              <w:rPr>
                <w:noProof/>
              </w:rPr>
              <w:t>Povećanje modalnog udjela javnog prijevoza u češkim gradovima većima od 250000 stanovnika i u češkim gradovima većima od 75000 stanovnika</w:t>
            </w:r>
          </w:p>
        </w:tc>
      </w:tr>
      <w:tr w:rsidR="00615E2D" w14:paraId="1D7B9FE7" w14:textId="77777777">
        <w:trPr>
          <w:trHeight w:val="600"/>
        </w:trPr>
        <w:tc>
          <w:tcPr>
            <w:tcW w:w="1276" w:type="dxa"/>
            <w:tcBorders>
              <w:top w:val="single" w:sz="8" w:space="0" w:color="auto"/>
              <w:left w:val="single" w:sz="8" w:space="0" w:color="auto"/>
              <w:bottom w:val="single" w:sz="4" w:space="0" w:color="auto"/>
              <w:right w:val="single" w:sz="8" w:space="0" w:color="auto"/>
            </w:tcBorders>
            <w:shd w:val="clear" w:color="auto" w:fill="C6EFCE"/>
            <w:vAlign w:val="center"/>
            <w:hideMark/>
          </w:tcPr>
          <w:p w14:paraId="7FB021EB" w14:textId="77777777" w:rsidR="00615E2D" w:rsidRDefault="00C83E46">
            <w:pPr>
              <w:pStyle w:val="P68B1DB1-Normal57"/>
              <w:spacing w:before="0" w:after="0" w:line="240" w:lineRule="auto"/>
              <w:jc w:val="center"/>
              <w:rPr>
                <w:noProof/>
              </w:rPr>
            </w:pPr>
            <w:r>
              <w:rPr>
                <w:noProof/>
              </w:rPr>
              <w:t>82</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231232ED" w14:textId="77777777" w:rsidR="00615E2D" w:rsidRDefault="00C83E46">
            <w:pPr>
              <w:pStyle w:val="P68B1DB1-Normal57"/>
              <w:spacing w:before="0" w:after="0" w:line="240" w:lineRule="auto"/>
              <w:jc w:val="center"/>
              <w:rPr>
                <w:noProof/>
              </w:rPr>
            </w:pPr>
            <w:r>
              <w:rPr>
                <w:noProof/>
              </w:rPr>
              <w:t>C 2.1.: Održivi promet – reforma 1.: Stvaranje alternativa za energetski i prostorno intenzivan cestovni promet</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0C387FFF"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4" w:space="0" w:color="auto"/>
              <w:right w:val="single" w:sz="8" w:space="0" w:color="auto"/>
            </w:tcBorders>
            <w:shd w:val="clear" w:color="auto" w:fill="C6EFCE"/>
            <w:vAlign w:val="center"/>
            <w:hideMark/>
          </w:tcPr>
          <w:p w14:paraId="6E932191" w14:textId="77777777" w:rsidR="00615E2D" w:rsidRDefault="00C83E46">
            <w:pPr>
              <w:pStyle w:val="P68B1DB1-Normal57"/>
              <w:spacing w:before="0" w:after="0" w:line="240" w:lineRule="auto"/>
              <w:jc w:val="center"/>
              <w:rPr>
                <w:noProof/>
              </w:rPr>
            </w:pPr>
            <w:r>
              <w:rPr>
                <w:noProof/>
              </w:rPr>
              <w:t>Povećanje modalnog udjela biciklizma u češkim gradovima većima od 250000 stanovnika i u češkim gradovima većima od 75000 stanovnika</w:t>
            </w:r>
          </w:p>
        </w:tc>
      </w:tr>
      <w:tr w:rsidR="00615E2D" w14:paraId="26A9A19E"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AB22DDF" w14:textId="77777777" w:rsidR="00615E2D" w:rsidRDefault="00C83E46">
            <w:pPr>
              <w:pStyle w:val="P68B1DB1-Normal56"/>
              <w:spacing w:before="0" w:after="0" w:line="240" w:lineRule="auto"/>
              <w:jc w:val="center"/>
              <w:rPr>
                <w:noProof/>
              </w:rPr>
            </w:pPr>
            <w:r>
              <w:rPr>
                <w:noProof/>
              </w:rPr>
              <w:t>115</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0968C65" w14:textId="77777777" w:rsidR="00615E2D" w:rsidRDefault="00C83E46">
            <w:pPr>
              <w:pStyle w:val="P68B1DB1-Normal57"/>
              <w:spacing w:before="0" w:after="0" w:line="240" w:lineRule="auto"/>
              <w:jc w:val="center"/>
              <w:rPr>
                <w:noProof/>
              </w:rPr>
            </w:pPr>
            <w:r>
              <w:rPr>
                <w:noProof/>
              </w:rPr>
              <w:t>C 2.4.: Čista mobilnost – ulaganja 1: Izgradnja infrastrukture za javni prijevoz u gradu Pragu</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A94C3FF"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8300E84" w14:textId="77777777" w:rsidR="00615E2D" w:rsidRDefault="00C83E46">
            <w:pPr>
              <w:pStyle w:val="P68B1DB1-Normal56"/>
              <w:spacing w:before="0" w:after="0" w:line="240" w:lineRule="auto"/>
              <w:jc w:val="center"/>
              <w:rPr>
                <w:noProof/>
              </w:rPr>
            </w:pPr>
            <w:r>
              <w:rPr>
                <w:noProof/>
              </w:rPr>
              <w:t>Broj mjesta za punjenje grada Praga</w:t>
            </w:r>
          </w:p>
        </w:tc>
      </w:tr>
      <w:tr w:rsidR="00615E2D" w14:paraId="3BDE7448" w14:textId="77777777">
        <w:trPr>
          <w:trHeight w:val="600"/>
        </w:trPr>
        <w:tc>
          <w:tcPr>
            <w:tcW w:w="1276" w:type="dxa"/>
            <w:tcBorders>
              <w:top w:val="nil"/>
              <w:left w:val="single" w:sz="8" w:space="0" w:color="auto"/>
              <w:bottom w:val="single" w:sz="8" w:space="0" w:color="auto"/>
              <w:right w:val="single" w:sz="8" w:space="0" w:color="auto"/>
            </w:tcBorders>
            <w:shd w:val="clear" w:color="auto" w:fill="C6EFCE"/>
            <w:vAlign w:val="center"/>
            <w:hideMark/>
          </w:tcPr>
          <w:p w14:paraId="4833BD5A" w14:textId="77777777" w:rsidR="00615E2D" w:rsidRDefault="00C83E46">
            <w:pPr>
              <w:pStyle w:val="P68B1DB1-Normal56"/>
              <w:spacing w:before="0" w:after="0" w:line="240" w:lineRule="auto"/>
              <w:jc w:val="center"/>
              <w:rPr>
                <w:noProof/>
              </w:rPr>
            </w:pPr>
            <w:r>
              <w:rPr>
                <w:noProof/>
              </w:rPr>
              <w:t>117</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03F3F4D3" w14:textId="77777777" w:rsidR="00615E2D" w:rsidRDefault="00C83E46">
            <w:pPr>
              <w:pStyle w:val="P68B1DB1-Normal57"/>
              <w:spacing w:before="0" w:after="0" w:line="240" w:lineRule="auto"/>
              <w:jc w:val="center"/>
              <w:rPr>
                <w:noProof/>
              </w:rPr>
            </w:pPr>
            <w:r>
              <w:rPr>
                <w:noProof/>
              </w:rPr>
              <w:t>C 2.4.: Čista mobilnost – ulaganje 2: Izgradnja infrastrukture – mjesta za punjenje za privatna poduzeća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103EEEF"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auto"/>
              <w:right w:val="single" w:sz="8" w:space="0" w:color="auto"/>
            </w:tcBorders>
            <w:shd w:val="clear" w:color="auto" w:fill="C6EFCE"/>
            <w:vAlign w:val="center"/>
            <w:hideMark/>
          </w:tcPr>
          <w:p w14:paraId="4EF22E13" w14:textId="77777777" w:rsidR="00615E2D" w:rsidRDefault="00C83E46">
            <w:pPr>
              <w:pStyle w:val="P68B1DB1-Normal56"/>
              <w:spacing w:before="0" w:after="0" w:line="240" w:lineRule="auto"/>
              <w:jc w:val="center"/>
              <w:rPr>
                <w:noProof/>
              </w:rPr>
            </w:pPr>
            <w:r>
              <w:rPr>
                <w:noProof/>
              </w:rPr>
              <w:t>Broj mjesta za punjenje postavljenih za privatna poduzeća</w:t>
            </w:r>
          </w:p>
        </w:tc>
      </w:tr>
      <w:tr w:rsidR="00615E2D" w14:paraId="1BD6B493" w14:textId="77777777">
        <w:trPr>
          <w:trHeight w:val="600"/>
        </w:trPr>
        <w:tc>
          <w:tcPr>
            <w:tcW w:w="1276" w:type="dxa"/>
            <w:tcBorders>
              <w:top w:val="nil"/>
              <w:left w:val="single" w:sz="8" w:space="0" w:color="auto"/>
              <w:bottom w:val="single" w:sz="8" w:space="0" w:color="000000" w:themeColor="text1"/>
              <w:right w:val="single" w:sz="8" w:space="0" w:color="auto"/>
            </w:tcBorders>
            <w:shd w:val="clear" w:color="auto" w:fill="C6EFCE"/>
            <w:vAlign w:val="center"/>
            <w:hideMark/>
          </w:tcPr>
          <w:p w14:paraId="601FBEC7" w14:textId="77777777" w:rsidR="00615E2D" w:rsidRDefault="00C83E46">
            <w:pPr>
              <w:pStyle w:val="P68B1DB1-Normal56"/>
              <w:spacing w:before="0" w:after="0" w:line="240" w:lineRule="auto"/>
              <w:jc w:val="center"/>
              <w:rPr>
                <w:noProof/>
              </w:rPr>
            </w:pPr>
            <w:r>
              <w:rPr>
                <w:noProof/>
              </w:rPr>
              <w:t>118</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3CE6C337" w14:textId="77777777" w:rsidR="00615E2D" w:rsidRDefault="00C83E46">
            <w:pPr>
              <w:pStyle w:val="P68B1DB1-Normal57"/>
              <w:spacing w:before="0" w:after="0" w:line="240" w:lineRule="auto"/>
              <w:jc w:val="center"/>
              <w:rPr>
                <w:noProof/>
              </w:rPr>
            </w:pPr>
            <w:r>
              <w:rPr>
                <w:noProof/>
              </w:rPr>
              <w:t>C 2.4.: Čista mobilnost – ulaganje 3: Građevinska infrastruktura – mjesta za punjenje stambenih zgrada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BDBF689"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408DD2A4" w14:textId="77777777" w:rsidR="00615E2D" w:rsidRDefault="00C83E46">
            <w:pPr>
              <w:pStyle w:val="P68B1DB1-Normal56"/>
              <w:spacing w:before="0" w:after="0" w:line="240" w:lineRule="auto"/>
              <w:jc w:val="center"/>
              <w:rPr>
                <w:noProof/>
              </w:rPr>
            </w:pPr>
            <w:r>
              <w:rPr>
                <w:noProof/>
              </w:rPr>
              <w:t xml:space="preserve">Broj mjesta za punjenje postavljenih za stambene zgrade </w:t>
            </w:r>
          </w:p>
        </w:tc>
      </w:tr>
      <w:tr w:rsidR="00615E2D" w14:paraId="6862689E" w14:textId="77777777">
        <w:trPr>
          <w:trHeight w:val="600"/>
        </w:trPr>
        <w:tc>
          <w:tcPr>
            <w:tcW w:w="1276" w:type="dxa"/>
            <w:tcBorders>
              <w:top w:val="single" w:sz="4" w:space="0" w:color="000000" w:themeColor="text1"/>
              <w:left w:val="single" w:sz="8" w:space="0" w:color="auto"/>
              <w:bottom w:val="single" w:sz="8" w:space="0" w:color="auto"/>
              <w:right w:val="single" w:sz="8" w:space="0" w:color="auto"/>
            </w:tcBorders>
            <w:shd w:val="clear" w:color="auto" w:fill="C6EFCE"/>
            <w:vAlign w:val="center"/>
            <w:hideMark/>
          </w:tcPr>
          <w:p w14:paraId="16DA1A76" w14:textId="77777777" w:rsidR="00615E2D" w:rsidRDefault="00C83E46">
            <w:pPr>
              <w:pStyle w:val="P68B1DB1-Normal56"/>
              <w:spacing w:before="0" w:after="0" w:line="240" w:lineRule="auto"/>
              <w:jc w:val="center"/>
              <w:rPr>
                <w:noProof/>
              </w:rPr>
            </w:pPr>
            <w:r>
              <w:rPr>
                <w:noProof/>
              </w:rPr>
              <w:t>119</w:t>
            </w:r>
          </w:p>
        </w:tc>
        <w:tc>
          <w:tcPr>
            <w:tcW w:w="396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4835D70A" w14:textId="77777777" w:rsidR="00615E2D" w:rsidRDefault="00C83E46">
            <w:pPr>
              <w:pStyle w:val="P68B1DB1-Normal57"/>
              <w:spacing w:before="0" w:after="0" w:line="240" w:lineRule="auto"/>
              <w:jc w:val="center"/>
              <w:rPr>
                <w:noProof/>
              </w:rPr>
            </w:pPr>
            <w:r>
              <w:rPr>
                <w:noProof/>
              </w:rPr>
              <w:t>C 2.4.: Čista mobilnost – ulaganje 4: Potpore za kupnju vozila – vozila (električna vozila, H2, bicikli) za privatna poduzeća</w:t>
            </w:r>
          </w:p>
        </w:tc>
        <w:tc>
          <w:tcPr>
            <w:tcW w:w="1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548780FC"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000000" w:themeColor="text1"/>
              <w:left w:val="nil"/>
              <w:bottom w:val="single" w:sz="8" w:space="0" w:color="auto"/>
              <w:right w:val="single" w:sz="8" w:space="0" w:color="auto"/>
            </w:tcBorders>
            <w:shd w:val="clear" w:color="auto" w:fill="C6EFCE"/>
            <w:vAlign w:val="center"/>
            <w:hideMark/>
          </w:tcPr>
          <w:p w14:paraId="6D6C2207" w14:textId="77777777" w:rsidR="00615E2D" w:rsidRDefault="00C83E46">
            <w:pPr>
              <w:pStyle w:val="P68B1DB1-Normal56"/>
              <w:spacing w:before="0" w:after="0" w:line="240" w:lineRule="auto"/>
              <w:jc w:val="center"/>
              <w:rPr>
                <w:noProof/>
              </w:rPr>
            </w:pPr>
            <w:r>
              <w:rPr>
                <w:noProof/>
              </w:rPr>
              <w:t xml:space="preserve"> Broj vozila (električna vozila, H2, bicikli) za privatna poduzeća</w:t>
            </w:r>
          </w:p>
        </w:tc>
      </w:tr>
      <w:tr w:rsidR="00615E2D" w14:paraId="2AB7E07E" w14:textId="77777777">
        <w:trPr>
          <w:trHeight w:val="795"/>
        </w:trPr>
        <w:tc>
          <w:tcPr>
            <w:tcW w:w="1276" w:type="dxa"/>
            <w:tcBorders>
              <w:top w:val="nil"/>
              <w:left w:val="single" w:sz="8" w:space="0" w:color="auto"/>
              <w:bottom w:val="single" w:sz="8" w:space="0" w:color="auto"/>
              <w:right w:val="single" w:sz="8" w:space="0" w:color="auto"/>
            </w:tcBorders>
            <w:shd w:val="clear" w:color="auto" w:fill="C6EFCE"/>
            <w:vAlign w:val="center"/>
            <w:hideMark/>
          </w:tcPr>
          <w:p w14:paraId="22545BD4" w14:textId="77777777" w:rsidR="00615E2D" w:rsidRDefault="00C83E46">
            <w:pPr>
              <w:pStyle w:val="P68B1DB1-Normal56"/>
              <w:spacing w:before="0" w:after="0" w:line="240" w:lineRule="auto"/>
              <w:jc w:val="center"/>
              <w:rPr>
                <w:noProof/>
              </w:rPr>
            </w:pPr>
            <w:r>
              <w:rPr>
                <w:noProof/>
              </w:rPr>
              <w:t>120</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1953931C" w14:textId="77777777" w:rsidR="00615E2D" w:rsidRDefault="00C83E46">
            <w:pPr>
              <w:pStyle w:val="P68B1DB1-Normal57"/>
              <w:spacing w:before="0" w:after="0" w:line="240" w:lineRule="auto"/>
              <w:jc w:val="center"/>
              <w:rPr>
                <w:noProof/>
              </w:rPr>
            </w:pPr>
            <w:r>
              <w:rPr>
                <w:noProof/>
              </w:rPr>
              <w:t>C 2.4.: Čista mobilnost – ulaganje 5: Potpore za kupnju vozila (električne, H2) i infrastrukture za općine, regije, državnu upravu i druga javna tijela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63F4A67"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auto"/>
              <w:right w:val="single" w:sz="8" w:space="0" w:color="auto"/>
            </w:tcBorders>
            <w:shd w:val="clear" w:color="auto" w:fill="C6EFCE"/>
            <w:vAlign w:val="center"/>
            <w:hideMark/>
          </w:tcPr>
          <w:p w14:paraId="351611DB" w14:textId="77777777" w:rsidR="00615E2D" w:rsidRDefault="00C83E46">
            <w:pPr>
              <w:pStyle w:val="P68B1DB1-Normal56"/>
              <w:spacing w:before="0" w:after="0" w:line="240" w:lineRule="auto"/>
              <w:jc w:val="center"/>
              <w:rPr>
                <w:noProof/>
              </w:rPr>
            </w:pPr>
            <w:r>
              <w:rPr>
                <w:noProof/>
              </w:rPr>
              <w:t xml:space="preserve">Broj vozila (električna, H2) za općine, regije, državnu upravu </w:t>
            </w:r>
          </w:p>
        </w:tc>
      </w:tr>
      <w:tr w:rsidR="00615E2D" w14:paraId="6138D738" w14:textId="77777777">
        <w:trPr>
          <w:trHeight w:val="795"/>
        </w:trPr>
        <w:tc>
          <w:tcPr>
            <w:tcW w:w="1276" w:type="dxa"/>
            <w:tcBorders>
              <w:top w:val="nil"/>
              <w:left w:val="single" w:sz="8" w:space="0" w:color="auto"/>
              <w:bottom w:val="single" w:sz="4" w:space="0" w:color="auto"/>
              <w:right w:val="single" w:sz="8" w:space="0" w:color="auto"/>
            </w:tcBorders>
            <w:shd w:val="clear" w:color="auto" w:fill="C6EFCE"/>
            <w:vAlign w:val="center"/>
            <w:hideMark/>
          </w:tcPr>
          <w:p w14:paraId="6B2C04C2" w14:textId="77777777" w:rsidR="00615E2D" w:rsidRDefault="00C83E46">
            <w:pPr>
              <w:pStyle w:val="P68B1DB1-Normal56"/>
              <w:spacing w:before="0" w:after="0" w:line="240" w:lineRule="auto"/>
              <w:jc w:val="center"/>
              <w:rPr>
                <w:noProof/>
              </w:rPr>
            </w:pPr>
            <w:r>
              <w:rPr>
                <w:noProof/>
              </w:rPr>
              <w:t>121</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12BF6F28" w14:textId="77777777" w:rsidR="00615E2D" w:rsidRDefault="00C83E46">
            <w:pPr>
              <w:pStyle w:val="P68B1DB1-Normal57"/>
              <w:spacing w:before="0" w:after="0" w:line="240" w:lineRule="auto"/>
              <w:jc w:val="center"/>
              <w:rPr>
                <w:noProof/>
              </w:rPr>
            </w:pPr>
            <w:r>
              <w:rPr>
                <w:noProof/>
              </w:rPr>
              <w:t>C 2.4.: Čista mobilnost – ulaganje 5: Potpore za kupnju vozila (električne, H2) i infrastrukture za općine, regije, državnu upravu i druga javna tijela</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5517FB91"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4" w:space="0" w:color="auto"/>
              <w:right w:val="single" w:sz="8" w:space="0" w:color="auto"/>
            </w:tcBorders>
            <w:shd w:val="clear" w:color="auto" w:fill="C6EFCE"/>
            <w:vAlign w:val="center"/>
            <w:hideMark/>
          </w:tcPr>
          <w:p w14:paraId="141ABFB2" w14:textId="77777777" w:rsidR="00615E2D" w:rsidRDefault="00C83E46">
            <w:pPr>
              <w:pStyle w:val="P68B1DB1-Normal56"/>
              <w:spacing w:before="0" w:after="0" w:line="240" w:lineRule="auto"/>
              <w:jc w:val="center"/>
              <w:rPr>
                <w:noProof/>
              </w:rPr>
            </w:pPr>
            <w:r>
              <w:rPr>
                <w:noProof/>
              </w:rPr>
              <w:t>Broj punionica za općine, regije, državnu upravu i druga javna tijela</w:t>
            </w:r>
          </w:p>
        </w:tc>
      </w:tr>
      <w:tr w:rsidR="00615E2D" w14:paraId="1FBD1843" w14:textId="77777777">
        <w:trPr>
          <w:trHeight w:val="79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CA56B17" w14:textId="77777777" w:rsidR="00615E2D" w:rsidRDefault="00C83E46">
            <w:pPr>
              <w:pStyle w:val="P68B1DB1-Normal57"/>
              <w:spacing w:before="0" w:after="0" w:line="240" w:lineRule="auto"/>
              <w:jc w:val="center"/>
              <w:rPr>
                <w:noProof/>
              </w:rPr>
            </w:pPr>
            <w:r>
              <w:rPr>
                <w:noProof/>
              </w:rPr>
              <w:t>123</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10A32D6" w14:textId="41111CC8" w:rsidR="00615E2D" w:rsidRDefault="00C83E46">
            <w:pPr>
              <w:pStyle w:val="P68B1DB1-Normal57"/>
              <w:spacing w:before="0" w:after="0" w:line="240" w:lineRule="auto"/>
              <w:jc w:val="center"/>
              <w:rPr>
                <w:noProof/>
              </w:rPr>
            </w:pPr>
            <w:r>
              <w:rPr>
                <w:noProof/>
              </w:rPr>
              <w:t>C 2.5.: Obnova zgrada i zaštita zraka – reforma 1.: Val obnove u sektoru kućanstava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F4D21A6"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D1091FB" w14:textId="77777777" w:rsidR="00615E2D" w:rsidRDefault="00C83E46">
            <w:pPr>
              <w:pStyle w:val="P68B1DB1-Normal57"/>
              <w:spacing w:before="0" w:after="0" w:line="240" w:lineRule="auto"/>
              <w:jc w:val="center"/>
              <w:rPr>
                <w:noProof/>
              </w:rPr>
            </w:pPr>
            <w:r>
              <w:rPr>
                <w:noProof/>
              </w:rPr>
              <w:t>Usluge savjetovanja i osposobljavanja za val obnove u sektoru kućanstava i raspored provedbe mjera uključenih u planove za kvalitetu zraka</w:t>
            </w:r>
          </w:p>
        </w:tc>
      </w:tr>
      <w:tr w:rsidR="00615E2D" w14:paraId="4147AE40" w14:textId="77777777">
        <w:trPr>
          <w:trHeight w:val="600"/>
        </w:trPr>
        <w:tc>
          <w:tcPr>
            <w:tcW w:w="1276" w:type="dxa"/>
            <w:tcBorders>
              <w:top w:val="single" w:sz="4" w:space="0" w:color="auto"/>
              <w:left w:val="single" w:sz="8" w:space="0" w:color="auto"/>
              <w:bottom w:val="nil"/>
              <w:right w:val="single" w:sz="8" w:space="0" w:color="auto"/>
            </w:tcBorders>
            <w:shd w:val="clear" w:color="auto" w:fill="C6EFCE"/>
            <w:vAlign w:val="center"/>
            <w:hideMark/>
          </w:tcPr>
          <w:p w14:paraId="34588028" w14:textId="77777777" w:rsidR="00615E2D" w:rsidRDefault="00C83E46">
            <w:pPr>
              <w:pStyle w:val="P68B1DB1-Normal57"/>
              <w:spacing w:before="0" w:after="0" w:line="240" w:lineRule="auto"/>
              <w:jc w:val="center"/>
              <w:rPr>
                <w:noProof/>
              </w:rPr>
            </w:pPr>
            <w:r>
              <w:rPr>
                <w:noProof/>
              </w:rPr>
              <w:t>124</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423952C0" w14:textId="77777777" w:rsidR="00615E2D" w:rsidRDefault="00C83E46">
            <w:pPr>
              <w:pStyle w:val="P68B1DB1-Normal57"/>
              <w:spacing w:before="0" w:after="0" w:line="240" w:lineRule="auto"/>
              <w:jc w:val="center"/>
              <w:rPr>
                <w:noProof/>
              </w:rPr>
            </w:pPr>
            <w:r>
              <w:rPr>
                <w:noProof/>
              </w:rPr>
              <w:t>C 2.5.: Obnova zgrada i zaštita zraka – 2. reforma: Potpora za pripremu prije projekta i potpora energetskim projektima zajednice</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2C286FE2"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nil"/>
              <w:right w:val="single" w:sz="8" w:space="0" w:color="auto"/>
            </w:tcBorders>
            <w:shd w:val="clear" w:color="auto" w:fill="C6EFCE"/>
            <w:vAlign w:val="center"/>
            <w:hideMark/>
          </w:tcPr>
          <w:p w14:paraId="26590CAA" w14:textId="77777777" w:rsidR="00615E2D" w:rsidRDefault="00C83E46">
            <w:pPr>
              <w:pStyle w:val="P68B1DB1-Normal57"/>
              <w:spacing w:before="0" w:after="0" w:line="240" w:lineRule="auto"/>
              <w:jc w:val="center"/>
              <w:rPr>
                <w:noProof/>
              </w:rPr>
            </w:pPr>
            <w:r>
              <w:rPr>
                <w:noProof/>
              </w:rPr>
              <w:t>Savjetodavne usluge o energetskim zajednicama</w:t>
            </w:r>
          </w:p>
        </w:tc>
      </w:tr>
      <w:tr w:rsidR="00615E2D" w14:paraId="7BC19738" w14:textId="77777777">
        <w:trPr>
          <w:trHeight w:val="600"/>
        </w:trPr>
        <w:tc>
          <w:tcPr>
            <w:tcW w:w="1276" w:type="dxa"/>
            <w:tcBorders>
              <w:top w:val="single" w:sz="8" w:space="0" w:color="auto"/>
              <w:left w:val="single" w:sz="8" w:space="0" w:color="auto"/>
              <w:bottom w:val="nil"/>
              <w:right w:val="single" w:sz="8" w:space="0" w:color="auto"/>
            </w:tcBorders>
            <w:shd w:val="clear" w:color="auto" w:fill="C6EFCE"/>
            <w:vAlign w:val="center"/>
            <w:hideMark/>
          </w:tcPr>
          <w:p w14:paraId="75F49494" w14:textId="77777777" w:rsidR="00615E2D" w:rsidRDefault="00C83E46">
            <w:pPr>
              <w:pStyle w:val="P68B1DB1-Normal57"/>
              <w:spacing w:before="0" w:after="0" w:line="240" w:lineRule="auto"/>
              <w:jc w:val="center"/>
              <w:rPr>
                <w:noProof/>
              </w:rPr>
            </w:pPr>
            <w:r>
              <w:rPr>
                <w:noProof/>
              </w:rPr>
              <w:t>126</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2F4EEF9" w14:textId="77777777" w:rsidR="00615E2D" w:rsidRDefault="00C83E46">
            <w:pPr>
              <w:pStyle w:val="P68B1DB1-Normal57"/>
              <w:spacing w:before="0" w:after="0" w:line="240" w:lineRule="auto"/>
              <w:jc w:val="center"/>
              <w:rPr>
                <w:noProof/>
              </w:rPr>
            </w:pPr>
            <w:r>
              <w:rPr>
                <w:noProof/>
              </w:rPr>
              <w:t>C 2.5.: Obnova zgrada i zaštita zraka – ulaganje 1: Obnova i revitalizacija zgrada radi uštede energije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9808E03"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nil"/>
              <w:right w:val="single" w:sz="8" w:space="0" w:color="auto"/>
            </w:tcBorders>
            <w:shd w:val="clear" w:color="auto" w:fill="C6EFCE"/>
            <w:vAlign w:val="center"/>
            <w:hideMark/>
          </w:tcPr>
          <w:p w14:paraId="63D4F4D6" w14:textId="77777777" w:rsidR="00615E2D" w:rsidRDefault="00C83E46">
            <w:pPr>
              <w:pStyle w:val="P68B1DB1-Normal61"/>
              <w:spacing w:before="0" w:after="0" w:line="240" w:lineRule="auto"/>
              <w:jc w:val="center"/>
              <w:rPr>
                <w:noProof/>
                <w:color w:val="006100"/>
              </w:rPr>
            </w:pPr>
            <w:r>
              <w:rPr>
                <w:noProof/>
                <w:color w:val="006100"/>
              </w:rPr>
              <w:t>Smanjenje potrošnje energije</w:t>
            </w:r>
            <w:r>
              <w:rPr>
                <w:noProof/>
                <w:color w:val="000000"/>
              </w:rPr>
              <w:t xml:space="preserve"> </w:t>
            </w:r>
            <w:r>
              <w:rPr>
                <w:noProof/>
                <w:color w:val="006100"/>
              </w:rPr>
              <w:t>i emisija CO2</w:t>
            </w:r>
          </w:p>
        </w:tc>
      </w:tr>
      <w:tr w:rsidR="00615E2D" w14:paraId="5A03F667" w14:textId="77777777">
        <w:trPr>
          <w:trHeight w:val="795"/>
        </w:trPr>
        <w:tc>
          <w:tcPr>
            <w:tcW w:w="1276" w:type="dxa"/>
            <w:tcBorders>
              <w:top w:val="single" w:sz="8" w:space="0" w:color="auto"/>
              <w:left w:val="single" w:sz="8" w:space="0" w:color="auto"/>
              <w:bottom w:val="single" w:sz="8" w:space="0" w:color="000000" w:themeColor="text1"/>
              <w:right w:val="single" w:sz="8" w:space="0" w:color="auto"/>
            </w:tcBorders>
            <w:shd w:val="clear" w:color="auto" w:fill="C6EFCE"/>
            <w:vAlign w:val="center"/>
            <w:hideMark/>
          </w:tcPr>
          <w:p w14:paraId="4CD34B9C" w14:textId="77777777" w:rsidR="00615E2D" w:rsidRDefault="00C83E46">
            <w:pPr>
              <w:pStyle w:val="P68B1DB1-Normal57"/>
              <w:spacing w:before="0" w:after="0" w:line="240" w:lineRule="auto"/>
              <w:jc w:val="center"/>
              <w:rPr>
                <w:noProof/>
              </w:rPr>
            </w:pPr>
            <w:r>
              <w:rPr>
                <w:noProof/>
              </w:rPr>
              <w:t>129</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61087AB5" w14:textId="77777777" w:rsidR="00615E2D" w:rsidRDefault="00C83E46">
            <w:pPr>
              <w:pStyle w:val="P68B1DB1-Normal57"/>
              <w:spacing w:before="0" w:after="0" w:line="240" w:lineRule="auto"/>
              <w:jc w:val="center"/>
              <w:rPr>
                <w:noProof/>
              </w:rPr>
            </w:pPr>
            <w:r>
              <w:rPr>
                <w:noProof/>
              </w:rPr>
              <w:t>C 2.5.: Obnova zgrada i zaštita zraka – ulaganje 2: Zamjena stacionarnih izvora onečišćenja u kućanstvima obnovljivim izvorima energije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D586632"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8" w:space="0" w:color="000000" w:themeColor="text1"/>
              <w:right w:val="single" w:sz="8" w:space="0" w:color="auto"/>
            </w:tcBorders>
            <w:shd w:val="clear" w:color="auto" w:fill="C6EFCE"/>
            <w:vAlign w:val="center"/>
            <w:hideMark/>
          </w:tcPr>
          <w:p w14:paraId="635549FA" w14:textId="77777777" w:rsidR="00615E2D" w:rsidRDefault="00C83E46">
            <w:pPr>
              <w:pStyle w:val="P68B1DB1-Normal57"/>
              <w:spacing w:before="0" w:after="0" w:line="240" w:lineRule="auto"/>
              <w:jc w:val="center"/>
              <w:rPr>
                <w:noProof/>
              </w:rPr>
            </w:pPr>
            <w:r>
              <w:rPr>
                <w:noProof/>
              </w:rPr>
              <w:t>Smanjenje potrošnje energije i emisija CO2</w:t>
            </w:r>
          </w:p>
        </w:tc>
      </w:tr>
      <w:tr w:rsidR="00615E2D" w14:paraId="3C3F1494" w14:textId="77777777">
        <w:trPr>
          <w:trHeight w:val="1185"/>
        </w:trPr>
        <w:tc>
          <w:tcPr>
            <w:tcW w:w="1276" w:type="dxa"/>
            <w:tcBorders>
              <w:top w:val="single" w:sz="4" w:space="0" w:color="000000" w:themeColor="text1"/>
              <w:left w:val="single" w:sz="8" w:space="0" w:color="auto"/>
              <w:bottom w:val="single" w:sz="8" w:space="0" w:color="auto"/>
              <w:right w:val="single" w:sz="8" w:space="0" w:color="auto"/>
            </w:tcBorders>
            <w:shd w:val="clear" w:color="auto" w:fill="C6EFCE"/>
            <w:vAlign w:val="center"/>
            <w:hideMark/>
          </w:tcPr>
          <w:p w14:paraId="6510AD8D" w14:textId="77777777" w:rsidR="00615E2D" w:rsidRDefault="00C83E46">
            <w:pPr>
              <w:pStyle w:val="P68B1DB1-Normal57"/>
              <w:spacing w:before="0" w:after="0" w:line="240" w:lineRule="auto"/>
              <w:jc w:val="center"/>
              <w:rPr>
                <w:noProof/>
              </w:rPr>
            </w:pPr>
            <w:r>
              <w:rPr>
                <w:noProof/>
              </w:rPr>
              <w:t>130</w:t>
            </w:r>
          </w:p>
        </w:tc>
        <w:tc>
          <w:tcPr>
            <w:tcW w:w="396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4BDED5C9" w14:textId="77777777" w:rsidR="00615E2D" w:rsidRDefault="00C83E46">
            <w:pPr>
              <w:pStyle w:val="P68B1DB1-Normal57"/>
              <w:spacing w:before="0" w:after="0" w:line="240" w:lineRule="auto"/>
              <w:jc w:val="center"/>
              <w:rPr>
                <w:noProof/>
              </w:rPr>
            </w:pPr>
            <w:r>
              <w:rPr>
                <w:noProof/>
              </w:rPr>
              <w:t>C 2.5.: Obnova zgrada i zaštita zraka – ulaganje 3: Potpora za pripremu i podizanje svijesti prije projekta, obrazovanje, osposobljavanje i informiranje u području uštede energije i smanjenja emisija stakleničkih plinova i drugih onečišćujućih tvari u zraku</w:t>
            </w:r>
          </w:p>
        </w:tc>
        <w:tc>
          <w:tcPr>
            <w:tcW w:w="1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3EBC5883"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000000" w:themeColor="text1"/>
              <w:left w:val="nil"/>
              <w:bottom w:val="single" w:sz="8" w:space="0" w:color="auto"/>
              <w:right w:val="single" w:sz="8" w:space="0" w:color="auto"/>
            </w:tcBorders>
            <w:shd w:val="clear" w:color="auto" w:fill="C6EFCE"/>
            <w:vAlign w:val="center"/>
            <w:hideMark/>
          </w:tcPr>
          <w:p w14:paraId="5A9C60EC" w14:textId="77777777" w:rsidR="00615E2D" w:rsidRDefault="00C83E46">
            <w:pPr>
              <w:pStyle w:val="P68B1DB1-Normal57"/>
              <w:spacing w:before="0" w:after="0" w:line="240" w:lineRule="auto"/>
              <w:jc w:val="center"/>
              <w:rPr>
                <w:noProof/>
              </w:rPr>
            </w:pPr>
            <w:r>
              <w:rPr>
                <w:noProof/>
              </w:rPr>
              <w:t>Pripremni projekti prije projekta, studije, osposobljavanja i energetski projekti zajednice</w:t>
            </w:r>
          </w:p>
        </w:tc>
      </w:tr>
      <w:tr w:rsidR="00615E2D" w14:paraId="020447D7" w14:textId="77777777">
        <w:trPr>
          <w:trHeight w:val="600"/>
        </w:trPr>
        <w:tc>
          <w:tcPr>
            <w:tcW w:w="1276" w:type="dxa"/>
            <w:tcBorders>
              <w:top w:val="nil"/>
              <w:left w:val="single" w:sz="8" w:space="0" w:color="auto"/>
              <w:bottom w:val="nil"/>
              <w:right w:val="single" w:sz="8" w:space="0" w:color="auto"/>
            </w:tcBorders>
            <w:shd w:val="clear" w:color="auto" w:fill="C6EFCE"/>
            <w:vAlign w:val="center"/>
            <w:hideMark/>
          </w:tcPr>
          <w:p w14:paraId="5B05393F" w14:textId="77777777" w:rsidR="00615E2D" w:rsidRDefault="00C83E46">
            <w:pPr>
              <w:pStyle w:val="P68B1DB1-Normal57"/>
              <w:spacing w:before="0" w:after="0" w:line="240" w:lineRule="auto"/>
              <w:jc w:val="center"/>
              <w:rPr>
                <w:noProof/>
              </w:rPr>
            </w:pPr>
            <w:r>
              <w:rPr>
                <w:noProof/>
              </w:rPr>
              <w:t>149</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2720AAA" w14:textId="77777777" w:rsidR="00615E2D" w:rsidRDefault="00C83E46">
            <w:pPr>
              <w:pStyle w:val="P68B1DB1-Normal57"/>
              <w:spacing w:before="0" w:after="0" w:line="240" w:lineRule="auto"/>
              <w:jc w:val="center"/>
              <w:rPr>
                <w:noProof/>
              </w:rPr>
            </w:pPr>
            <w:r>
              <w:rPr>
                <w:noProof/>
              </w:rPr>
              <w:t>C 2.7.: Kružno gospodarstvo, recikliranje i industrijska voda – ulaganja 1: Izgradnja infrastrukture za recikliranje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C10015D"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nil"/>
              <w:right w:val="single" w:sz="8" w:space="0" w:color="auto"/>
            </w:tcBorders>
            <w:shd w:val="clear" w:color="auto" w:fill="C6EFCE"/>
            <w:vAlign w:val="center"/>
            <w:hideMark/>
          </w:tcPr>
          <w:p w14:paraId="2D110BF4" w14:textId="77777777" w:rsidR="00615E2D" w:rsidRDefault="00C83E46">
            <w:pPr>
              <w:pStyle w:val="P68B1DB1-Normal57"/>
              <w:spacing w:before="0" w:after="0" w:line="240" w:lineRule="auto"/>
              <w:jc w:val="center"/>
              <w:rPr>
                <w:noProof/>
              </w:rPr>
            </w:pPr>
            <w:r>
              <w:rPr>
                <w:noProof/>
              </w:rPr>
              <w:t>Završetak projekata kojima se ulaže u infrastrukturu za recikliranje</w:t>
            </w:r>
          </w:p>
        </w:tc>
      </w:tr>
      <w:tr w:rsidR="00615E2D" w14:paraId="16DDFD36" w14:textId="77777777">
        <w:trPr>
          <w:trHeight w:val="600"/>
        </w:trPr>
        <w:tc>
          <w:tcPr>
            <w:tcW w:w="1276" w:type="dxa"/>
            <w:tcBorders>
              <w:top w:val="single" w:sz="8" w:space="0" w:color="auto"/>
              <w:left w:val="single" w:sz="8" w:space="0" w:color="auto"/>
              <w:bottom w:val="nil"/>
              <w:right w:val="single" w:sz="8" w:space="0" w:color="auto"/>
            </w:tcBorders>
            <w:shd w:val="clear" w:color="auto" w:fill="C6EFCE"/>
            <w:vAlign w:val="center"/>
            <w:hideMark/>
          </w:tcPr>
          <w:p w14:paraId="7944BF6B" w14:textId="77777777" w:rsidR="00615E2D" w:rsidRDefault="00C83E46">
            <w:pPr>
              <w:pStyle w:val="P68B1DB1-Normal57"/>
              <w:spacing w:before="0" w:after="0" w:line="240" w:lineRule="auto"/>
              <w:jc w:val="center"/>
              <w:rPr>
                <w:noProof/>
              </w:rPr>
            </w:pPr>
            <w:r>
              <w:rPr>
                <w:noProof/>
              </w:rPr>
              <w:t>151</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D70748B" w14:textId="77777777" w:rsidR="00615E2D" w:rsidRDefault="00C83E46">
            <w:pPr>
              <w:pStyle w:val="P68B1DB1-Normal57"/>
              <w:spacing w:before="0" w:after="0" w:line="240" w:lineRule="auto"/>
              <w:jc w:val="center"/>
              <w:rPr>
                <w:noProof/>
              </w:rPr>
            </w:pPr>
            <w:r>
              <w:rPr>
                <w:noProof/>
              </w:rPr>
              <w:t>C 2.7.: Kružno gospodarstvo, recikliranje i industrijska voda – ulaganja 2: Kružna rješenja u poduzećima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E33CF0A"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nil"/>
              <w:right w:val="single" w:sz="8" w:space="0" w:color="auto"/>
            </w:tcBorders>
            <w:shd w:val="clear" w:color="auto" w:fill="C6EFCE"/>
            <w:vAlign w:val="center"/>
            <w:hideMark/>
          </w:tcPr>
          <w:p w14:paraId="649A849A" w14:textId="77777777" w:rsidR="00615E2D" w:rsidRDefault="00C83E46">
            <w:pPr>
              <w:pStyle w:val="P68B1DB1-Normal57"/>
              <w:spacing w:before="0" w:after="0" w:line="240" w:lineRule="auto"/>
              <w:jc w:val="center"/>
              <w:rPr>
                <w:noProof/>
              </w:rPr>
            </w:pPr>
            <w:r>
              <w:rPr>
                <w:noProof/>
              </w:rPr>
              <w:t>Završetak projekata kojima se ulaže u kružna rješenja u poduzećima</w:t>
            </w:r>
          </w:p>
        </w:tc>
      </w:tr>
      <w:tr w:rsidR="00615E2D" w14:paraId="7C673FD7" w14:textId="77777777">
        <w:trPr>
          <w:trHeight w:val="405"/>
        </w:trPr>
        <w:tc>
          <w:tcPr>
            <w:tcW w:w="1276" w:type="dxa"/>
            <w:tcBorders>
              <w:top w:val="single" w:sz="8" w:space="0" w:color="auto"/>
              <w:left w:val="single" w:sz="8" w:space="0" w:color="auto"/>
              <w:bottom w:val="nil"/>
              <w:right w:val="single" w:sz="8" w:space="0" w:color="auto"/>
            </w:tcBorders>
            <w:shd w:val="clear" w:color="auto" w:fill="C6EFCE"/>
            <w:vAlign w:val="center"/>
            <w:hideMark/>
          </w:tcPr>
          <w:p w14:paraId="5D47BE5B" w14:textId="77777777" w:rsidR="00615E2D" w:rsidRDefault="00C83E46">
            <w:pPr>
              <w:pStyle w:val="P68B1DB1-Normal57"/>
              <w:spacing w:before="0" w:after="0" w:line="240" w:lineRule="auto"/>
              <w:jc w:val="center"/>
              <w:rPr>
                <w:noProof/>
              </w:rPr>
            </w:pPr>
            <w:r>
              <w:rPr>
                <w:noProof/>
              </w:rPr>
              <w:t>153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45E9CAD" w14:textId="77777777" w:rsidR="00615E2D" w:rsidRDefault="00C83E46">
            <w:pPr>
              <w:pStyle w:val="P68B1DB1-Normal57"/>
              <w:spacing w:before="0" w:after="0" w:line="240" w:lineRule="auto"/>
              <w:jc w:val="center"/>
              <w:rPr>
                <w:noProof/>
              </w:rPr>
            </w:pPr>
            <w:r>
              <w:rPr>
                <w:noProof/>
              </w:rPr>
              <w:t>C 2.7.: Kružno gospodarstvo, recikliranje i industrijska voda – ulaganja 3: Ušteda vode u industriji</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5CAD56BD"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nil"/>
              <w:right w:val="single" w:sz="8" w:space="0" w:color="auto"/>
            </w:tcBorders>
            <w:shd w:val="clear" w:color="auto" w:fill="C6EFCE"/>
            <w:vAlign w:val="center"/>
            <w:hideMark/>
          </w:tcPr>
          <w:p w14:paraId="00E56BDA" w14:textId="77777777" w:rsidR="00615E2D" w:rsidRDefault="00C83E46">
            <w:pPr>
              <w:pStyle w:val="P68B1DB1-Normal57"/>
              <w:spacing w:before="0" w:after="0" w:line="240" w:lineRule="auto"/>
              <w:jc w:val="center"/>
              <w:rPr>
                <w:noProof/>
              </w:rPr>
            </w:pPr>
            <w:r>
              <w:rPr>
                <w:noProof/>
              </w:rPr>
              <w:t>Završetak projekata za uštedu i optimizaciju vode u industriji</w:t>
            </w:r>
          </w:p>
        </w:tc>
      </w:tr>
      <w:tr w:rsidR="00615E2D" w14:paraId="23EC80F5" w14:textId="77777777">
        <w:trPr>
          <w:trHeight w:val="405"/>
        </w:trPr>
        <w:tc>
          <w:tcPr>
            <w:tcW w:w="1276" w:type="dxa"/>
            <w:tcBorders>
              <w:top w:val="single" w:sz="8" w:space="0" w:color="auto"/>
              <w:left w:val="single" w:sz="8" w:space="0" w:color="auto"/>
              <w:bottom w:val="nil"/>
              <w:right w:val="single" w:sz="8" w:space="0" w:color="auto"/>
            </w:tcBorders>
            <w:shd w:val="clear" w:color="auto" w:fill="C6EFCE"/>
            <w:vAlign w:val="center"/>
            <w:hideMark/>
          </w:tcPr>
          <w:p w14:paraId="20091D69" w14:textId="77777777" w:rsidR="00615E2D" w:rsidRDefault="00C83E46">
            <w:pPr>
              <w:pStyle w:val="P68B1DB1-Normal56"/>
              <w:spacing w:before="0" w:after="0" w:line="240" w:lineRule="auto"/>
              <w:jc w:val="center"/>
              <w:rPr>
                <w:noProof/>
              </w:rPr>
            </w:pPr>
            <w:r>
              <w:rPr>
                <w:noProof/>
              </w:rPr>
              <w:t>155</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18B9FF5E" w14:textId="77777777" w:rsidR="00615E2D" w:rsidRDefault="00C83E46">
            <w:pPr>
              <w:pStyle w:val="P68B1DB1-Normal57"/>
              <w:spacing w:before="0" w:after="0" w:line="240" w:lineRule="auto"/>
              <w:jc w:val="center"/>
              <w:rPr>
                <w:noProof/>
              </w:rPr>
            </w:pPr>
            <w:r>
              <w:rPr>
                <w:noProof/>
              </w:rPr>
              <w:t>C 2.8.: Oživljavanje neiskorištenih područja – ulaganje 1: Potpora za revitalizaciju određenih područja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28671CC"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nil"/>
              <w:right w:val="single" w:sz="8" w:space="0" w:color="auto"/>
            </w:tcBorders>
            <w:shd w:val="clear" w:color="auto" w:fill="C6EFCE"/>
            <w:vAlign w:val="center"/>
            <w:hideMark/>
          </w:tcPr>
          <w:p w14:paraId="6AC85EDF" w14:textId="77777777" w:rsidR="00615E2D" w:rsidRDefault="00C83E46">
            <w:pPr>
              <w:pStyle w:val="P68B1DB1-Normal56"/>
              <w:spacing w:before="0" w:after="0" w:line="240" w:lineRule="auto"/>
              <w:jc w:val="center"/>
              <w:rPr>
                <w:noProof/>
              </w:rPr>
            </w:pPr>
            <w:r>
              <w:rPr>
                <w:noProof/>
              </w:rPr>
              <w:t>Završetak projekata energetski učinkovite revitalizacije određenih napuštenih područja</w:t>
            </w:r>
          </w:p>
        </w:tc>
      </w:tr>
      <w:tr w:rsidR="00615E2D" w14:paraId="32F7C0F7" w14:textId="77777777">
        <w:trPr>
          <w:trHeight w:val="600"/>
        </w:trPr>
        <w:tc>
          <w:tcPr>
            <w:tcW w:w="1276" w:type="dxa"/>
            <w:tcBorders>
              <w:top w:val="single" w:sz="8" w:space="0" w:color="auto"/>
              <w:left w:val="single" w:sz="8" w:space="0" w:color="auto"/>
              <w:bottom w:val="nil"/>
              <w:right w:val="single" w:sz="8" w:space="0" w:color="auto"/>
            </w:tcBorders>
            <w:shd w:val="clear" w:color="auto" w:fill="C6EFCE"/>
            <w:vAlign w:val="center"/>
            <w:hideMark/>
          </w:tcPr>
          <w:p w14:paraId="431BF8DE" w14:textId="77777777" w:rsidR="00615E2D" w:rsidRDefault="00C83E46">
            <w:pPr>
              <w:pStyle w:val="P68B1DB1-Normal56"/>
              <w:spacing w:before="0" w:after="0" w:line="240" w:lineRule="auto"/>
              <w:jc w:val="center"/>
              <w:rPr>
                <w:noProof/>
              </w:rPr>
            </w:pPr>
            <w:r>
              <w:rPr>
                <w:noProof/>
              </w:rPr>
              <w:t>157</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3272987" w14:textId="77777777" w:rsidR="00615E2D" w:rsidRDefault="00C83E46">
            <w:pPr>
              <w:pStyle w:val="P68B1DB1-Normal57"/>
              <w:spacing w:before="0" w:after="0" w:line="240" w:lineRule="auto"/>
              <w:jc w:val="center"/>
              <w:rPr>
                <w:noProof/>
              </w:rPr>
            </w:pPr>
            <w:r>
              <w:rPr>
                <w:noProof/>
              </w:rPr>
              <w:t>C 2.8.: Revitalizacija neiskorištenih područja – ulaganje 2: Potpora revitalizaciji područja u javnom vlasništvu za neposlovnu uporabu</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070E175"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nil"/>
              <w:right w:val="single" w:sz="8" w:space="0" w:color="auto"/>
            </w:tcBorders>
            <w:shd w:val="clear" w:color="auto" w:fill="C6EFCE"/>
            <w:vAlign w:val="center"/>
            <w:hideMark/>
          </w:tcPr>
          <w:p w14:paraId="75860EEE" w14:textId="77777777" w:rsidR="00615E2D" w:rsidRDefault="00C83E46">
            <w:pPr>
              <w:pStyle w:val="P68B1DB1-Normal56"/>
              <w:spacing w:before="0" w:after="0" w:line="240" w:lineRule="auto"/>
              <w:jc w:val="center"/>
              <w:rPr>
                <w:noProof/>
              </w:rPr>
            </w:pPr>
            <w:r>
              <w:rPr>
                <w:noProof/>
              </w:rPr>
              <w:t>Završetak projekata energetski učinkovite revitalizacije neiskorištenih industrijskih područja u vlasništvu općina i regija za neposlovnu uporabu</w:t>
            </w:r>
          </w:p>
        </w:tc>
      </w:tr>
      <w:tr w:rsidR="00615E2D" w14:paraId="43FC0D62" w14:textId="77777777">
        <w:trPr>
          <w:trHeight w:val="600"/>
        </w:trPr>
        <w:tc>
          <w:tcPr>
            <w:tcW w:w="1276" w:type="dxa"/>
            <w:tcBorders>
              <w:top w:val="single" w:sz="8" w:space="0" w:color="auto"/>
              <w:left w:val="single" w:sz="8" w:space="0" w:color="auto"/>
              <w:bottom w:val="single" w:sz="4" w:space="0" w:color="auto"/>
              <w:right w:val="single" w:sz="8" w:space="0" w:color="auto"/>
            </w:tcBorders>
            <w:shd w:val="clear" w:color="auto" w:fill="C6EFCE"/>
            <w:vAlign w:val="center"/>
            <w:hideMark/>
          </w:tcPr>
          <w:p w14:paraId="65B28AFC" w14:textId="77777777" w:rsidR="00615E2D" w:rsidRDefault="00C83E46">
            <w:pPr>
              <w:pStyle w:val="P68B1DB1-Normal56"/>
              <w:spacing w:before="0" w:after="0" w:line="240" w:lineRule="auto"/>
              <w:jc w:val="center"/>
              <w:rPr>
                <w:noProof/>
              </w:rPr>
            </w:pPr>
            <w:r>
              <w:rPr>
                <w:noProof/>
              </w:rPr>
              <w:t>159</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0D8ADBCA" w14:textId="77777777" w:rsidR="00615E2D" w:rsidRDefault="00C83E46">
            <w:pPr>
              <w:pStyle w:val="P68B1DB1-Normal57"/>
              <w:spacing w:before="0" w:after="0" w:line="240" w:lineRule="auto"/>
              <w:jc w:val="center"/>
              <w:rPr>
                <w:noProof/>
              </w:rPr>
            </w:pPr>
            <w:r>
              <w:rPr>
                <w:noProof/>
              </w:rPr>
              <w:t>C 2.8.: Revitalizacija neiskorištenih područja – ulaganje 3: Potpora za revitalizaciju područja u javnom vlasništvu za poslovnu uporabu</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231E79A0"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4" w:space="0" w:color="auto"/>
              <w:right w:val="single" w:sz="8" w:space="0" w:color="auto"/>
            </w:tcBorders>
            <w:shd w:val="clear" w:color="auto" w:fill="C6EFCE"/>
            <w:vAlign w:val="center"/>
            <w:hideMark/>
          </w:tcPr>
          <w:p w14:paraId="632CAD2A" w14:textId="77777777" w:rsidR="00615E2D" w:rsidRDefault="00C83E46">
            <w:pPr>
              <w:pStyle w:val="P68B1DB1-Normal56"/>
              <w:spacing w:before="0" w:after="0" w:line="240" w:lineRule="auto"/>
              <w:jc w:val="center"/>
              <w:rPr>
                <w:noProof/>
              </w:rPr>
            </w:pPr>
            <w:r>
              <w:rPr>
                <w:noProof/>
              </w:rPr>
              <w:t>Završetak projekata energetski učinkovite revitalizacije napuštenih i neiskorištenih industrijskih područja u vlasništvu općina i regija za poslovnu uporabu</w:t>
            </w:r>
          </w:p>
        </w:tc>
      </w:tr>
      <w:tr w:rsidR="00615E2D" w14:paraId="1BBBDF11"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79A3C5F" w14:textId="77777777" w:rsidR="00615E2D" w:rsidRDefault="00C83E46">
            <w:pPr>
              <w:pStyle w:val="P68B1DB1-Normal56"/>
              <w:spacing w:before="0" w:after="0" w:line="240" w:lineRule="auto"/>
              <w:jc w:val="center"/>
              <w:rPr>
                <w:noProof/>
              </w:rPr>
            </w:pPr>
            <w:r>
              <w:rPr>
                <w:noProof/>
              </w:rPr>
              <w:t>162</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30AE533" w14:textId="77777777" w:rsidR="00615E2D" w:rsidRDefault="00C83E46">
            <w:pPr>
              <w:pStyle w:val="P68B1DB1-Normal57"/>
              <w:spacing w:before="0" w:after="0" w:line="240" w:lineRule="auto"/>
              <w:jc w:val="center"/>
              <w:rPr>
                <w:noProof/>
              </w:rPr>
            </w:pPr>
            <w:r>
              <w:rPr>
                <w:noProof/>
              </w:rPr>
              <w:t>C 2.9: Promicanje biološke raznolikosti i borbe protiv suše – ulaganje 1: Zaštita od suša i poplava grada Brna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407A374"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4166F61" w14:textId="77777777" w:rsidR="00615E2D" w:rsidRDefault="00C83E46">
            <w:pPr>
              <w:pStyle w:val="P68B1DB1-Normal56"/>
              <w:spacing w:before="0" w:after="0" w:line="240" w:lineRule="auto"/>
              <w:jc w:val="center"/>
              <w:rPr>
                <w:noProof/>
              </w:rPr>
            </w:pPr>
            <w:r>
              <w:rPr>
                <w:noProof/>
              </w:rPr>
              <w:t>Završetak prirodnih mjera zaštite od poplava za zaštitu grada Brna</w:t>
            </w:r>
          </w:p>
        </w:tc>
      </w:tr>
      <w:tr w:rsidR="00615E2D" w14:paraId="7934DA14"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1694859" w14:textId="77777777" w:rsidR="00615E2D" w:rsidRDefault="00C83E46">
            <w:pPr>
              <w:pStyle w:val="P68B1DB1-Normal56"/>
              <w:spacing w:before="0" w:after="0" w:line="240" w:lineRule="auto"/>
              <w:jc w:val="center"/>
              <w:rPr>
                <w:noProof/>
              </w:rPr>
            </w:pPr>
            <w:r>
              <w:rPr>
                <w:noProof/>
              </w:rPr>
              <w:t>163</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F094884" w14:textId="77777777" w:rsidR="00615E2D" w:rsidRDefault="00C83E46">
            <w:pPr>
              <w:pStyle w:val="P68B1DB1-Normal57"/>
              <w:spacing w:before="0" w:after="0" w:line="240" w:lineRule="auto"/>
              <w:jc w:val="center"/>
              <w:rPr>
                <w:noProof/>
              </w:rPr>
            </w:pPr>
            <w:r>
              <w:rPr>
                <w:noProof/>
              </w:rPr>
              <w:t>C 2.9: Promicanje biološke raznolikosti i borbe protiv suše – ulaganje 2: Upravljanje kišnicom u gradskim aglomeracijama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22F9CAF"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79AD046" w14:textId="77777777" w:rsidR="00615E2D" w:rsidRDefault="00C83E46">
            <w:pPr>
              <w:pStyle w:val="P68B1DB1-Normal56"/>
              <w:spacing w:before="0" w:after="0" w:line="240" w:lineRule="auto"/>
              <w:jc w:val="center"/>
              <w:rPr>
                <w:noProof/>
              </w:rPr>
            </w:pPr>
            <w:r>
              <w:rPr>
                <w:noProof/>
              </w:rPr>
              <w:t xml:space="preserve">Povećanje količine kišnice zadržane mjerama upravljanja kišnicom u urbanim područjima </w:t>
            </w:r>
          </w:p>
        </w:tc>
      </w:tr>
      <w:tr w:rsidR="00615E2D" w14:paraId="51A3C6A5" w14:textId="77777777">
        <w:trPr>
          <w:trHeight w:val="795"/>
        </w:trPr>
        <w:tc>
          <w:tcPr>
            <w:tcW w:w="1276" w:type="dxa"/>
            <w:tcBorders>
              <w:top w:val="single" w:sz="4" w:space="0" w:color="auto"/>
              <w:left w:val="single" w:sz="8" w:space="0" w:color="auto"/>
              <w:bottom w:val="nil"/>
              <w:right w:val="single" w:sz="8" w:space="0" w:color="000000" w:themeColor="text1"/>
            </w:tcBorders>
            <w:shd w:val="clear" w:color="auto" w:fill="C6EFCE"/>
            <w:vAlign w:val="center"/>
            <w:hideMark/>
          </w:tcPr>
          <w:p w14:paraId="7B9F2A7F" w14:textId="77777777" w:rsidR="00615E2D" w:rsidRDefault="00C83E46">
            <w:pPr>
              <w:pStyle w:val="P68B1DB1-Normal56"/>
              <w:spacing w:before="0" w:after="0" w:line="240" w:lineRule="auto"/>
              <w:jc w:val="center"/>
              <w:rPr>
                <w:noProof/>
              </w:rPr>
            </w:pPr>
            <w:r>
              <w:rPr>
                <w:noProof/>
              </w:rPr>
              <w:t>164</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242E4672" w14:textId="77777777" w:rsidR="00615E2D" w:rsidRDefault="00C83E46">
            <w:pPr>
              <w:pStyle w:val="P68B1DB1-Normal57"/>
              <w:spacing w:before="0" w:after="0" w:line="240" w:lineRule="auto"/>
              <w:jc w:val="center"/>
              <w:rPr>
                <w:noProof/>
              </w:rPr>
            </w:pPr>
            <w:r>
              <w:rPr>
                <w:noProof/>
              </w:rPr>
              <w:t xml:space="preserve">C 2.9: Promicanje biološke raznolikosti i borbe protiv suše – ulaganje 3: Zaštićena područja uključujući područja mreže Natura 2000 i zaštićene vrste bilja i životinja </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1E514414"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nil"/>
              <w:right w:val="single" w:sz="8" w:space="0" w:color="000000" w:themeColor="text1"/>
            </w:tcBorders>
            <w:shd w:val="clear" w:color="auto" w:fill="C6EFCE"/>
            <w:vAlign w:val="center"/>
            <w:hideMark/>
          </w:tcPr>
          <w:p w14:paraId="2EAD83BD" w14:textId="77777777" w:rsidR="00615E2D" w:rsidRDefault="00C83E46">
            <w:pPr>
              <w:pStyle w:val="P68B1DB1-Normal56"/>
              <w:spacing w:before="0" w:after="0" w:line="240" w:lineRule="auto"/>
              <w:jc w:val="center"/>
              <w:rPr>
                <w:noProof/>
              </w:rPr>
            </w:pPr>
            <w:r>
              <w:rPr>
                <w:noProof/>
              </w:rPr>
              <w:t xml:space="preserve">Završetak projekata čiji je cilj očuvanje zaštićenih područja, uključujući područja mreže Natura 2000, i zaštićenih vrsta bilja i životinja. </w:t>
            </w:r>
          </w:p>
        </w:tc>
      </w:tr>
      <w:tr w:rsidR="00615E2D" w14:paraId="7750EC92" w14:textId="77777777">
        <w:trPr>
          <w:trHeight w:val="60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130891BE" w14:textId="77777777" w:rsidR="00615E2D" w:rsidRDefault="00C83E46">
            <w:pPr>
              <w:pStyle w:val="P68B1DB1-Normal56"/>
              <w:spacing w:before="0" w:after="0" w:line="240" w:lineRule="auto"/>
              <w:jc w:val="center"/>
              <w:rPr>
                <w:noProof/>
              </w:rPr>
            </w:pPr>
            <w:r>
              <w:rPr>
                <w:noProof/>
              </w:rPr>
              <w:t>165</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ACBEBC8" w14:textId="77777777" w:rsidR="00615E2D" w:rsidRDefault="00C83E46">
            <w:pPr>
              <w:pStyle w:val="P68B1DB1-Normal57"/>
              <w:spacing w:before="0" w:after="0" w:line="240" w:lineRule="auto"/>
              <w:jc w:val="center"/>
              <w:rPr>
                <w:noProof/>
              </w:rPr>
            </w:pPr>
            <w:r>
              <w:rPr>
                <w:noProof/>
              </w:rPr>
              <w:t xml:space="preserve">C 2.9: Promicanje biološke raznolikosti i borbe protiv suše – ulaganje 4: Prilagodba vodnih, nešumskih i šumskih ekosustava klimatskim promjenama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0C21359F"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7112BFB1" w14:textId="77777777" w:rsidR="00615E2D" w:rsidRDefault="00C83E46">
            <w:pPr>
              <w:pStyle w:val="P68B1DB1-Normal56"/>
              <w:spacing w:before="0" w:after="0" w:line="240" w:lineRule="auto"/>
              <w:jc w:val="center"/>
              <w:rPr>
                <w:noProof/>
              </w:rPr>
            </w:pPr>
            <w:r>
              <w:rPr>
                <w:noProof/>
              </w:rPr>
              <w:t xml:space="preserve">Završetak projekata čiji je cilj prilagodba vodenih, nešumskih i šumskih ekosustava klimatskim promjenama </w:t>
            </w:r>
          </w:p>
        </w:tc>
      </w:tr>
      <w:tr w:rsidR="00615E2D" w14:paraId="3F604EB0" w14:textId="77777777">
        <w:trPr>
          <w:trHeight w:val="600"/>
        </w:trPr>
        <w:tc>
          <w:tcPr>
            <w:tcW w:w="1276" w:type="dxa"/>
            <w:tcBorders>
              <w:top w:val="nil"/>
              <w:left w:val="single" w:sz="8" w:space="0" w:color="auto"/>
              <w:bottom w:val="single" w:sz="8" w:space="0" w:color="auto"/>
              <w:right w:val="single" w:sz="8" w:space="0" w:color="auto"/>
            </w:tcBorders>
            <w:shd w:val="clear" w:color="auto" w:fill="C6EFCE"/>
            <w:vAlign w:val="center"/>
            <w:hideMark/>
          </w:tcPr>
          <w:p w14:paraId="7690A63B" w14:textId="77777777" w:rsidR="00615E2D" w:rsidRDefault="00C83E46">
            <w:pPr>
              <w:pStyle w:val="P68B1DB1-Normal56"/>
              <w:spacing w:before="0" w:after="0" w:line="240" w:lineRule="auto"/>
              <w:jc w:val="center"/>
              <w:rPr>
                <w:noProof/>
              </w:rPr>
            </w:pPr>
            <w:r>
              <w:rPr>
                <w:noProof/>
              </w:rPr>
              <w:t>166</w:t>
            </w:r>
          </w:p>
        </w:tc>
        <w:tc>
          <w:tcPr>
            <w:tcW w:w="3969" w:type="dxa"/>
            <w:tcBorders>
              <w:top w:val="nil"/>
              <w:left w:val="nil"/>
              <w:bottom w:val="single" w:sz="8" w:space="0" w:color="auto"/>
              <w:right w:val="single" w:sz="8" w:space="0" w:color="000000" w:themeColor="text1"/>
            </w:tcBorders>
            <w:shd w:val="clear" w:color="auto" w:fill="C6EFCE"/>
            <w:vAlign w:val="center"/>
            <w:hideMark/>
          </w:tcPr>
          <w:p w14:paraId="264615C1" w14:textId="77777777" w:rsidR="00615E2D" w:rsidRDefault="00C83E46">
            <w:pPr>
              <w:pStyle w:val="P68B1DB1-Normal57"/>
              <w:spacing w:before="0" w:after="0" w:line="240" w:lineRule="auto"/>
              <w:jc w:val="center"/>
              <w:rPr>
                <w:noProof/>
              </w:rPr>
            </w:pPr>
            <w:r>
              <w:rPr>
                <w:noProof/>
              </w:rPr>
              <w:t>C 2.9: Promicanje biološke raznolikosti i borbe protiv suše – ulaganje 4: Prilagodba vodnih, nešumskih i šumskih ekosustava klimatskim promjenama</w:t>
            </w:r>
          </w:p>
        </w:tc>
        <w:tc>
          <w:tcPr>
            <w:tcW w:w="1843" w:type="dxa"/>
            <w:tcBorders>
              <w:top w:val="nil"/>
              <w:left w:val="nil"/>
              <w:bottom w:val="single" w:sz="8" w:space="0" w:color="auto"/>
              <w:right w:val="single" w:sz="8" w:space="0" w:color="auto"/>
            </w:tcBorders>
            <w:shd w:val="clear" w:color="auto" w:fill="C6EFCE"/>
            <w:vAlign w:val="center"/>
            <w:hideMark/>
          </w:tcPr>
          <w:p w14:paraId="69BD4B60" w14:textId="77777777" w:rsidR="00615E2D" w:rsidRDefault="00C83E46">
            <w:pPr>
              <w:pStyle w:val="P68B1DB1-Normal56"/>
              <w:spacing w:before="0" w:after="0" w:line="240" w:lineRule="auto"/>
              <w:jc w:val="center"/>
              <w:rPr>
                <w:noProof/>
              </w:rPr>
            </w:pPr>
            <w:r>
              <w:rPr>
                <w:noProof/>
              </w:rPr>
              <w:t>Ciljna</w:t>
            </w:r>
          </w:p>
        </w:tc>
        <w:tc>
          <w:tcPr>
            <w:tcW w:w="3402" w:type="dxa"/>
            <w:tcBorders>
              <w:top w:val="nil"/>
              <w:left w:val="nil"/>
              <w:bottom w:val="single" w:sz="8" w:space="0" w:color="auto"/>
              <w:right w:val="single" w:sz="8" w:space="0" w:color="auto"/>
            </w:tcBorders>
            <w:shd w:val="clear" w:color="auto" w:fill="C6EFCE"/>
            <w:vAlign w:val="center"/>
            <w:hideMark/>
          </w:tcPr>
          <w:p w14:paraId="1E019FE8" w14:textId="77777777" w:rsidR="00615E2D" w:rsidRDefault="00C83E46">
            <w:pPr>
              <w:pStyle w:val="P68B1DB1-Normal56"/>
              <w:spacing w:before="0" w:after="0" w:line="240" w:lineRule="auto"/>
              <w:jc w:val="center"/>
              <w:rPr>
                <w:noProof/>
              </w:rPr>
            </w:pPr>
            <w:r>
              <w:rPr>
                <w:noProof/>
              </w:rPr>
              <w:t>Procjena potencijala za zadržavanje vode i prijedlog konkretnih mjera</w:t>
            </w:r>
          </w:p>
        </w:tc>
      </w:tr>
      <w:tr w:rsidR="00615E2D" w14:paraId="0EFCC19D" w14:textId="77777777">
        <w:trPr>
          <w:trHeight w:val="600"/>
        </w:trPr>
        <w:tc>
          <w:tcPr>
            <w:tcW w:w="1276" w:type="dxa"/>
            <w:tcBorders>
              <w:top w:val="nil"/>
              <w:left w:val="single" w:sz="8" w:space="0" w:color="auto"/>
              <w:bottom w:val="single" w:sz="8" w:space="0" w:color="auto"/>
              <w:right w:val="single" w:sz="8" w:space="0" w:color="000000" w:themeColor="text1"/>
            </w:tcBorders>
            <w:shd w:val="clear" w:color="auto" w:fill="C6EFCE"/>
            <w:vAlign w:val="center"/>
            <w:hideMark/>
          </w:tcPr>
          <w:p w14:paraId="6CB793BF" w14:textId="77777777" w:rsidR="00615E2D" w:rsidRDefault="00C83E46">
            <w:pPr>
              <w:pStyle w:val="P68B1DB1-Normal56"/>
              <w:spacing w:before="0" w:after="0" w:line="240" w:lineRule="auto"/>
              <w:jc w:val="center"/>
              <w:rPr>
                <w:noProof/>
              </w:rPr>
            </w:pPr>
            <w:r>
              <w:rPr>
                <w:noProof/>
              </w:rPr>
              <w:t>167</w:t>
            </w:r>
          </w:p>
        </w:tc>
        <w:tc>
          <w:tcPr>
            <w:tcW w:w="3969" w:type="dxa"/>
            <w:tcBorders>
              <w:top w:val="nil"/>
              <w:left w:val="nil"/>
              <w:bottom w:val="single" w:sz="8" w:space="0" w:color="auto"/>
              <w:right w:val="single" w:sz="8" w:space="0" w:color="000000" w:themeColor="text1"/>
            </w:tcBorders>
            <w:shd w:val="clear" w:color="auto" w:fill="C6EFCE"/>
            <w:vAlign w:val="center"/>
            <w:hideMark/>
          </w:tcPr>
          <w:p w14:paraId="59ABF01C" w14:textId="77777777" w:rsidR="00615E2D" w:rsidRDefault="00C83E46">
            <w:pPr>
              <w:pStyle w:val="P68B1DB1-Normal57"/>
              <w:spacing w:before="0" w:after="0" w:line="240" w:lineRule="auto"/>
              <w:jc w:val="center"/>
              <w:rPr>
                <w:noProof/>
              </w:rPr>
            </w:pPr>
            <w:r>
              <w:rPr>
                <w:noProof/>
              </w:rPr>
              <w:t>C 2.9: Promicanje biološke raznolikosti i borbe protiv suše – ulaganje 4: Prilagodba vodnih, nešumskih i šumskih ekosustava klimatskim promjenama</w:t>
            </w:r>
          </w:p>
        </w:tc>
        <w:tc>
          <w:tcPr>
            <w:tcW w:w="1843" w:type="dxa"/>
            <w:tcBorders>
              <w:top w:val="nil"/>
              <w:left w:val="nil"/>
              <w:bottom w:val="single" w:sz="8" w:space="0" w:color="auto"/>
              <w:right w:val="single" w:sz="8" w:space="0" w:color="000000" w:themeColor="text1"/>
            </w:tcBorders>
            <w:shd w:val="clear" w:color="auto" w:fill="C6EFCE"/>
            <w:vAlign w:val="center"/>
            <w:hideMark/>
          </w:tcPr>
          <w:p w14:paraId="34274767" w14:textId="77777777" w:rsidR="00615E2D" w:rsidRDefault="00C83E46">
            <w:pPr>
              <w:pStyle w:val="P68B1DB1-Normal56"/>
              <w:spacing w:before="0" w:after="0" w:line="240" w:lineRule="auto"/>
              <w:jc w:val="center"/>
              <w:rPr>
                <w:noProof/>
              </w:rPr>
            </w:pPr>
            <w:r>
              <w:rPr>
                <w:noProof/>
              </w:rPr>
              <w:t>Ciljna</w:t>
            </w:r>
          </w:p>
        </w:tc>
        <w:tc>
          <w:tcPr>
            <w:tcW w:w="3402" w:type="dxa"/>
            <w:tcBorders>
              <w:top w:val="nil"/>
              <w:left w:val="nil"/>
              <w:bottom w:val="single" w:sz="8" w:space="0" w:color="auto"/>
              <w:right w:val="single" w:sz="8" w:space="0" w:color="000000" w:themeColor="text1"/>
            </w:tcBorders>
            <w:shd w:val="clear" w:color="auto" w:fill="C6EFCE"/>
            <w:vAlign w:val="center"/>
            <w:hideMark/>
          </w:tcPr>
          <w:p w14:paraId="61EAFD1A" w14:textId="77777777" w:rsidR="00615E2D" w:rsidRDefault="00C83E46">
            <w:pPr>
              <w:pStyle w:val="P68B1DB1-Normal56"/>
              <w:spacing w:before="0" w:after="0" w:line="240" w:lineRule="auto"/>
              <w:jc w:val="center"/>
              <w:rPr>
                <w:noProof/>
              </w:rPr>
            </w:pPr>
            <w:r>
              <w:rPr>
                <w:noProof/>
              </w:rPr>
              <w:t>Provedba predloženih odabranih mjera za zadržavanje vode</w:t>
            </w:r>
          </w:p>
        </w:tc>
      </w:tr>
      <w:tr w:rsidR="00615E2D" w14:paraId="4A7BB30A" w14:textId="77777777">
        <w:trPr>
          <w:trHeight w:val="600"/>
        </w:trPr>
        <w:tc>
          <w:tcPr>
            <w:tcW w:w="1276" w:type="dxa"/>
            <w:tcBorders>
              <w:top w:val="nil"/>
              <w:left w:val="single" w:sz="8" w:space="0" w:color="auto"/>
              <w:bottom w:val="nil"/>
              <w:right w:val="single" w:sz="8" w:space="0" w:color="auto"/>
            </w:tcBorders>
            <w:shd w:val="clear" w:color="auto" w:fill="C6EFCE"/>
            <w:vAlign w:val="center"/>
            <w:hideMark/>
          </w:tcPr>
          <w:p w14:paraId="119C5E7B" w14:textId="77777777" w:rsidR="00615E2D" w:rsidRDefault="00C83E46">
            <w:pPr>
              <w:pStyle w:val="P68B1DB1-Normal56"/>
              <w:spacing w:before="0" w:after="0" w:line="240" w:lineRule="auto"/>
              <w:jc w:val="center"/>
              <w:rPr>
                <w:noProof/>
              </w:rPr>
            </w:pPr>
            <w:r>
              <w:rPr>
                <w:noProof/>
              </w:rPr>
              <w:t>173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36E1623C" w14:textId="77777777" w:rsidR="00615E2D" w:rsidRDefault="00C83E46">
            <w:pPr>
              <w:pStyle w:val="P68B1DB1-Normal57"/>
              <w:spacing w:before="0" w:after="0" w:line="240" w:lineRule="auto"/>
              <w:jc w:val="center"/>
              <w:rPr>
                <w:noProof/>
              </w:rPr>
            </w:pPr>
            <w:r>
              <w:rPr>
                <w:noProof/>
              </w:rPr>
              <w:t>C 3.1: Inovacije u obrazovanju u kontekstu digitalizacije – ulaganje 2: Digitalna oprema za škole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F82718F" w14:textId="2EFEDCD4" w:rsidR="00615E2D" w:rsidRDefault="00C83E46">
            <w:pPr>
              <w:pStyle w:val="P68B1DB1-Normal35"/>
              <w:spacing w:before="0" w:after="0" w:line="240" w:lineRule="auto"/>
              <w:jc w:val="center"/>
              <w:rPr>
                <w:rFonts w:eastAsia="Times New Roman"/>
                <w:noProof/>
                <w:sz w:val="20"/>
              </w:rPr>
            </w:pPr>
            <w:r>
              <w:rPr>
                <w:noProof/>
              </w:rPr>
              <w:t>Ciljna</w:t>
            </w:r>
          </w:p>
        </w:tc>
        <w:tc>
          <w:tcPr>
            <w:tcW w:w="3402" w:type="dxa"/>
            <w:tcBorders>
              <w:top w:val="nil"/>
              <w:left w:val="nil"/>
              <w:bottom w:val="nil"/>
              <w:right w:val="single" w:sz="8" w:space="0" w:color="auto"/>
            </w:tcBorders>
            <w:shd w:val="clear" w:color="auto" w:fill="C6EFCE"/>
            <w:vAlign w:val="center"/>
            <w:hideMark/>
          </w:tcPr>
          <w:p w14:paraId="4A4B6C04" w14:textId="77777777" w:rsidR="00615E2D" w:rsidRDefault="00C83E46">
            <w:pPr>
              <w:pStyle w:val="P68B1DB1-Normal56"/>
              <w:spacing w:before="0" w:after="0" w:line="240" w:lineRule="auto"/>
              <w:jc w:val="center"/>
              <w:rPr>
                <w:noProof/>
              </w:rPr>
            </w:pPr>
            <w:r>
              <w:rPr>
                <w:noProof/>
              </w:rPr>
              <w:t>Broj informatičkih uređaja kupljenih za školski fond mobilnih digitalnih uređaja za učenike u nepovoljnom položaju</w:t>
            </w:r>
          </w:p>
        </w:tc>
      </w:tr>
      <w:tr w:rsidR="00615E2D" w14:paraId="7A912280" w14:textId="77777777">
        <w:trPr>
          <w:trHeight w:val="405"/>
        </w:trPr>
        <w:tc>
          <w:tcPr>
            <w:tcW w:w="1276" w:type="dxa"/>
            <w:tcBorders>
              <w:top w:val="single" w:sz="8" w:space="0" w:color="auto"/>
              <w:left w:val="single" w:sz="8" w:space="0" w:color="auto"/>
              <w:bottom w:val="single" w:sz="8" w:space="0" w:color="auto"/>
              <w:right w:val="single" w:sz="8" w:space="0" w:color="auto"/>
            </w:tcBorders>
            <w:shd w:val="clear" w:color="auto" w:fill="C6EFCE"/>
            <w:vAlign w:val="center"/>
            <w:hideMark/>
          </w:tcPr>
          <w:p w14:paraId="06905B75" w14:textId="77777777" w:rsidR="00615E2D" w:rsidRDefault="00C83E46">
            <w:pPr>
              <w:pStyle w:val="P68B1DB1-Normal57"/>
              <w:spacing w:before="0" w:after="0" w:line="240" w:lineRule="auto"/>
              <w:jc w:val="center"/>
              <w:rPr>
                <w:noProof/>
              </w:rPr>
            </w:pPr>
            <w:r>
              <w:rPr>
                <w:noProof/>
              </w:rPr>
              <w:t>181</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6B113C4B" w14:textId="77777777" w:rsidR="00615E2D" w:rsidRDefault="00C83E46">
            <w:pPr>
              <w:pStyle w:val="P68B1DB1-Normal57"/>
              <w:spacing w:before="0" w:after="0" w:line="240" w:lineRule="auto"/>
              <w:jc w:val="center"/>
              <w:rPr>
                <w:noProof/>
              </w:rPr>
            </w:pPr>
            <w:r>
              <w:rPr>
                <w:noProof/>
              </w:rPr>
              <w:t>C 3.2.: Prilagodba školskih programa – reforma 2.: Potpora školama u nepovoljnom položaju</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0F42EA35"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auto"/>
            </w:tcBorders>
            <w:shd w:val="clear" w:color="auto" w:fill="C6EFCE"/>
            <w:vAlign w:val="center"/>
            <w:hideMark/>
          </w:tcPr>
          <w:p w14:paraId="151FA888" w14:textId="77777777" w:rsidR="00615E2D" w:rsidRDefault="00C83E46">
            <w:pPr>
              <w:pStyle w:val="P68B1DB1-Normal57"/>
              <w:spacing w:before="0" w:after="0" w:line="240" w:lineRule="auto"/>
              <w:jc w:val="center"/>
              <w:rPr>
                <w:noProof/>
              </w:rPr>
            </w:pPr>
            <w:r>
              <w:rPr>
                <w:noProof/>
              </w:rPr>
              <w:t xml:space="preserve">Broj škola u nepovoljnom položaju kojima je dodijeljena potpora </w:t>
            </w:r>
          </w:p>
        </w:tc>
      </w:tr>
      <w:tr w:rsidR="00615E2D" w14:paraId="23C7947E" w14:textId="77777777">
        <w:trPr>
          <w:trHeight w:val="405"/>
        </w:trPr>
        <w:tc>
          <w:tcPr>
            <w:tcW w:w="1276" w:type="dxa"/>
            <w:tcBorders>
              <w:top w:val="nil"/>
              <w:left w:val="single" w:sz="8" w:space="0" w:color="auto"/>
              <w:bottom w:val="single" w:sz="8" w:space="0" w:color="000000" w:themeColor="text1"/>
              <w:right w:val="single" w:sz="8" w:space="0" w:color="auto"/>
            </w:tcBorders>
            <w:shd w:val="clear" w:color="auto" w:fill="C6EFCE"/>
            <w:vAlign w:val="center"/>
            <w:hideMark/>
          </w:tcPr>
          <w:p w14:paraId="2CE57213" w14:textId="77777777" w:rsidR="00615E2D" w:rsidRDefault="00C83E46">
            <w:pPr>
              <w:pStyle w:val="P68B1DB1-Normal57"/>
              <w:spacing w:before="0" w:after="0" w:line="240" w:lineRule="auto"/>
              <w:jc w:val="center"/>
              <w:rPr>
                <w:noProof/>
              </w:rPr>
            </w:pPr>
            <w:r>
              <w:rPr>
                <w:noProof/>
              </w:rPr>
              <w:t>182</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9561A31" w14:textId="77777777" w:rsidR="00615E2D" w:rsidRDefault="00C83E46">
            <w:pPr>
              <w:pStyle w:val="P68B1DB1-Normal57"/>
              <w:spacing w:before="0" w:after="0" w:line="240" w:lineRule="auto"/>
              <w:jc w:val="center"/>
              <w:rPr>
                <w:noProof/>
              </w:rPr>
            </w:pPr>
            <w:r>
              <w:rPr>
                <w:noProof/>
              </w:rPr>
              <w:t>C 3.2.: Prilagodba školskih programa – reforma 2.: Potpora školama u nepovoljnom položaju</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737BB17"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301153C6" w14:textId="77777777" w:rsidR="00615E2D" w:rsidRDefault="00C83E46">
            <w:pPr>
              <w:pStyle w:val="P68B1DB1-Normal57"/>
              <w:spacing w:before="0" w:after="0" w:line="240" w:lineRule="auto"/>
              <w:jc w:val="center"/>
              <w:rPr>
                <w:noProof/>
              </w:rPr>
            </w:pPr>
            <w:r>
              <w:rPr>
                <w:noProof/>
              </w:rPr>
              <w:t>Prijedlog novog sustava financiranja škola u skladu sa socioekonomskim nepovoljnim položajem</w:t>
            </w:r>
          </w:p>
        </w:tc>
      </w:tr>
      <w:tr w:rsidR="00615E2D" w14:paraId="7190E5C5" w14:textId="77777777">
        <w:trPr>
          <w:trHeight w:val="600"/>
        </w:trPr>
        <w:tc>
          <w:tcPr>
            <w:tcW w:w="1276" w:type="dxa"/>
            <w:tcBorders>
              <w:top w:val="single" w:sz="4" w:space="0" w:color="000000" w:themeColor="text1"/>
              <w:left w:val="single" w:sz="8" w:space="0" w:color="auto"/>
              <w:bottom w:val="nil"/>
              <w:right w:val="single" w:sz="8" w:space="0" w:color="auto"/>
            </w:tcBorders>
            <w:shd w:val="clear" w:color="auto" w:fill="C6EFCE"/>
            <w:vAlign w:val="center"/>
            <w:hideMark/>
          </w:tcPr>
          <w:p w14:paraId="3A987D24" w14:textId="77777777" w:rsidR="00615E2D" w:rsidRDefault="00C83E46">
            <w:pPr>
              <w:pStyle w:val="P68B1DB1-Normal57"/>
              <w:spacing w:before="0" w:after="0" w:line="240" w:lineRule="auto"/>
              <w:jc w:val="center"/>
              <w:rPr>
                <w:noProof/>
              </w:rPr>
            </w:pPr>
            <w:r>
              <w:rPr>
                <w:noProof/>
              </w:rPr>
              <w:t>185</w:t>
            </w:r>
          </w:p>
        </w:tc>
        <w:tc>
          <w:tcPr>
            <w:tcW w:w="396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07059FFB" w14:textId="77777777" w:rsidR="00615E2D" w:rsidRDefault="00C83E46">
            <w:pPr>
              <w:pStyle w:val="P68B1DB1-Normal57"/>
              <w:spacing w:before="0" w:after="0" w:line="240" w:lineRule="auto"/>
              <w:jc w:val="center"/>
              <w:rPr>
                <w:noProof/>
              </w:rPr>
            </w:pPr>
            <w:r>
              <w:rPr>
                <w:noProof/>
              </w:rPr>
              <w:t>C 3.3: Modernizacija službi za zapošljavanje i razvoj tržišta rada – reforma 1.: Razvoj politika tržišta rada</w:t>
            </w:r>
          </w:p>
        </w:tc>
        <w:tc>
          <w:tcPr>
            <w:tcW w:w="1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7DD701BF"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000000" w:themeColor="text1"/>
              <w:left w:val="nil"/>
              <w:bottom w:val="nil"/>
              <w:right w:val="single" w:sz="8" w:space="0" w:color="auto"/>
            </w:tcBorders>
            <w:shd w:val="clear" w:color="auto" w:fill="C6EFCE"/>
            <w:vAlign w:val="center"/>
            <w:hideMark/>
          </w:tcPr>
          <w:p w14:paraId="3C6B0AFA" w14:textId="77777777" w:rsidR="00615E2D" w:rsidRDefault="00C83E46">
            <w:pPr>
              <w:pStyle w:val="P68B1DB1-Normal57"/>
              <w:spacing w:before="0" w:after="0" w:line="240" w:lineRule="auto"/>
              <w:jc w:val="center"/>
              <w:rPr>
                <w:noProof/>
              </w:rPr>
            </w:pPr>
            <w:r>
              <w:rPr>
                <w:noProof/>
              </w:rPr>
              <w:t>Stupanje na snagu izmijenjenog Zakona o zapošljavanju kojim se povećava učinkovitost službi za zapošljavanje i bolje usmjeravanje na najranjivije skupine</w:t>
            </w:r>
          </w:p>
        </w:tc>
      </w:tr>
      <w:tr w:rsidR="00615E2D" w14:paraId="2C8263F6" w14:textId="77777777">
        <w:trPr>
          <w:trHeight w:val="600"/>
        </w:trPr>
        <w:tc>
          <w:tcPr>
            <w:tcW w:w="1276" w:type="dxa"/>
            <w:tcBorders>
              <w:top w:val="single" w:sz="8" w:space="0" w:color="auto"/>
              <w:left w:val="single" w:sz="8" w:space="0" w:color="auto"/>
              <w:bottom w:val="single" w:sz="4" w:space="0" w:color="auto"/>
              <w:right w:val="single" w:sz="8" w:space="0" w:color="auto"/>
            </w:tcBorders>
            <w:shd w:val="clear" w:color="auto" w:fill="C6EFCE"/>
            <w:vAlign w:val="center"/>
            <w:hideMark/>
          </w:tcPr>
          <w:p w14:paraId="5ECBA54F" w14:textId="77777777" w:rsidR="00615E2D" w:rsidRDefault="00C83E46">
            <w:pPr>
              <w:pStyle w:val="P68B1DB1-Normal57"/>
              <w:spacing w:before="0" w:after="0" w:line="240" w:lineRule="auto"/>
              <w:jc w:val="center"/>
              <w:rPr>
                <w:noProof/>
              </w:rPr>
            </w:pPr>
            <w:r>
              <w:rPr>
                <w:noProof/>
              </w:rPr>
              <w:t>187</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4591B385" w14:textId="77777777" w:rsidR="00615E2D" w:rsidRDefault="00C83E46">
            <w:pPr>
              <w:pStyle w:val="P68B1DB1-Normal57"/>
              <w:spacing w:before="0" w:after="0" w:line="240" w:lineRule="auto"/>
              <w:jc w:val="center"/>
              <w:rPr>
                <w:noProof/>
              </w:rPr>
            </w:pPr>
            <w:r>
              <w:rPr>
                <w:noProof/>
              </w:rPr>
              <w:t>C 3.3: Modernizacija službi za zapošljavanje i razvoj tržišta rada – ulaganje 1: Razvoj politika tržišta rada</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01A0DDC5"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4" w:space="0" w:color="auto"/>
              <w:right w:val="single" w:sz="8" w:space="0" w:color="auto"/>
            </w:tcBorders>
            <w:shd w:val="clear" w:color="auto" w:fill="C6EFCE"/>
            <w:vAlign w:val="center"/>
            <w:hideMark/>
          </w:tcPr>
          <w:p w14:paraId="136889FD" w14:textId="77777777" w:rsidR="00615E2D" w:rsidRDefault="00C83E46">
            <w:pPr>
              <w:pStyle w:val="P68B1DB1-Normal57"/>
              <w:spacing w:before="0" w:after="0" w:line="240" w:lineRule="auto"/>
              <w:jc w:val="center"/>
              <w:rPr>
                <w:noProof/>
              </w:rPr>
            </w:pPr>
            <w:r>
              <w:rPr>
                <w:noProof/>
              </w:rPr>
              <w:t>Broj osoba koje su dobile prekvalifikaciju i usavršavanje u području digitalnih vještina i vještina potrebnih za industriju 4.0.</w:t>
            </w:r>
          </w:p>
        </w:tc>
      </w:tr>
      <w:tr w:rsidR="00615E2D" w14:paraId="3E74AEA4" w14:textId="77777777">
        <w:trPr>
          <w:trHeight w:val="600"/>
        </w:trPr>
        <w:tc>
          <w:tcPr>
            <w:tcW w:w="1276" w:type="dxa"/>
            <w:tcBorders>
              <w:top w:val="single" w:sz="4" w:space="0" w:color="auto"/>
              <w:left w:val="single" w:sz="8" w:space="0" w:color="auto"/>
              <w:bottom w:val="nil"/>
              <w:right w:val="single" w:sz="8" w:space="0" w:color="auto"/>
            </w:tcBorders>
            <w:shd w:val="clear" w:color="auto" w:fill="C6EFCE"/>
            <w:vAlign w:val="center"/>
            <w:hideMark/>
          </w:tcPr>
          <w:p w14:paraId="2141AA6D" w14:textId="77777777" w:rsidR="00615E2D" w:rsidRDefault="00C83E46">
            <w:pPr>
              <w:pStyle w:val="P68B1DB1-Normal57"/>
              <w:spacing w:before="0" w:after="0" w:line="240" w:lineRule="auto"/>
              <w:jc w:val="center"/>
              <w:rPr>
                <w:noProof/>
              </w:rPr>
            </w:pPr>
            <w:r>
              <w:rPr>
                <w:noProof/>
              </w:rPr>
              <w:t>188</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6F33CF74" w14:textId="77777777" w:rsidR="00615E2D" w:rsidRDefault="00C83E46">
            <w:pPr>
              <w:pStyle w:val="P68B1DB1-Normal57"/>
              <w:spacing w:before="0" w:after="0" w:line="240" w:lineRule="auto"/>
              <w:jc w:val="center"/>
              <w:rPr>
                <w:noProof/>
              </w:rPr>
            </w:pPr>
            <w:r>
              <w:rPr>
                <w:noProof/>
              </w:rPr>
              <w:t>C 3.3: Modernizacija službi za zapošljavanje i razvoj tržišta rada – reforma 1.: Razvoj politika tržišta rada</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31AA9203"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nil"/>
              <w:right w:val="single" w:sz="8" w:space="0" w:color="auto"/>
            </w:tcBorders>
            <w:shd w:val="clear" w:color="auto" w:fill="C6EFCE"/>
            <w:vAlign w:val="center"/>
            <w:hideMark/>
          </w:tcPr>
          <w:p w14:paraId="77B03881" w14:textId="77777777" w:rsidR="00615E2D" w:rsidRDefault="00C83E46">
            <w:pPr>
              <w:pStyle w:val="P68B1DB1-Normal57"/>
              <w:spacing w:before="0" w:after="0" w:line="240" w:lineRule="auto"/>
              <w:jc w:val="center"/>
              <w:rPr>
                <w:noProof/>
              </w:rPr>
            </w:pPr>
            <w:r>
              <w:rPr>
                <w:noProof/>
              </w:rPr>
              <w:t>Broj regionalnih centara za osposobljavanje uspostavljenih radi promicanja industrije 4.0</w:t>
            </w:r>
          </w:p>
        </w:tc>
      </w:tr>
      <w:tr w:rsidR="00615E2D" w14:paraId="789217F4" w14:textId="77777777">
        <w:trPr>
          <w:trHeight w:val="1185"/>
        </w:trPr>
        <w:tc>
          <w:tcPr>
            <w:tcW w:w="1276" w:type="dxa"/>
            <w:tcBorders>
              <w:top w:val="single" w:sz="8" w:space="0" w:color="auto"/>
              <w:left w:val="single" w:sz="8" w:space="0" w:color="auto"/>
              <w:bottom w:val="nil"/>
              <w:right w:val="single" w:sz="8" w:space="0" w:color="auto"/>
            </w:tcBorders>
            <w:shd w:val="clear" w:color="auto" w:fill="C6EFCE"/>
            <w:vAlign w:val="center"/>
            <w:hideMark/>
          </w:tcPr>
          <w:p w14:paraId="451A77FD" w14:textId="46041E3C" w:rsidR="00615E2D" w:rsidRDefault="00C83E46">
            <w:pPr>
              <w:pStyle w:val="P68B1DB1-Normal57"/>
              <w:spacing w:line="240" w:lineRule="auto"/>
              <w:jc w:val="center"/>
              <w:rPr>
                <w:noProof/>
              </w:rPr>
            </w:pPr>
            <w:r>
              <w:rPr>
                <w:noProof/>
              </w:rPr>
              <w:t>194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6CEAEA99" w14:textId="7D1BA35B" w:rsidR="00615E2D" w:rsidRDefault="00C83E46">
            <w:pPr>
              <w:pStyle w:val="P68B1DB1-Normal57"/>
              <w:spacing w:line="240" w:lineRule="auto"/>
              <w:jc w:val="center"/>
              <w:rPr>
                <w:noProof/>
              </w:rPr>
            </w:pPr>
            <w:r>
              <w:rPr>
                <w:noProof/>
              </w:rPr>
              <w:t xml:space="preserve">C 3.3: Modernizacija službi za zapošljavanje i razvoj tržišta rada – ulaganje 3: Razvoj i modernizacija infrastrukture socijalne skrbi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04551A38" w14:textId="694D2894" w:rsidR="00615E2D" w:rsidRDefault="00C83E46">
            <w:pPr>
              <w:pStyle w:val="P68B1DB1-Normal57"/>
              <w:spacing w:line="240" w:lineRule="auto"/>
              <w:jc w:val="center"/>
              <w:rPr>
                <w:noProof/>
              </w:rPr>
            </w:pPr>
            <w:r>
              <w:rPr>
                <w:noProof/>
              </w:rPr>
              <w:t>Ciljna</w:t>
            </w:r>
          </w:p>
        </w:tc>
        <w:tc>
          <w:tcPr>
            <w:tcW w:w="3402" w:type="dxa"/>
            <w:tcBorders>
              <w:top w:val="single" w:sz="8" w:space="0" w:color="auto"/>
              <w:left w:val="nil"/>
              <w:bottom w:val="nil"/>
              <w:right w:val="single" w:sz="8" w:space="0" w:color="auto"/>
            </w:tcBorders>
            <w:shd w:val="clear" w:color="auto" w:fill="C6EFCE"/>
            <w:vAlign w:val="center"/>
            <w:hideMark/>
          </w:tcPr>
          <w:p w14:paraId="1D5C5008" w14:textId="4EC560E1" w:rsidR="00615E2D" w:rsidRDefault="00C83E46">
            <w:pPr>
              <w:pStyle w:val="P68B1DB1-Normal57"/>
              <w:spacing w:line="240" w:lineRule="auto"/>
              <w:jc w:val="center"/>
              <w:rPr>
                <w:noProof/>
              </w:rPr>
            </w:pPr>
            <w:r>
              <w:rPr>
                <w:noProof/>
              </w:rPr>
              <w:t xml:space="preserve">T1: Broj izgrađenih ili obnovljenih objekata za smještaj, izvanbolnički smještaj, informiranje, prevenciju i savjetovanje u zajednici  </w:t>
            </w:r>
          </w:p>
        </w:tc>
      </w:tr>
      <w:tr w:rsidR="00615E2D" w14:paraId="09D18FE8" w14:textId="77777777">
        <w:trPr>
          <w:trHeight w:val="1185"/>
        </w:trPr>
        <w:tc>
          <w:tcPr>
            <w:tcW w:w="1276" w:type="dxa"/>
            <w:tcBorders>
              <w:top w:val="single" w:sz="8" w:space="0" w:color="auto"/>
              <w:left w:val="single" w:sz="8" w:space="0" w:color="auto"/>
              <w:bottom w:val="nil"/>
              <w:right w:val="single" w:sz="8" w:space="0" w:color="auto"/>
            </w:tcBorders>
            <w:shd w:val="clear" w:color="auto" w:fill="C6EFCE"/>
            <w:vAlign w:val="center"/>
            <w:hideMark/>
          </w:tcPr>
          <w:p w14:paraId="1375E03D" w14:textId="77777777" w:rsidR="00615E2D" w:rsidRDefault="00C83E46">
            <w:pPr>
              <w:pStyle w:val="P68B1DB1-Normal57"/>
              <w:spacing w:before="0" w:after="0" w:line="240" w:lineRule="auto"/>
              <w:jc w:val="center"/>
              <w:rPr>
                <w:noProof/>
              </w:rPr>
            </w:pPr>
            <w:r>
              <w:rPr>
                <w:noProof/>
              </w:rPr>
              <w:t>201</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C2845B9" w14:textId="77777777" w:rsidR="00615E2D" w:rsidRDefault="00C83E46">
            <w:pPr>
              <w:pStyle w:val="P68B1DB1-Normal57"/>
              <w:spacing w:before="0" w:after="0" w:line="240" w:lineRule="auto"/>
              <w:jc w:val="center"/>
              <w:rPr>
                <w:noProof/>
              </w:rPr>
            </w:pPr>
            <w:r>
              <w:rPr>
                <w:noProof/>
              </w:rPr>
              <w:t xml:space="preserve">C 4.2: Novi vlasnički instrumenti za promicanje poduzetništva i razvoja češko-moravske jamstvene i razvojne banke (ČMZRB) kao nacionalne razvojne banke – ulaganja 1: Razvoj nove linije kvazivlasničkih instrumenata kojima se podupire poduzetništvo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2007A193"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nil"/>
              <w:right w:val="single" w:sz="8" w:space="0" w:color="auto"/>
            </w:tcBorders>
            <w:shd w:val="clear" w:color="auto" w:fill="C6EFCE"/>
            <w:vAlign w:val="center"/>
            <w:hideMark/>
          </w:tcPr>
          <w:p w14:paraId="5FCE564C" w14:textId="77777777" w:rsidR="00615E2D" w:rsidRDefault="00C83E46">
            <w:pPr>
              <w:pStyle w:val="P68B1DB1-Normal57"/>
              <w:spacing w:before="0" w:after="0" w:line="240" w:lineRule="auto"/>
              <w:jc w:val="center"/>
              <w:rPr>
                <w:noProof/>
              </w:rPr>
            </w:pPr>
            <w:r>
              <w:rPr>
                <w:noProof/>
              </w:rPr>
              <w:t>Ulaganje od ukupno 32 400 000 EUR u kvazivlasničke instrumente kojima se podupiru održivi projekti MSP-ova</w:t>
            </w:r>
          </w:p>
        </w:tc>
      </w:tr>
      <w:tr w:rsidR="00615E2D" w14:paraId="1B2B0BEE" w14:textId="77777777">
        <w:trPr>
          <w:trHeight w:val="990"/>
        </w:trPr>
        <w:tc>
          <w:tcPr>
            <w:tcW w:w="1276" w:type="dxa"/>
            <w:tcBorders>
              <w:top w:val="single" w:sz="8" w:space="0" w:color="auto"/>
              <w:left w:val="single" w:sz="8" w:space="0" w:color="auto"/>
              <w:bottom w:val="nil"/>
              <w:right w:val="single" w:sz="8" w:space="0" w:color="auto"/>
            </w:tcBorders>
            <w:shd w:val="clear" w:color="auto" w:fill="C6EFCE"/>
            <w:vAlign w:val="center"/>
            <w:hideMark/>
          </w:tcPr>
          <w:p w14:paraId="478A7925" w14:textId="77777777" w:rsidR="00615E2D" w:rsidRDefault="00C83E46">
            <w:pPr>
              <w:pStyle w:val="P68B1DB1-Normal57"/>
              <w:spacing w:before="0" w:after="0" w:line="240" w:lineRule="auto"/>
              <w:jc w:val="center"/>
              <w:rPr>
                <w:noProof/>
              </w:rPr>
            </w:pPr>
            <w:r>
              <w:rPr>
                <w:noProof/>
              </w:rPr>
              <w:t>215</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26564D52" w14:textId="77777777" w:rsidR="00615E2D" w:rsidRDefault="00C83E46">
            <w:pPr>
              <w:pStyle w:val="P68B1DB1-Normal57"/>
              <w:spacing w:before="0" w:after="0" w:line="240" w:lineRule="auto"/>
              <w:jc w:val="center"/>
              <w:rPr>
                <w:noProof/>
              </w:rPr>
            </w:pPr>
            <w:r>
              <w:rPr>
                <w:noProof/>
              </w:rPr>
              <w:t>C 4.4.: Poboljšanje učinkovitosti javne uprave – reforma 1.: Povećanje učinkovitosti, usmjerenosti na klijente i primjene načela donošenja odluka na temelju dokaza u javnoj upravi</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57E10433" w14:textId="10E89269"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nil"/>
              <w:right w:val="single" w:sz="8" w:space="0" w:color="auto"/>
            </w:tcBorders>
            <w:shd w:val="clear" w:color="auto" w:fill="C6EFCE"/>
            <w:vAlign w:val="center"/>
            <w:hideMark/>
          </w:tcPr>
          <w:p w14:paraId="6E6B0851" w14:textId="1F6C19BD" w:rsidR="00615E2D" w:rsidRDefault="00C83E46">
            <w:pPr>
              <w:pStyle w:val="P68B1DB1-Normal57"/>
              <w:spacing w:before="0" w:after="0" w:line="240" w:lineRule="auto"/>
              <w:jc w:val="center"/>
              <w:rPr>
                <w:noProof/>
              </w:rPr>
            </w:pPr>
            <w:r>
              <w:rPr>
                <w:noProof/>
              </w:rPr>
              <w:t xml:space="preserve">Završetak pet mjera kojima se promiče donošenje odluka na temelju dokaza i poboljšanje koordinacije politika i strateškog planiranja u središtu vlade  </w:t>
            </w:r>
          </w:p>
        </w:tc>
      </w:tr>
      <w:tr w:rsidR="00615E2D" w14:paraId="116AB7ED" w14:textId="77777777">
        <w:trPr>
          <w:trHeight w:val="990"/>
        </w:trPr>
        <w:tc>
          <w:tcPr>
            <w:tcW w:w="1276" w:type="dxa"/>
            <w:tcBorders>
              <w:top w:val="single" w:sz="8" w:space="0" w:color="auto"/>
              <w:left w:val="single" w:sz="8" w:space="0" w:color="auto"/>
              <w:bottom w:val="single" w:sz="8" w:space="0" w:color="000000" w:themeColor="text1"/>
              <w:right w:val="single" w:sz="8" w:space="0" w:color="auto"/>
            </w:tcBorders>
            <w:shd w:val="clear" w:color="auto" w:fill="C6EFCE"/>
            <w:vAlign w:val="center"/>
            <w:hideMark/>
          </w:tcPr>
          <w:p w14:paraId="5D7570B7" w14:textId="77777777" w:rsidR="00615E2D" w:rsidRDefault="00C83E46">
            <w:pPr>
              <w:pStyle w:val="P68B1DB1-Normal57"/>
              <w:spacing w:before="0" w:after="0" w:line="240" w:lineRule="auto"/>
              <w:jc w:val="center"/>
              <w:rPr>
                <w:noProof/>
              </w:rPr>
            </w:pPr>
            <w:r>
              <w:rPr>
                <w:noProof/>
              </w:rPr>
              <w:t>216</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D7212B7" w14:textId="77777777" w:rsidR="00615E2D" w:rsidRDefault="00C83E46">
            <w:pPr>
              <w:pStyle w:val="P68B1DB1-Normal57"/>
              <w:spacing w:before="0" w:after="0" w:line="240" w:lineRule="auto"/>
              <w:jc w:val="center"/>
              <w:rPr>
                <w:noProof/>
              </w:rPr>
            </w:pPr>
            <w:r>
              <w:rPr>
                <w:noProof/>
              </w:rPr>
              <w:t>C 4.4.: Poboljšanje učinkovitosti javne uprave – reforma 1.: Povećanje učinkovitosti, usmjerenosti na klijente i primjene načela donošenja odluka na temelju dokaza u javnoj upravi</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1C44E873"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8" w:space="0" w:color="000000" w:themeColor="text1"/>
              <w:right w:val="single" w:sz="8" w:space="0" w:color="auto"/>
            </w:tcBorders>
            <w:shd w:val="clear" w:color="auto" w:fill="C6EFCE"/>
            <w:vAlign w:val="center"/>
            <w:hideMark/>
          </w:tcPr>
          <w:p w14:paraId="1A9641E5" w14:textId="77777777" w:rsidR="00615E2D" w:rsidRDefault="00C83E46">
            <w:pPr>
              <w:pStyle w:val="P68B1DB1-Normal57"/>
              <w:spacing w:before="0" w:after="0" w:line="240" w:lineRule="auto"/>
              <w:jc w:val="center"/>
              <w:rPr>
                <w:noProof/>
              </w:rPr>
            </w:pPr>
            <w:r>
              <w:rPr>
                <w:noProof/>
              </w:rPr>
              <w:t xml:space="preserve">Završeno osposobljavanje koje je akreditiralo Ministarstvo unutarnjih poslova o pristupima usmjerenima na klijente za osoblje središnjih, regionalnih ili lokalnih tijela </w:t>
            </w:r>
          </w:p>
        </w:tc>
      </w:tr>
      <w:tr w:rsidR="00615E2D" w14:paraId="17AAD387" w14:textId="77777777">
        <w:trPr>
          <w:trHeight w:val="405"/>
        </w:trPr>
        <w:tc>
          <w:tcPr>
            <w:tcW w:w="1276" w:type="dxa"/>
            <w:tcBorders>
              <w:top w:val="single" w:sz="4" w:space="0" w:color="000000" w:themeColor="text1"/>
              <w:left w:val="single" w:sz="8" w:space="0" w:color="auto"/>
              <w:bottom w:val="single" w:sz="8" w:space="0" w:color="000000" w:themeColor="text1"/>
              <w:right w:val="single" w:sz="8" w:space="0" w:color="000000" w:themeColor="text1"/>
            </w:tcBorders>
            <w:shd w:val="clear" w:color="auto" w:fill="C6EFCE"/>
            <w:vAlign w:val="center"/>
            <w:hideMark/>
          </w:tcPr>
          <w:p w14:paraId="461EA862" w14:textId="77777777" w:rsidR="00615E2D" w:rsidRDefault="00C83E46">
            <w:pPr>
              <w:pStyle w:val="P68B1DB1-Normal56"/>
              <w:spacing w:before="0" w:after="0" w:line="240" w:lineRule="auto"/>
              <w:jc w:val="center"/>
              <w:rPr>
                <w:noProof/>
              </w:rPr>
            </w:pPr>
            <w:r>
              <w:rPr>
                <w:noProof/>
              </w:rPr>
              <w:t>217</w:t>
            </w:r>
          </w:p>
        </w:tc>
        <w:tc>
          <w:tcPr>
            <w:tcW w:w="3969"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C6EFCE"/>
            <w:vAlign w:val="center"/>
            <w:hideMark/>
          </w:tcPr>
          <w:p w14:paraId="212E94AA" w14:textId="77777777" w:rsidR="00615E2D" w:rsidRDefault="00C83E46">
            <w:pPr>
              <w:pStyle w:val="P68B1DB1-Normal57"/>
              <w:spacing w:before="0" w:after="0" w:line="240" w:lineRule="auto"/>
              <w:jc w:val="center"/>
              <w:rPr>
                <w:noProof/>
              </w:rPr>
            </w:pPr>
            <w:r>
              <w:rPr>
                <w:noProof/>
              </w:rPr>
              <w:t xml:space="preserve">C 4.5.: Razvoj kulturnog i kreativnog sektora – reforma 1.: Status umjetnika </w:t>
            </w:r>
          </w:p>
        </w:tc>
        <w:tc>
          <w:tcPr>
            <w:tcW w:w="1843"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hideMark/>
          </w:tcPr>
          <w:p w14:paraId="130A082A"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02E7F4E6" w14:textId="77777777" w:rsidR="00615E2D" w:rsidRDefault="00C83E46">
            <w:pPr>
              <w:pStyle w:val="P68B1DB1-Normal56"/>
              <w:spacing w:before="0" w:after="0" w:line="240" w:lineRule="auto"/>
              <w:jc w:val="center"/>
              <w:rPr>
                <w:noProof/>
              </w:rPr>
            </w:pPr>
            <w:r>
              <w:rPr>
                <w:noProof/>
              </w:rPr>
              <w:t>Stupanje na snagu zakona o statusu umjetnika</w:t>
            </w:r>
          </w:p>
        </w:tc>
      </w:tr>
      <w:tr w:rsidR="00615E2D" w14:paraId="62763BEA" w14:textId="77777777">
        <w:trPr>
          <w:trHeight w:val="600"/>
        </w:trPr>
        <w:tc>
          <w:tcPr>
            <w:tcW w:w="1276" w:type="dxa"/>
            <w:tcBorders>
              <w:top w:val="nil"/>
              <w:left w:val="single" w:sz="8" w:space="0" w:color="auto"/>
              <w:bottom w:val="single" w:sz="4" w:space="0" w:color="auto"/>
              <w:right w:val="single" w:sz="8" w:space="0" w:color="000000" w:themeColor="text1"/>
            </w:tcBorders>
            <w:shd w:val="clear" w:color="auto" w:fill="C6EFCE"/>
            <w:vAlign w:val="center"/>
            <w:hideMark/>
          </w:tcPr>
          <w:p w14:paraId="0F81AFD3" w14:textId="77777777" w:rsidR="00615E2D" w:rsidRDefault="00C83E46">
            <w:pPr>
              <w:pStyle w:val="P68B1DB1-Normal56"/>
              <w:spacing w:before="0" w:after="0" w:line="240" w:lineRule="auto"/>
              <w:jc w:val="center"/>
              <w:rPr>
                <w:noProof/>
              </w:rPr>
            </w:pPr>
            <w:r>
              <w:rPr>
                <w:noProof/>
              </w:rPr>
              <w:t>219</w:t>
            </w:r>
          </w:p>
        </w:tc>
        <w:tc>
          <w:tcPr>
            <w:tcW w:w="3969" w:type="dxa"/>
            <w:tcBorders>
              <w:top w:val="single" w:sz="8" w:space="0" w:color="000000" w:themeColor="text1"/>
              <w:left w:val="nil"/>
              <w:bottom w:val="single" w:sz="4" w:space="0" w:color="auto"/>
              <w:right w:val="single" w:sz="8" w:space="0" w:color="000000" w:themeColor="text1"/>
            </w:tcBorders>
            <w:shd w:val="clear" w:color="auto" w:fill="C6EFCE"/>
            <w:vAlign w:val="center"/>
            <w:hideMark/>
          </w:tcPr>
          <w:p w14:paraId="7D42EA98" w14:textId="77777777" w:rsidR="00615E2D" w:rsidRDefault="00C83E46">
            <w:pPr>
              <w:pStyle w:val="P68B1DB1-Normal57"/>
              <w:spacing w:before="0" w:after="0" w:line="240" w:lineRule="auto"/>
              <w:jc w:val="center"/>
              <w:rPr>
                <w:noProof/>
              </w:rPr>
            </w:pPr>
            <w:r>
              <w:rPr>
                <w:noProof/>
              </w:rPr>
              <w:t>C 4.5.: Razvoj kulturnog i kreativnog sektora – ulaganje 1: Razvoj regionalnih kulturnih i kreativnih sektora</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0B2ECB39"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4" w:space="0" w:color="auto"/>
              <w:right w:val="single" w:sz="8" w:space="0" w:color="000000" w:themeColor="text1"/>
            </w:tcBorders>
            <w:shd w:val="clear" w:color="auto" w:fill="C6EFCE"/>
            <w:vAlign w:val="center"/>
            <w:hideMark/>
          </w:tcPr>
          <w:p w14:paraId="1D3702E1" w14:textId="77777777" w:rsidR="00615E2D" w:rsidRDefault="00C83E46">
            <w:pPr>
              <w:pStyle w:val="P68B1DB1-Normal56"/>
              <w:spacing w:before="0" w:after="0" w:line="240" w:lineRule="auto"/>
              <w:jc w:val="center"/>
              <w:rPr>
                <w:noProof/>
              </w:rPr>
            </w:pPr>
            <w:r>
              <w:rPr>
                <w:noProof/>
              </w:rPr>
              <w:t>Otvaranje novih regionalnih kulturnih i kreativnih centara za javnost</w:t>
            </w:r>
          </w:p>
        </w:tc>
      </w:tr>
      <w:tr w:rsidR="00615E2D" w14:paraId="3B7BFD93"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CE57977" w14:textId="77777777" w:rsidR="00615E2D" w:rsidRDefault="00C83E46">
            <w:pPr>
              <w:pStyle w:val="P68B1DB1-Normal56"/>
              <w:spacing w:before="0" w:after="0" w:line="240" w:lineRule="auto"/>
              <w:jc w:val="center"/>
              <w:rPr>
                <w:noProof/>
              </w:rPr>
            </w:pPr>
            <w:r>
              <w:rPr>
                <w:noProof/>
              </w:rPr>
              <w:t>221</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A71B4EE" w14:textId="77777777" w:rsidR="00615E2D" w:rsidRDefault="00C83E46">
            <w:pPr>
              <w:pStyle w:val="P68B1DB1-Normal57"/>
              <w:spacing w:before="0" w:after="0" w:line="240" w:lineRule="auto"/>
              <w:jc w:val="center"/>
              <w:rPr>
                <w:noProof/>
              </w:rPr>
            </w:pPr>
            <w:r>
              <w:rPr>
                <w:noProof/>
              </w:rPr>
              <w:t>C 4.5.: Razvoj kulturnog i kreativnog sektora – ulaganje 2: Digitalizacija kulturnog i kreativnog sektora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736DB1D"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E80BA68" w14:textId="77777777" w:rsidR="00615E2D" w:rsidRDefault="00C83E46">
            <w:pPr>
              <w:pStyle w:val="P68B1DB1-Normal56"/>
              <w:spacing w:before="0" w:after="0" w:line="240" w:lineRule="auto"/>
              <w:jc w:val="center"/>
              <w:rPr>
                <w:noProof/>
              </w:rPr>
            </w:pPr>
            <w:r>
              <w:rPr>
                <w:noProof/>
              </w:rPr>
              <w:t>Broj dovršenih projekata digitalizacije kulturnog sadržaja</w:t>
            </w:r>
          </w:p>
        </w:tc>
      </w:tr>
      <w:tr w:rsidR="00615E2D" w14:paraId="33DA1C55" w14:textId="77777777">
        <w:trPr>
          <w:trHeight w:val="405"/>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EBBC96B" w14:textId="77777777" w:rsidR="00615E2D" w:rsidRDefault="00C83E46">
            <w:pPr>
              <w:pStyle w:val="P68B1DB1-Normal56"/>
              <w:spacing w:before="0" w:after="0" w:line="240" w:lineRule="auto"/>
              <w:jc w:val="center"/>
              <w:rPr>
                <w:noProof/>
              </w:rPr>
            </w:pPr>
            <w:r>
              <w:rPr>
                <w:noProof/>
              </w:rPr>
              <w:t>222</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252ADF9F" w14:textId="77777777" w:rsidR="00615E2D" w:rsidRDefault="00C83E46">
            <w:pPr>
              <w:pStyle w:val="P68B1DB1-Normal57"/>
              <w:spacing w:before="0" w:after="0" w:line="240" w:lineRule="auto"/>
              <w:jc w:val="center"/>
              <w:rPr>
                <w:noProof/>
              </w:rPr>
            </w:pPr>
            <w:r>
              <w:rPr>
                <w:noProof/>
              </w:rPr>
              <w:t>C 4.5.: Razvoj kulturnog i kreativnog sektora – ulaganje 3: Kreativni vaučeri</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8D190C1"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AAB2C95" w14:textId="77777777" w:rsidR="00615E2D" w:rsidRDefault="00C83E46">
            <w:pPr>
              <w:pStyle w:val="P68B1DB1-Normal56"/>
              <w:spacing w:before="0" w:after="0" w:line="240" w:lineRule="auto"/>
              <w:jc w:val="center"/>
              <w:rPr>
                <w:noProof/>
              </w:rPr>
            </w:pPr>
            <w:r>
              <w:rPr>
                <w:noProof/>
              </w:rPr>
              <w:t xml:space="preserve">Broj kreativnih vaučera dodijeljenih MSP-ovima </w:t>
            </w:r>
          </w:p>
        </w:tc>
      </w:tr>
      <w:tr w:rsidR="00615E2D" w14:paraId="1B035EA1" w14:textId="77777777">
        <w:trPr>
          <w:trHeight w:val="795"/>
        </w:trPr>
        <w:tc>
          <w:tcPr>
            <w:tcW w:w="1276" w:type="dxa"/>
            <w:tcBorders>
              <w:top w:val="single" w:sz="4" w:space="0" w:color="auto"/>
              <w:left w:val="single" w:sz="8" w:space="0" w:color="auto"/>
              <w:bottom w:val="single" w:sz="8" w:space="0" w:color="auto"/>
              <w:right w:val="single" w:sz="8" w:space="0" w:color="auto"/>
            </w:tcBorders>
            <w:shd w:val="clear" w:color="auto" w:fill="C6EFCE"/>
            <w:vAlign w:val="center"/>
            <w:hideMark/>
          </w:tcPr>
          <w:p w14:paraId="517DB84D" w14:textId="77777777" w:rsidR="00615E2D" w:rsidRDefault="00C83E46">
            <w:pPr>
              <w:pStyle w:val="P68B1DB1-Normal57"/>
              <w:spacing w:before="0" w:after="0" w:line="240" w:lineRule="auto"/>
              <w:jc w:val="center"/>
              <w:rPr>
                <w:noProof/>
              </w:rPr>
            </w:pPr>
            <w:r>
              <w:rPr>
                <w:noProof/>
              </w:rPr>
              <w:t>225</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5F14507E" w14:textId="77777777" w:rsidR="00615E2D" w:rsidRDefault="00C83E46">
            <w:pPr>
              <w:pStyle w:val="P68B1DB1-Normal57"/>
              <w:spacing w:before="0" w:after="0" w:line="240" w:lineRule="auto"/>
              <w:jc w:val="center"/>
              <w:rPr>
                <w:noProof/>
              </w:rPr>
            </w:pPr>
            <w:r>
              <w:rPr>
                <w:noProof/>
              </w:rPr>
              <w:t>C 5.1.: Izvrsno istraživanje i razvoj u zdravstvenom sektoru – ulaganja 1: Javna potpora istraživanju i razvoju za prioritetna područja medicinskih znanosti i povezanih društvenih znanosti</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2960C88B"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single" w:sz="8" w:space="0" w:color="auto"/>
              <w:right w:val="single" w:sz="8" w:space="0" w:color="auto"/>
            </w:tcBorders>
            <w:shd w:val="clear" w:color="auto" w:fill="C6EFCE"/>
            <w:vAlign w:val="center"/>
            <w:hideMark/>
          </w:tcPr>
          <w:p w14:paraId="00FA3D03" w14:textId="77777777" w:rsidR="00615E2D" w:rsidRDefault="00C83E46">
            <w:pPr>
              <w:pStyle w:val="P68B1DB1-Normal57"/>
              <w:spacing w:before="0" w:after="0" w:line="240" w:lineRule="auto"/>
              <w:jc w:val="center"/>
              <w:rPr>
                <w:noProof/>
              </w:rPr>
            </w:pPr>
            <w:r>
              <w:rPr>
                <w:noProof/>
              </w:rPr>
              <w:t xml:space="preserve">Potvrđivanje najmanje četiriju nacionalnih konzorcija za istraživanje i razvoj i njihova integracija u češki sustav istraživanja i razvoja kao nacionalnih istraživačkih tijela </w:t>
            </w:r>
          </w:p>
        </w:tc>
      </w:tr>
      <w:tr w:rsidR="00615E2D" w14:paraId="7D18EE81" w14:textId="77777777">
        <w:trPr>
          <w:trHeight w:val="795"/>
        </w:trPr>
        <w:tc>
          <w:tcPr>
            <w:tcW w:w="1276" w:type="dxa"/>
            <w:tcBorders>
              <w:top w:val="nil"/>
              <w:left w:val="single" w:sz="8" w:space="0" w:color="auto"/>
              <w:bottom w:val="nil"/>
              <w:right w:val="single" w:sz="8" w:space="0" w:color="auto"/>
            </w:tcBorders>
            <w:shd w:val="clear" w:color="auto" w:fill="C6EFCE"/>
            <w:vAlign w:val="center"/>
            <w:hideMark/>
          </w:tcPr>
          <w:p w14:paraId="6B52055A" w14:textId="77777777" w:rsidR="00615E2D" w:rsidRDefault="00C83E46">
            <w:pPr>
              <w:pStyle w:val="P68B1DB1-Normal57"/>
              <w:spacing w:before="0" w:after="0" w:line="240" w:lineRule="auto"/>
              <w:jc w:val="center"/>
              <w:rPr>
                <w:noProof/>
              </w:rPr>
            </w:pPr>
            <w:r>
              <w:rPr>
                <w:noProof/>
              </w:rPr>
              <w:t>233</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4A4423F" w14:textId="77777777" w:rsidR="00615E2D" w:rsidRDefault="00C83E46">
            <w:pPr>
              <w:pStyle w:val="P68B1DB1-Normal57"/>
              <w:spacing w:before="0" w:after="0" w:line="240" w:lineRule="auto"/>
              <w:jc w:val="center"/>
              <w:rPr>
                <w:noProof/>
              </w:rPr>
            </w:pPr>
            <w:r>
              <w:rPr>
                <w:noProof/>
              </w:rPr>
              <w:t>C 6.1.: Povećanje otpornosti zdravstvenog sustava – ulaganja 1: Osnivanje centra za intenzivnu medicinu i optimizacija obrazovnog sustava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6C8E465F"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nil"/>
              <w:right w:val="single" w:sz="8" w:space="0" w:color="auto"/>
            </w:tcBorders>
            <w:shd w:val="clear" w:color="auto" w:fill="C6EFCE"/>
            <w:vAlign w:val="center"/>
            <w:hideMark/>
          </w:tcPr>
          <w:p w14:paraId="292EA266" w14:textId="77777777" w:rsidR="00615E2D" w:rsidRDefault="00C83E46">
            <w:pPr>
              <w:pStyle w:val="P68B1DB1-Normal57"/>
              <w:spacing w:before="0" w:after="0" w:line="240" w:lineRule="auto"/>
              <w:jc w:val="center"/>
              <w:rPr>
                <w:noProof/>
              </w:rPr>
            </w:pPr>
            <w:r>
              <w:rPr>
                <w:noProof/>
              </w:rPr>
              <w:t xml:space="preserve">Pušten u rad centra za intenzivnu medicinu </w:t>
            </w:r>
          </w:p>
        </w:tc>
      </w:tr>
      <w:tr w:rsidR="00615E2D" w14:paraId="49C8731F" w14:textId="77777777">
        <w:trPr>
          <w:trHeight w:val="600"/>
        </w:trPr>
        <w:tc>
          <w:tcPr>
            <w:tcW w:w="1276" w:type="dxa"/>
            <w:tcBorders>
              <w:top w:val="single" w:sz="8" w:space="0" w:color="auto"/>
              <w:left w:val="single" w:sz="8" w:space="0" w:color="auto"/>
              <w:bottom w:val="single" w:sz="8" w:space="0" w:color="000000" w:themeColor="text1"/>
              <w:right w:val="single" w:sz="8" w:space="0" w:color="auto"/>
            </w:tcBorders>
            <w:shd w:val="clear" w:color="auto" w:fill="C6EFCE"/>
            <w:vAlign w:val="center"/>
            <w:hideMark/>
          </w:tcPr>
          <w:p w14:paraId="4082C7B2" w14:textId="77777777" w:rsidR="00615E2D" w:rsidRDefault="00C83E46">
            <w:pPr>
              <w:pStyle w:val="P68B1DB1-Normal57"/>
              <w:spacing w:before="0" w:after="0" w:line="240" w:lineRule="auto"/>
              <w:jc w:val="center"/>
              <w:rPr>
                <w:noProof/>
              </w:rPr>
            </w:pPr>
            <w:r>
              <w:rPr>
                <w:noProof/>
              </w:rPr>
              <w:t>235</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433C2D0" w14:textId="77777777" w:rsidR="00615E2D" w:rsidRDefault="00C83E46">
            <w:pPr>
              <w:pStyle w:val="P68B1DB1-Normal57"/>
              <w:spacing w:before="0" w:after="0" w:line="240" w:lineRule="auto"/>
              <w:jc w:val="center"/>
              <w:rPr>
                <w:noProof/>
              </w:rPr>
            </w:pPr>
            <w:r>
              <w:rPr>
                <w:noProof/>
              </w:rPr>
              <w:t>C 6.1.: Povećanje otpornosti zdravstvenog sustava – ulaganja 3: Izgradnja centra za kardiovaskularnu i transplantacijsku medicinu</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00C5ACE3"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000000" w:themeColor="text1"/>
              <w:right w:val="single" w:sz="8" w:space="0" w:color="auto"/>
            </w:tcBorders>
            <w:shd w:val="clear" w:color="auto" w:fill="C6EFCE"/>
            <w:vAlign w:val="center"/>
            <w:hideMark/>
          </w:tcPr>
          <w:p w14:paraId="3A8635BD" w14:textId="77777777" w:rsidR="00615E2D" w:rsidRDefault="00C83E46">
            <w:pPr>
              <w:pStyle w:val="P68B1DB1-Normal57"/>
              <w:spacing w:before="0" w:after="0" w:line="240" w:lineRule="auto"/>
              <w:jc w:val="center"/>
              <w:rPr>
                <w:noProof/>
              </w:rPr>
            </w:pPr>
            <w:r>
              <w:rPr>
                <w:noProof/>
              </w:rPr>
              <w:t>Potpuno operativan centar za kardiovaskularnu i transplantacijsku medicinu</w:t>
            </w:r>
          </w:p>
        </w:tc>
      </w:tr>
      <w:tr w:rsidR="00615E2D" w14:paraId="7569A604" w14:textId="77777777">
        <w:trPr>
          <w:trHeight w:val="1185"/>
        </w:trPr>
        <w:tc>
          <w:tcPr>
            <w:tcW w:w="1276" w:type="dxa"/>
            <w:tcBorders>
              <w:top w:val="single" w:sz="4" w:space="0" w:color="000000" w:themeColor="text1"/>
              <w:left w:val="single" w:sz="8" w:space="0" w:color="auto"/>
              <w:bottom w:val="nil"/>
              <w:right w:val="single" w:sz="8" w:space="0" w:color="auto"/>
            </w:tcBorders>
            <w:shd w:val="clear" w:color="auto" w:fill="C6EFCE"/>
            <w:vAlign w:val="center"/>
            <w:hideMark/>
          </w:tcPr>
          <w:p w14:paraId="29F53AF0" w14:textId="77777777" w:rsidR="00615E2D" w:rsidRDefault="00C83E46">
            <w:pPr>
              <w:pStyle w:val="P68B1DB1-Normal56"/>
              <w:spacing w:before="0" w:after="0" w:line="240" w:lineRule="auto"/>
              <w:jc w:val="center"/>
              <w:rPr>
                <w:noProof/>
              </w:rPr>
            </w:pPr>
            <w:r>
              <w:rPr>
                <w:noProof/>
              </w:rPr>
              <w:t>243</w:t>
            </w:r>
          </w:p>
        </w:tc>
        <w:tc>
          <w:tcPr>
            <w:tcW w:w="3969" w:type="dxa"/>
            <w:tcBorders>
              <w:top w:val="single" w:sz="4" w:space="0" w:color="000000" w:themeColor="text1"/>
              <w:left w:val="nil"/>
              <w:bottom w:val="nil"/>
              <w:right w:val="single" w:sz="8" w:space="0" w:color="000000" w:themeColor="text1"/>
            </w:tcBorders>
            <w:shd w:val="clear" w:color="auto" w:fill="C6EFCE"/>
            <w:vAlign w:val="center"/>
            <w:hideMark/>
          </w:tcPr>
          <w:p w14:paraId="3FE2D863" w14:textId="359680AF" w:rsidR="00615E2D" w:rsidRDefault="00C83E46">
            <w:pPr>
              <w:pStyle w:val="P68B1DB1-Normal57"/>
              <w:spacing w:before="0" w:after="0" w:line="240" w:lineRule="auto"/>
              <w:jc w:val="center"/>
              <w:rPr>
                <w:noProof/>
              </w:rPr>
            </w:pPr>
            <w:r>
              <w:rPr>
                <w:noProof/>
              </w:rPr>
              <w:t xml:space="preserve">C 6.2: Nacionalni plan za jačanje onkološke prevencije i skrbi – ulaganje 3: Osnivanje i razvoj Centra </w:t>
            </w:r>
            <w:r>
              <w:rPr>
                <w:noProof/>
                <w:u w:val="single"/>
              </w:rPr>
              <w:t>za prevenciju raka i infrastrukture</w:t>
            </w:r>
            <w:r>
              <w:rPr>
                <w:noProof/>
              </w:rPr>
              <w:t xml:space="preserve"> za inovativnu i pomoćnu skrb pri Institutu za liječenje raka Masaryk Memorial</w:t>
            </w:r>
          </w:p>
        </w:tc>
        <w:tc>
          <w:tcPr>
            <w:tcW w:w="1843" w:type="dxa"/>
            <w:tcBorders>
              <w:top w:val="single" w:sz="4" w:space="0" w:color="000000" w:themeColor="text1"/>
              <w:left w:val="nil"/>
              <w:bottom w:val="nil"/>
              <w:right w:val="single" w:sz="8" w:space="0" w:color="000000" w:themeColor="text1"/>
            </w:tcBorders>
            <w:shd w:val="clear" w:color="auto" w:fill="C6EFCE"/>
            <w:vAlign w:val="center"/>
            <w:hideMark/>
          </w:tcPr>
          <w:p w14:paraId="7C942793"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4" w:space="0" w:color="000000" w:themeColor="text1"/>
              <w:left w:val="nil"/>
              <w:bottom w:val="nil"/>
              <w:right w:val="single" w:sz="8" w:space="0" w:color="auto"/>
            </w:tcBorders>
            <w:shd w:val="clear" w:color="auto" w:fill="C6EFCE"/>
            <w:vAlign w:val="center"/>
            <w:hideMark/>
          </w:tcPr>
          <w:p w14:paraId="5ABF3BE5" w14:textId="69D39AE7" w:rsidR="00615E2D" w:rsidRDefault="00C83E46">
            <w:pPr>
              <w:pStyle w:val="P68B1DB1-Normal56"/>
              <w:spacing w:before="0" w:after="0" w:line="240" w:lineRule="auto"/>
              <w:jc w:val="center"/>
              <w:rPr>
                <w:noProof/>
              </w:rPr>
            </w:pPr>
            <w:r>
              <w:rPr>
                <w:noProof/>
              </w:rPr>
              <w:t>Centar za prevenciju raka pri Institutu za liječenje raka Masaryk Memorial</w:t>
            </w:r>
          </w:p>
        </w:tc>
      </w:tr>
      <w:tr w:rsidR="00615E2D" w14:paraId="0B79299D" w14:textId="77777777">
        <w:trPr>
          <w:trHeight w:val="1185"/>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7112E1E2" w14:textId="77777777" w:rsidR="00615E2D" w:rsidRDefault="00C83E46">
            <w:pPr>
              <w:pStyle w:val="P68B1DB1-Normal56"/>
              <w:spacing w:before="0" w:after="0" w:line="240" w:lineRule="auto"/>
              <w:jc w:val="center"/>
              <w:rPr>
                <w:noProof/>
              </w:rPr>
            </w:pPr>
            <w:r>
              <w:rPr>
                <w:noProof/>
              </w:rPr>
              <w:t>244</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7C7093CF" w14:textId="75EA8E3E" w:rsidR="00615E2D" w:rsidRDefault="00C83E46">
            <w:pPr>
              <w:pStyle w:val="P68B1DB1-Normal57"/>
              <w:spacing w:before="0" w:after="0" w:line="240" w:lineRule="auto"/>
              <w:jc w:val="center"/>
              <w:rPr>
                <w:noProof/>
              </w:rPr>
            </w:pPr>
            <w:r>
              <w:rPr>
                <w:noProof/>
              </w:rPr>
              <w:t>C 6.2: Nacionalni plan za jačanje onkološke prevencije i skrbi – ulaganje 3: Osnivanje i razvoj Centra za prevenciju raka i infrastrukture za inovativnu i pomoćnu skrb pri Institutu za liječenje raka Masaryk Memorial</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05E35E05" w14:textId="77777777" w:rsidR="00615E2D" w:rsidRDefault="00C83E46">
            <w:pPr>
              <w:pStyle w:val="P68B1DB1-Normal57"/>
              <w:spacing w:before="0" w:after="0"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7E9A95FE" w14:textId="437EE316" w:rsidR="00615E2D" w:rsidRDefault="00C83E46">
            <w:pPr>
              <w:pStyle w:val="P68B1DB1-Normal56"/>
              <w:spacing w:before="0" w:after="0" w:line="240" w:lineRule="auto"/>
              <w:jc w:val="center"/>
              <w:rPr>
                <w:noProof/>
              </w:rPr>
            </w:pPr>
            <w:r>
              <w:rPr>
                <w:noProof/>
              </w:rPr>
              <w:t>Proširenje objekata za inovativnu i pomoćnu skrb na Institutu za liječenje raka Masaryk Memorial</w:t>
            </w:r>
          </w:p>
        </w:tc>
      </w:tr>
      <w:tr w:rsidR="00615E2D" w14:paraId="00984CE0" w14:textId="77777777">
        <w:trPr>
          <w:trHeight w:val="63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78E6A1AB" w14:textId="254B6FD2" w:rsidR="00615E2D" w:rsidRDefault="00C83E46">
            <w:pPr>
              <w:pStyle w:val="P68B1DB1-Normal56"/>
              <w:spacing w:line="240" w:lineRule="auto"/>
              <w:rPr>
                <w:noProof/>
              </w:rPr>
            </w:pPr>
            <w:r>
              <w:rPr>
                <w:noProof/>
              </w:rPr>
              <w:t xml:space="preserve">       263</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453200E0" w14:textId="5B55A7EA" w:rsidR="00615E2D" w:rsidRDefault="00C83E46">
            <w:pPr>
              <w:pStyle w:val="P68B1DB1-Normal57"/>
              <w:spacing w:line="240" w:lineRule="auto"/>
              <w:jc w:val="center"/>
              <w:rPr>
                <w:noProof/>
              </w:rPr>
            </w:pPr>
            <w:r>
              <w:rPr>
                <w:noProof/>
              </w:rPr>
              <w:t xml:space="preserve">C 2.10 Priuštivo stanovanje – reforma 1.: Stupanje na snagu Zakona o cjenovno pristupačnom stanovanju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3FFE6492" w14:textId="59598095" w:rsidR="00615E2D" w:rsidRDefault="00C83E46">
            <w:pPr>
              <w:pStyle w:val="P68B1DB1-Normal57"/>
              <w:spacing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3B719E8D" w14:textId="4236FD51" w:rsidR="00615E2D" w:rsidRDefault="00C83E46">
            <w:pPr>
              <w:pStyle w:val="P68B1DB1-Normal56"/>
              <w:spacing w:line="240" w:lineRule="auto"/>
              <w:jc w:val="center"/>
              <w:rPr>
                <w:noProof/>
              </w:rPr>
            </w:pPr>
            <w:r>
              <w:rPr>
                <w:noProof/>
              </w:rPr>
              <w:t xml:space="preserve">Zakon o cjenovno pristupačnom stanovanju na snazi  </w:t>
            </w:r>
          </w:p>
        </w:tc>
      </w:tr>
      <w:tr w:rsidR="00615E2D" w14:paraId="67EE6482" w14:textId="77777777">
        <w:trPr>
          <w:trHeight w:val="63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4AEDA978" w14:textId="1D934B40" w:rsidR="00615E2D" w:rsidRDefault="00C83E46">
            <w:pPr>
              <w:pStyle w:val="P68B1DB1-Normal56"/>
              <w:spacing w:line="240" w:lineRule="auto"/>
              <w:rPr>
                <w:noProof/>
              </w:rPr>
            </w:pPr>
            <w:r>
              <w:rPr>
                <w:noProof/>
              </w:rPr>
              <w:t xml:space="preserve">       278</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3B0E8AEE" w14:textId="3E45A594" w:rsidR="00615E2D" w:rsidRDefault="00C83E46">
            <w:pPr>
              <w:pStyle w:val="P68B1DB1-Normal57"/>
              <w:spacing w:line="240" w:lineRule="auto"/>
              <w:jc w:val="center"/>
              <w:rPr>
                <w:noProof/>
              </w:rPr>
            </w:pPr>
            <w:r>
              <w:rPr>
                <w:noProof/>
              </w:rPr>
              <w:t xml:space="preserve">C 3.3: Modernizacija službi za zapošljavanje i razvoj tržišta rada – ulaganje 4: Razvoj i modernizacija infrastrukture za socijalnu skrb o djeci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3A7D1A33" w14:textId="14375E82" w:rsidR="00615E2D" w:rsidRDefault="00C83E46">
            <w:pPr>
              <w:pStyle w:val="P68B1DB1-Normal57"/>
              <w:spacing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46EA50C2" w14:textId="644CCB44" w:rsidR="00615E2D" w:rsidRDefault="00C83E46">
            <w:pPr>
              <w:pStyle w:val="P68B1DB1-Normal56"/>
              <w:spacing w:line="240" w:lineRule="auto"/>
              <w:jc w:val="center"/>
              <w:rPr>
                <w:noProof/>
              </w:rPr>
            </w:pPr>
            <w:r>
              <w:rPr>
                <w:noProof/>
              </w:rPr>
              <w:t xml:space="preserve">Stambeni prostor za rizičnu djecu stečenu – druga serija  </w:t>
            </w:r>
          </w:p>
        </w:tc>
      </w:tr>
      <w:tr w:rsidR="00615E2D" w14:paraId="6B5484E8" w14:textId="77777777">
        <w:trPr>
          <w:trHeight w:val="63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0AD736A6" w14:textId="04A3A827" w:rsidR="00615E2D" w:rsidRDefault="00C83E46">
            <w:pPr>
              <w:pStyle w:val="P68B1DB1-Normal56"/>
              <w:spacing w:line="240" w:lineRule="auto"/>
              <w:rPr>
                <w:noProof/>
              </w:rPr>
            </w:pPr>
            <w:r>
              <w:rPr>
                <w:noProof/>
              </w:rPr>
              <w:t xml:space="preserve">       319</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119CBFF0" w14:textId="4BA75F5A" w:rsidR="00615E2D" w:rsidRDefault="00C83E46">
            <w:pPr>
              <w:pStyle w:val="P68B1DB1-Normal57"/>
              <w:spacing w:line="240" w:lineRule="auto"/>
              <w:jc w:val="center"/>
              <w:rPr>
                <w:noProof/>
              </w:rPr>
            </w:pPr>
            <w:r>
              <w:rPr>
                <w:noProof/>
              </w:rPr>
              <w:t xml:space="preserve">C 7.3.: Sveobuhvatna reforma savjeta vala obnove u Češkoj (REPOWER EU) – reforma 1.: Jedinstvene kontaktne točke za energetske zajednice i obnovu radi energetske učinkovitosti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78C7400D" w14:textId="4932B434" w:rsidR="00615E2D" w:rsidRDefault="00C83E46">
            <w:pPr>
              <w:pStyle w:val="P68B1DB1-Normal57"/>
              <w:spacing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5275AD8B" w14:textId="45281797" w:rsidR="00615E2D" w:rsidRDefault="00C83E46">
            <w:pPr>
              <w:pStyle w:val="P68B1DB1-Normal56"/>
              <w:spacing w:line="240" w:lineRule="auto"/>
              <w:jc w:val="center"/>
              <w:rPr>
                <w:noProof/>
              </w:rPr>
            </w:pPr>
            <w:r>
              <w:rPr>
                <w:noProof/>
              </w:rPr>
              <w:t xml:space="preserve">Evaluacija pilot-operacija triju jedinstvenih kontaktnih točaka za energiju  </w:t>
            </w:r>
          </w:p>
        </w:tc>
      </w:tr>
      <w:tr w:rsidR="00615E2D" w14:paraId="51495A3D" w14:textId="77777777">
        <w:trPr>
          <w:trHeight w:val="63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0BC0D6A2" w14:textId="528F65D7" w:rsidR="00615E2D" w:rsidRDefault="00C83E46">
            <w:pPr>
              <w:pStyle w:val="P68B1DB1-Normal56"/>
              <w:spacing w:line="240" w:lineRule="auto"/>
              <w:rPr>
                <w:noProof/>
              </w:rPr>
            </w:pPr>
            <w:r>
              <w:rPr>
                <w:noProof/>
              </w:rPr>
              <w:t xml:space="preserve">       326</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7355A031" w14:textId="3A6EA2E5" w:rsidR="00615E2D" w:rsidRDefault="00C83E46">
            <w:pPr>
              <w:pStyle w:val="P68B1DB1-Normal57"/>
              <w:spacing w:line="240" w:lineRule="auto"/>
              <w:jc w:val="center"/>
              <w:rPr>
                <w:noProof/>
              </w:rPr>
            </w:pPr>
            <w:r>
              <w:rPr>
                <w:noProof/>
              </w:rPr>
              <w:t xml:space="preserve">C 7.4.: Prilagodba škola – Promicanje zelenih vještina i održivosti na sveučilištima (REPowerEU) – reforma 1.: Preobrazba sveučilišta radi prilagodbe promjenjivim potrebama tržišta rada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7DB8D0EE" w14:textId="26017A01" w:rsidR="00615E2D" w:rsidRDefault="00C83E46">
            <w:pPr>
              <w:pStyle w:val="P68B1DB1-Normal57"/>
              <w:spacing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0277451A" w14:textId="26D79A81" w:rsidR="00615E2D" w:rsidRDefault="00C83E46">
            <w:pPr>
              <w:pStyle w:val="P68B1DB1-Normal56"/>
              <w:spacing w:line="240" w:lineRule="auto"/>
              <w:jc w:val="center"/>
              <w:rPr>
                <w:noProof/>
              </w:rPr>
            </w:pPr>
            <w:r>
              <w:rPr>
                <w:noProof/>
              </w:rPr>
              <w:t xml:space="preserve">Pokretanje novih studijskih programa, novih tečajeva u okviru postojećih studijskih programa i tečajeva cjeloživotnog učenja  </w:t>
            </w:r>
          </w:p>
        </w:tc>
      </w:tr>
      <w:tr w:rsidR="00615E2D" w14:paraId="60605809" w14:textId="77777777">
        <w:trPr>
          <w:trHeight w:val="63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303DA72E" w14:textId="552F13D6" w:rsidR="00615E2D" w:rsidRDefault="00C83E46">
            <w:pPr>
              <w:pStyle w:val="P68B1DB1-Normal56"/>
              <w:spacing w:line="240" w:lineRule="auto"/>
              <w:rPr>
                <w:noProof/>
              </w:rPr>
            </w:pPr>
            <w:r>
              <w:rPr>
                <w:noProof/>
              </w:rPr>
              <w:t xml:space="preserve">       334</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0C016408" w14:textId="1738B84C" w:rsidR="00615E2D" w:rsidRDefault="00C83E46">
            <w:pPr>
              <w:pStyle w:val="P68B1DB1-Normal57"/>
              <w:spacing w:line="240" w:lineRule="auto"/>
              <w:jc w:val="center"/>
              <w:rPr>
                <w:noProof/>
              </w:rPr>
            </w:pPr>
            <w:r>
              <w:rPr>
                <w:noProof/>
              </w:rPr>
              <w:t xml:space="preserve">C 7.5. Dekarbonizacija cestovnog prometa (REPowerEU) – 3. reforma: Poboljšanje regulatornog okvira za vodik iz obnovljivih izvora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5A0A042E" w14:textId="78BF9945" w:rsidR="00615E2D" w:rsidRDefault="00C83E46">
            <w:pPr>
              <w:pStyle w:val="P68B1DB1-Normal57"/>
              <w:spacing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702F51B8" w14:textId="3FA0E5EC" w:rsidR="00615E2D" w:rsidRDefault="00C83E46">
            <w:pPr>
              <w:pStyle w:val="P68B1DB1-Normal56"/>
              <w:spacing w:line="240" w:lineRule="auto"/>
              <w:jc w:val="center"/>
              <w:rPr>
                <w:noProof/>
              </w:rPr>
            </w:pPr>
            <w:r>
              <w:rPr>
                <w:noProof/>
              </w:rPr>
              <w:t>Revizija češke strategije za vodik – mjere za promicanje uvođenja vodika</w:t>
            </w:r>
          </w:p>
        </w:tc>
      </w:tr>
      <w:tr w:rsidR="00615E2D" w14:paraId="494915EE" w14:textId="77777777">
        <w:trPr>
          <w:trHeight w:val="63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5F130E84" w14:textId="1D3C99B6" w:rsidR="00615E2D" w:rsidRDefault="00C83E46">
            <w:pPr>
              <w:pStyle w:val="P68B1DB1-Normal56"/>
              <w:spacing w:line="240" w:lineRule="auto"/>
              <w:rPr>
                <w:noProof/>
              </w:rPr>
            </w:pPr>
            <w:r>
              <w:rPr>
                <w:noProof/>
              </w:rPr>
              <w:t xml:space="preserve">        336</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27746BFB" w14:textId="20D6EE2D" w:rsidR="00615E2D" w:rsidRDefault="00C83E46">
            <w:pPr>
              <w:pStyle w:val="P68B1DB1-Normal57"/>
              <w:spacing w:line="240" w:lineRule="auto"/>
              <w:jc w:val="center"/>
              <w:rPr>
                <w:noProof/>
              </w:rPr>
            </w:pPr>
            <w:r>
              <w:rPr>
                <w:noProof/>
              </w:rPr>
              <w:t xml:space="preserve">C 7.5. Dekarbonizacija cestovnog prometa (REPowerEU) – četvrta reforma: Uvjeti koji omogućuju provedbu infrastrukture za alternativna goriva s nultim emisijama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5EE00E81" w14:textId="18A19736" w:rsidR="00615E2D" w:rsidRDefault="00C83E46">
            <w:pPr>
              <w:pStyle w:val="P68B1DB1-Normal57"/>
              <w:spacing w:line="240" w:lineRule="auto"/>
              <w:jc w:val="center"/>
              <w:rPr>
                <w:noProof/>
              </w:rPr>
            </w:pPr>
            <w:r>
              <w:rPr>
                <w:noProof/>
              </w:rPr>
              <w:t>Prekretnica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1FB348EE" w14:textId="6FEABE03" w:rsidR="00615E2D" w:rsidRDefault="00C83E46">
            <w:pPr>
              <w:pStyle w:val="P68B1DB1-Normal56"/>
              <w:spacing w:line="240" w:lineRule="auto"/>
              <w:jc w:val="center"/>
              <w:rPr>
                <w:noProof/>
              </w:rPr>
            </w:pPr>
            <w:r>
              <w:rPr>
                <w:noProof/>
              </w:rPr>
              <w:t>Pojednostavnjenje postupka izdavanja dozvola za izgradnju postaja za punjenje električnom energijom i postaja za opskrbu vodikom – dodatne mjere</w:t>
            </w:r>
          </w:p>
        </w:tc>
      </w:tr>
      <w:tr w:rsidR="00615E2D" w14:paraId="0BF5DB7F" w14:textId="77777777">
        <w:trPr>
          <w:trHeight w:val="63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0D2A77E0" w14:textId="73FF3E03" w:rsidR="00615E2D" w:rsidRDefault="00C83E46">
            <w:pPr>
              <w:pStyle w:val="P68B1DB1-Normal56"/>
              <w:spacing w:line="240" w:lineRule="auto"/>
              <w:rPr>
                <w:noProof/>
              </w:rPr>
            </w:pPr>
            <w:r>
              <w:rPr>
                <w:noProof/>
              </w:rPr>
              <w:t xml:space="preserve">        338</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6F257562" w14:textId="1911F5B3" w:rsidR="00615E2D" w:rsidRDefault="00C83E46">
            <w:pPr>
              <w:pStyle w:val="P68B1DB1-Normal57"/>
              <w:spacing w:line="240" w:lineRule="auto"/>
              <w:jc w:val="center"/>
              <w:rPr>
                <w:noProof/>
              </w:rPr>
            </w:pPr>
            <w:r>
              <w:rPr>
                <w:noProof/>
              </w:rPr>
              <w:t xml:space="preserve">C 7.5. Dekarbonizacija cestovnog prometa (REPowerEU) – ulaganje 1: Proširena mjera: Potpore za kupnju vozila – vozila (električna vozila, H2, bicikli) za privatna poduzeća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640232C4" w14:textId="4E60160F" w:rsidR="00615E2D" w:rsidRDefault="00C83E46">
            <w:pPr>
              <w:pStyle w:val="P68B1DB1-Normal57"/>
              <w:spacing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0FFE7631" w14:textId="635B4EC2" w:rsidR="00615E2D" w:rsidRDefault="00C83E46">
            <w:pPr>
              <w:pStyle w:val="P68B1DB1-Normal56"/>
              <w:spacing w:line="240" w:lineRule="auto"/>
              <w:jc w:val="center"/>
              <w:rPr>
                <w:noProof/>
              </w:rPr>
            </w:pPr>
            <w:r>
              <w:rPr>
                <w:noProof/>
              </w:rPr>
              <w:t xml:space="preserve">Povećanje cilja br. 119 iz komponente 2.4.   </w:t>
            </w:r>
          </w:p>
        </w:tc>
      </w:tr>
      <w:tr w:rsidR="00615E2D" w14:paraId="26764C2D" w14:textId="77777777">
        <w:trPr>
          <w:trHeight w:val="63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4815A724" w14:textId="2903DD3E" w:rsidR="00615E2D" w:rsidRDefault="00C83E46">
            <w:pPr>
              <w:pStyle w:val="P68B1DB1-Normal56"/>
              <w:spacing w:line="240" w:lineRule="auto"/>
              <w:rPr>
                <w:noProof/>
              </w:rPr>
            </w:pPr>
            <w:r>
              <w:rPr>
                <w:noProof/>
              </w:rPr>
              <w:t xml:space="preserve">        346</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391905E4" w14:textId="6D455485" w:rsidR="00615E2D" w:rsidRDefault="00C83E46">
            <w:pPr>
              <w:pStyle w:val="P68B1DB1-Normal57"/>
              <w:spacing w:line="240" w:lineRule="auto"/>
              <w:jc w:val="center"/>
              <w:rPr>
                <w:noProof/>
              </w:rPr>
            </w:pPr>
            <w:r>
              <w:rPr>
                <w:noProof/>
              </w:rPr>
              <w:t>C 7.7 Pojednostavnjenje postupaka izdavanja okolišnih dozvola i definiranje područja za razvoj obnovljivih izvora energije (REPOWER EU) – 2. reforma: Područja ubrzane proizvodnje energije iz obnovljivih izvora</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5AC073C7" w14:textId="0CCCE4A3" w:rsidR="00615E2D" w:rsidRDefault="00C83E46">
            <w:pPr>
              <w:pStyle w:val="P68B1DB1-Normal57"/>
              <w:spacing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46A467D6" w14:textId="123FC507" w:rsidR="00615E2D" w:rsidRDefault="00C83E46">
            <w:pPr>
              <w:pStyle w:val="P68B1DB1-Normal56"/>
              <w:spacing w:line="240" w:lineRule="auto"/>
              <w:jc w:val="center"/>
              <w:rPr>
                <w:noProof/>
              </w:rPr>
            </w:pPr>
            <w:r>
              <w:rPr>
                <w:noProof/>
              </w:rPr>
              <w:t xml:space="preserve">Određivanje područja za ubrzanje proizvodnje energije iz obnovljivih izvora za razvoj energije vjetra i solarne energije  </w:t>
            </w:r>
          </w:p>
        </w:tc>
      </w:tr>
      <w:tr w:rsidR="00615E2D" w14:paraId="73209882" w14:textId="77777777">
        <w:trPr>
          <w:trHeight w:val="630"/>
        </w:trPr>
        <w:tc>
          <w:tcPr>
            <w:tcW w:w="1276" w:type="dxa"/>
            <w:tcBorders>
              <w:top w:val="single" w:sz="8" w:space="0" w:color="auto"/>
              <w:left w:val="single" w:sz="8" w:space="0" w:color="auto"/>
              <w:bottom w:val="single" w:sz="8" w:space="0" w:color="auto"/>
              <w:right w:val="single" w:sz="8" w:space="0" w:color="000000" w:themeColor="text1"/>
            </w:tcBorders>
            <w:shd w:val="clear" w:color="auto" w:fill="C6EFCE"/>
            <w:vAlign w:val="center"/>
            <w:hideMark/>
          </w:tcPr>
          <w:p w14:paraId="423E14B9" w14:textId="77777777" w:rsidR="00615E2D" w:rsidRDefault="00C83E46">
            <w:pPr>
              <w:pStyle w:val="P68B1DB1-Normal56"/>
              <w:spacing w:before="0" w:after="0" w:line="240" w:lineRule="auto"/>
              <w:rPr>
                <w:noProof/>
              </w:rPr>
            </w:pPr>
            <w:r>
              <w:rPr>
                <w:noProof/>
              </w:rPr>
              <w:t xml:space="preserve"> </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62ADC8E2" w14:textId="77777777" w:rsidR="00615E2D" w:rsidRDefault="00C83E46">
            <w:pPr>
              <w:pStyle w:val="P68B1DB1-Normal57"/>
              <w:spacing w:before="0" w:after="0" w:line="240" w:lineRule="auto"/>
              <w:jc w:val="center"/>
              <w:rPr>
                <w:noProof/>
              </w:rPr>
            </w:pPr>
            <w:r>
              <w:rPr>
                <w:noProof/>
              </w:rPr>
              <w:t xml:space="preserve">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40007179" w14:textId="77777777" w:rsidR="00615E2D" w:rsidRDefault="00C83E46">
            <w:pPr>
              <w:pStyle w:val="P68B1DB1-Normal59"/>
              <w:spacing w:before="0" w:after="0" w:line="240" w:lineRule="auto"/>
              <w:jc w:val="center"/>
              <w:rPr>
                <w:noProof/>
              </w:rPr>
            </w:pPr>
            <w:r>
              <w:rPr>
                <w:noProof/>
              </w:rPr>
              <w:t>Iznos obroka</w:t>
            </w:r>
          </w:p>
        </w:tc>
        <w:tc>
          <w:tcPr>
            <w:tcW w:w="3402" w:type="dxa"/>
            <w:tcBorders>
              <w:top w:val="single" w:sz="8" w:space="0" w:color="auto"/>
              <w:left w:val="nil"/>
              <w:bottom w:val="single" w:sz="8" w:space="0" w:color="auto"/>
              <w:right w:val="single" w:sz="8" w:space="0" w:color="000000" w:themeColor="text1"/>
            </w:tcBorders>
            <w:shd w:val="clear" w:color="auto" w:fill="C6EFCE"/>
            <w:vAlign w:val="center"/>
            <w:hideMark/>
          </w:tcPr>
          <w:p w14:paraId="6C0E13F5" w14:textId="0332EE46" w:rsidR="00615E2D" w:rsidRDefault="00C83E46">
            <w:pPr>
              <w:pStyle w:val="P68B1DB1-Normal60"/>
              <w:spacing w:before="0" w:after="0" w:line="240" w:lineRule="auto"/>
              <w:jc w:val="center"/>
              <w:rPr>
                <w:noProof/>
              </w:rPr>
            </w:pPr>
            <w:r>
              <w:rPr>
                <w:noProof/>
              </w:rPr>
              <w:t>1539264751 EURA</w:t>
            </w:r>
          </w:p>
        </w:tc>
      </w:tr>
    </w:tbl>
    <w:p w14:paraId="4487B2D4" w14:textId="77777777" w:rsidR="00615E2D" w:rsidRDefault="00615E2D">
      <w:pPr>
        <w:spacing w:line="240" w:lineRule="auto"/>
        <w:jc w:val="both"/>
        <w:rPr>
          <w:noProof/>
        </w:rPr>
      </w:pPr>
    </w:p>
    <w:p w14:paraId="24E455BF" w14:textId="77777777" w:rsidR="00615E2D" w:rsidRDefault="00C83E46">
      <w:pPr>
        <w:numPr>
          <w:ilvl w:val="1"/>
          <w:numId w:val="198"/>
        </w:numPr>
        <w:spacing w:line="240" w:lineRule="auto"/>
        <w:jc w:val="both"/>
        <w:rPr>
          <w:noProof/>
        </w:rPr>
      </w:pPr>
      <w:r>
        <w:rPr>
          <w:noProof/>
        </w:rPr>
        <w:t xml:space="preserve">Deveti obrok (bespovratna potpora): </w:t>
      </w:r>
    </w:p>
    <w:tbl>
      <w:tblPr>
        <w:tblW w:w="10490" w:type="dxa"/>
        <w:tblInd w:w="-601" w:type="dxa"/>
        <w:tblLook w:val="04A0" w:firstRow="1" w:lastRow="0" w:firstColumn="1" w:lastColumn="0" w:noHBand="0" w:noVBand="1"/>
      </w:tblPr>
      <w:tblGrid>
        <w:gridCol w:w="1276"/>
        <w:gridCol w:w="3969"/>
        <w:gridCol w:w="1843"/>
        <w:gridCol w:w="3402"/>
      </w:tblGrid>
      <w:tr w:rsidR="00615E2D" w14:paraId="510B1012" w14:textId="77777777">
        <w:trPr>
          <w:trHeight w:val="825"/>
          <w:tblHeader/>
        </w:trPr>
        <w:tc>
          <w:tcPr>
            <w:tcW w:w="1276" w:type="dxa"/>
            <w:tcBorders>
              <w:top w:val="single" w:sz="8" w:space="0" w:color="auto"/>
              <w:left w:val="single" w:sz="8" w:space="0" w:color="auto"/>
              <w:bottom w:val="single" w:sz="8" w:space="0" w:color="auto"/>
              <w:right w:val="single" w:sz="8" w:space="0" w:color="auto"/>
            </w:tcBorders>
            <w:shd w:val="clear" w:color="auto" w:fill="BDD7EE"/>
            <w:vAlign w:val="center"/>
            <w:hideMark/>
          </w:tcPr>
          <w:p w14:paraId="108F9505" w14:textId="50D2D089" w:rsidR="00615E2D" w:rsidRDefault="00C83E46">
            <w:pPr>
              <w:spacing w:before="0" w:after="0" w:line="240" w:lineRule="auto"/>
              <w:jc w:val="center"/>
              <w:rPr>
                <w:rFonts w:eastAsia="Times New Roman"/>
                <w:b/>
                <w:noProof/>
                <w:color w:val="000000"/>
                <w:sz w:val="22"/>
              </w:rPr>
            </w:pPr>
            <w:r>
              <w:rPr>
                <w:i/>
                <w:noProof/>
                <w:color w:val="4F81BD"/>
              </w:rPr>
              <w:t xml:space="preserve"> </w:t>
            </w:r>
            <w:r>
              <w:rPr>
                <w:rFonts w:eastAsia="Times New Roman"/>
                <w:b/>
                <w:noProof/>
                <w:color w:val="000000"/>
                <w:sz w:val="22"/>
              </w:rPr>
              <w:t>Redni broj</w:t>
            </w:r>
          </w:p>
        </w:tc>
        <w:tc>
          <w:tcPr>
            <w:tcW w:w="3969" w:type="dxa"/>
            <w:tcBorders>
              <w:top w:val="single" w:sz="8" w:space="0" w:color="auto"/>
              <w:left w:val="nil"/>
              <w:bottom w:val="single" w:sz="8" w:space="0" w:color="auto"/>
              <w:right w:val="single" w:sz="8" w:space="0" w:color="auto"/>
            </w:tcBorders>
            <w:shd w:val="clear" w:color="auto" w:fill="BDD7EE"/>
            <w:vAlign w:val="center"/>
            <w:hideMark/>
          </w:tcPr>
          <w:p w14:paraId="6F54A2C0" w14:textId="77777777" w:rsidR="00615E2D" w:rsidRDefault="00C83E46">
            <w:pPr>
              <w:pStyle w:val="P68B1DB1-Normal55"/>
              <w:spacing w:before="0" w:after="0" w:line="240" w:lineRule="auto"/>
              <w:jc w:val="center"/>
              <w:rPr>
                <w:noProof/>
              </w:rPr>
            </w:pPr>
            <w:r>
              <w:rPr>
                <w:noProof/>
              </w:rPr>
              <w:t>Povezana mjera (reforma ili ulaganje)</w:t>
            </w:r>
          </w:p>
        </w:tc>
        <w:tc>
          <w:tcPr>
            <w:tcW w:w="1843" w:type="dxa"/>
            <w:tcBorders>
              <w:top w:val="single" w:sz="8" w:space="0" w:color="auto"/>
              <w:left w:val="nil"/>
              <w:bottom w:val="single" w:sz="8" w:space="0" w:color="auto"/>
              <w:right w:val="single" w:sz="8" w:space="0" w:color="auto"/>
            </w:tcBorders>
            <w:shd w:val="clear" w:color="auto" w:fill="BDD7EE"/>
            <w:vAlign w:val="center"/>
            <w:hideMark/>
          </w:tcPr>
          <w:p w14:paraId="1CF499F6" w14:textId="77777777" w:rsidR="00615E2D" w:rsidRDefault="00C83E46">
            <w:pPr>
              <w:pStyle w:val="P68B1DB1-Normal55"/>
              <w:spacing w:before="0" w:after="0" w:line="240" w:lineRule="auto"/>
              <w:jc w:val="center"/>
              <w:rPr>
                <w:noProof/>
              </w:rPr>
            </w:pPr>
            <w:r>
              <w:rPr>
                <w:noProof/>
              </w:rPr>
              <w:t>Ključna etapa/ciljna vrijednost</w:t>
            </w:r>
          </w:p>
        </w:tc>
        <w:tc>
          <w:tcPr>
            <w:tcW w:w="3402" w:type="dxa"/>
            <w:tcBorders>
              <w:top w:val="single" w:sz="8" w:space="0" w:color="auto"/>
              <w:left w:val="nil"/>
              <w:bottom w:val="single" w:sz="8" w:space="0" w:color="auto"/>
              <w:right w:val="single" w:sz="8" w:space="0" w:color="auto"/>
            </w:tcBorders>
            <w:shd w:val="clear" w:color="auto" w:fill="BDD7EE"/>
            <w:vAlign w:val="center"/>
            <w:hideMark/>
          </w:tcPr>
          <w:p w14:paraId="6EC32FBB" w14:textId="77777777" w:rsidR="00615E2D" w:rsidRDefault="00C83E46">
            <w:pPr>
              <w:pStyle w:val="P68B1DB1-Normal55"/>
              <w:spacing w:before="0" w:after="0" w:line="240" w:lineRule="auto"/>
              <w:jc w:val="center"/>
              <w:rPr>
                <w:noProof/>
              </w:rPr>
            </w:pPr>
            <w:r>
              <w:rPr>
                <w:noProof/>
              </w:rPr>
              <w:t>Ime</w:t>
            </w:r>
          </w:p>
        </w:tc>
      </w:tr>
      <w:tr w:rsidR="00615E2D" w14:paraId="58D0DD56" w14:textId="77777777">
        <w:trPr>
          <w:trHeight w:val="795"/>
        </w:trPr>
        <w:tc>
          <w:tcPr>
            <w:tcW w:w="1276" w:type="dxa"/>
            <w:tcBorders>
              <w:top w:val="nil"/>
              <w:left w:val="single" w:sz="8" w:space="0" w:color="auto"/>
              <w:bottom w:val="nil"/>
              <w:right w:val="single" w:sz="8" w:space="0" w:color="000000" w:themeColor="text1"/>
            </w:tcBorders>
            <w:shd w:val="clear" w:color="auto" w:fill="C6EFCE"/>
            <w:vAlign w:val="center"/>
            <w:hideMark/>
          </w:tcPr>
          <w:p w14:paraId="30745530" w14:textId="77777777" w:rsidR="00615E2D" w:rsidRDefault="00C83E46">
            <w:pPr>
              <w:pStyle w:val="P68B1DB1-Normal57"/>
              <w:spacing w:before="0" w:after="0" w:line="240" w:lineRule="auto"/>
              <w:jc w:val="center"/>
              <w:rPr>
                <w:noProof/>
              </w:rPr>
            </w:pPr>
            <w:r>
              <w:rPr>
                <w:noProof/>
              </w:rPr>
              <w:t>10</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79F4D352" w14:textId="77777777" w:rsidR="00615E2D" w:rsidRDefault="00C83E46">
            <w:pPr>
              <w:pStyle w:val="P68B1DB1-Normal57"/>
              <w:spacing w:before="0" w:after="0" w:line="240" w:lineRule="auto"/>
              <w:jc w:val="center"/>
              <w:rPr>
                <w:noProof/>
              </w:rPr>
            </w:pPr>
            <w:r>
              <w:rPr>
                <w:noProof/>
              </w:rPr>
              <w:t>C 1.1: Digitalne usluge za građane i poduzeća – ulaganja 1: Digitalne usluge za krajnje korisnike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05BFC88"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nil"/>
              <w:right w:val="single" w:sz="8" w:space="0" w:color="000000" w:themeColor="text1"/>
            </w:tcBorders>
            <w:shd w:val="clear" w:color="auto" w:fill="C6EFCE"/>
            <w:vAlign w:val="center"/>
            <w:hideMark/>
          </w:tcPr>
          <w:p w14:paraId="23F3BE1B" w14:textId="77777777" w:rsidR="00615E2D" w:rsidRDefault="00C83E46">
            <w:pPr>
              <w:pStyle w:val="P68B1DB1-Normal57"/>
              <w:spacing w:before="0" w:after="0" w:line="240" w:lineRule="auto"/>
              <w:jc w:val="center"/>
              <w:rPr>
                <w:noProof/>
              </w:rPr>
            </w:pPr>
            <w:r>
              <w:rPr>
                <w:noProof/>
              </w:rPr>
              <w:t>Dovršetak navedenih projekata, što dovodi do povećanja broja ispunjenih obrazaca koje fizičke i pravne osobe šalju državnim tijelima na digitalni način (putem portala ili digitalnih poštanskih sandučića)</w:t>
            </w:r>
          </w:p>
        </w:tc>
      </w:tr>
      <w:tr w:rsidR="00615E2D" w14:paraId="33787BA4" w14:textId="77777777">
        <w:trPr>
          <w:trHeight w:val="405"/>
        </w:trPr>
        <w:tc>
          <w:tcPr>
            <w:tcW w:w="1276" w:type="dxa"/>
            <w:tcBorders>
              <w:top w:val="single" w:sz="8" w:space="0" w:color="000000" w:themeColor="text1"/>
              <w:left w:val="single" w:sz="8" w:space="0" w:color="auto"/>
              <w:bottom w:val="single" w:sz="8" w:space="0" w:color="auto"/>
              <w:right w:val="single" w:sz="8" w:space="0" w:color="000000" w:themeColor="text1"/>
            </w:tcBorders>
            <w:shd w:val="clear" w:color="auto" w:fill="C6EFCE"/>
            <w:vAlign w:val="center"/>
            <w:hideMark/>
          </w:tcPr>
          <w:p w14:paraId="47FE0EC2" w14:textId="7F8CFB11" w:rsidR="00615E2D" w:rsidRDefault="00C83E46">
            <w:pPr>
              <w:pStyle w:val="P68B1DB1-Normal56"/>
              <w:spacing w:line="240" w:lineRule="auto"/>
              <w:jc w:val="center"/>
              <w:rPr>
                <w:noProof/>
              </w:rPr>
            </w:pPr>
            <w:r>
              <w:rPr>
                <w:noProof/>
              </w:rPr>
              <w:t>17</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4D4AE52" w14:textId="1830182C" w:rsidR="00615E2D" w:rsidRDefault="00C83E46">
            <w:pPr>
              <w:pStyle w:val="P68B1DB1-Normal57"/>
              <w:spacing w:line="240" w:lineRule="auto"/>
              <w:jc w:val="center"/>
              <w:rPr>
                <w:noProof/>
              </w:rPr>
            </w:pPr>
            <w:r>
              <w:rPr>
                <w:noProof/>
              </w:rPr>
              <w:t xml:space="preserve">C 1.2.: Sustavi digitalne javne uprave – ulaganja 1: Razvoj informacijskih sustava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5F117EC" w14:textId="2DD604B0" w:rsidR="00615E2D" w:rsidRDefault="00C83E46">
            <w:pPr>
              <w:pStyle w:val="P68B1DB1-Normal57"/>
              <w:spacing w:line="240" w:lineRule="auto"/>
              <w:jc w:val="center"/>
              <w:rPr>
                <w:noProof/>
              </w:rPr>
            </w:pPr>
            <w:r>
              <w:rPr>
                <w:noProof/>
              </w:rPr>
              <w:t>Prekretnica</w:t>
            </w:r>
          </w:p>
        </w:tc>
        <w:tc>
          <w:tcPr>
            <w:tcW w:w="3402" w:type="dxa"/>
            <w:tcBorders>
              <w:top w:val="single" w:sz="8" w:space="0" w:color="000000" w:themeColor="text1"/>
              <w:left w:val="nil"/>
              <w:bottom w:val="single" w:sz="8" w:space="0" w:color="auto"/>
              <w:right w:val="single" w:sz="8" w:space="0" w:color="000000" w:themeColor="text1"/>
            </w:tcBorders>
            <w:shd w:val="clear" w:color="auto" w:fill="C6EFCE"/>
            <w:vAlign w:val="center"/>
            <w:hideMark/>
          </w:tcPr>
          <w:p w14:paraId="2DDF4AF5" w14:textId="6E845936" w:rsidR="00615E2D" w:rsidRDefault="00C83E46">
            <w:pPr>
              <w:pStyle w:val="P68B1DB1-Normal56"/>
              <w:spacing w:line="240" w:lineRule="auto"/>
              <w:jc w:val="center"/>
              <w:rPr>
                <w:noProof/>
              </w:rPr>
            </w:pPr>
            <w:r>
              <w:rPr>
                <w:noProof/>
              </w:rPr>
              <w:t xml:space="preserve">Uspješno funkcioniranje integriranog sustava za strance kojim se smanjuje administrativno opterećenje stranaca i javnih službenika  </w:t>
            </w:r>
          </w:p>
        </w:tc>
      </w:tr>
      <w:tr w:rsidR="00615E2D" w14:paraId="505C1A8E" w14:textId="77777777">
        <w:trPr>
          <w:trHeight w:val="405"/>
        </w:trPr>
        <w:tc>
          <w:tcPr>
            <w:tcW w:w="1276" w:type="dxa"/>
            <w:tcBorders>
              <w:top w:val="single" w:sz="8" w:space="0" w:color="000000" w:themeColor="text1"/>
              <w:left w:val="single" w:sz="8" w:space="0" w:color="auto"/>
              <w:bottom w:val="single" w:sz="8" w:space="0" w:color="auto"/>
              <w:right w:val="single" w:sz="8" w:space="0" w:color="000000" w:themeColor="text1"/>
            </w:tcBorders>
            <w:shd w:val="clear" w:color="auto" w:fill="C6EFCE"/>
            <w:vAlign w:val="center"/>
            <w:hideMark/>
          </w:tcPr>
          <w:p w14:paraId="5FC809AD" w14:textId="77777777" w:rsidR="00615E2D" w:rsidRDefault="00C83E46">
            <w:pPr>
              <w:pStyle w:val="P68B1DB1-Normal56"/>
              <w:spacing w:before="0" w:after="0" w:line="240" w:lineRule="auto"/>
              <w:jc w:val="center"/>
              <w:rPr>
                <w:noProof/>
              </w:rPr>
            </w:pPr>
            <w:r>
              <w:rPr>
                <w:noProof/>
              </w:rPr>
              <w:t>39</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18281F19" w14:textId="425FEA2B" w:rsidR="00615E2D" w:rsidRDefault="00C83E46">
            <w:pPr>
              <w:pStyle w:val="P68B1DB1-Normal57"/>
              <w:spacing w:before="0" w:after="0" w:line="240" w:lineRule="auto"/>
              <w:jc w:val="center"/>
              <w:rPr>
                <w:noProof/>
              </w:rPr>
            </w:pPr>
            <w:r>
              <w:rPr>
                <w:noProof/>
              </w:rPr>
              <w:t>C 1.3.: Digitalne mreže visokog kapaciteta – ulaganja 1: Izgradnja veza velikog kapaciteta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563DAF1D"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000000" w:themeColor="text1"/>
              <w:left w:val="nil"/>
              <w:bottom w:val="single" w:sz="8" w:space="0" w:color="auto"/>
              <w:right w:val="single" w:sz="8" w:space="0" w:color="000000" w:themeColor="text1"/>
            </w:tcBorders>
            <w:shd w:val="clear" w:color="auto" w:fill="C6EFCE"/>
            <w:vAlign w:val="center"/>
            <w:hideMark/>
          </w:tcPr>
          <w:p w14:paraId="1773CBBF" w14:textId="74A74105" w:rsidR="00615E2D" w:rsidRDefault="00C83E46">
            <w:pPr>
              <w:pStyle w:val="P68B1DB1-Normal56"/>
              <w:spacing w:before="0" w:after="0" w:line="240" w:lineRule="auto"/>
              <w:jc w:val="center"/>
              <w:rPr>
                <w:noProof/>
              </w:rPr>
            </w:pPr>
            <w:r>
              <w:rPr>
                <w:noProof/>
              </w:rPr>
              <w:t xml:space="preserve">Dovršetak točaka za obraćanje povezanih s mrežom vrlo velikog kapaciteta (VHCN) </w:t>
            </w:r>
          </w:p>
        </w:tc>
      </w:tr>
      <w:tr w:rsidR="00615E2D" w14:paraId="1074155B" w14:textId="77777777">
        <w:trPr>
          <w:trHeight w:val="795"/>
        </w:trPr>
        <w:tc>
          <w:tcPr>
            <w:tcW w:w="1276" w:type="dxa"/>
            <w:tcBorders>
              <w:top w:val="nil"/>
              <w:left w:val="single" w:sz="8" w:space="0" w:color="auto"/>
              <w:bottom w:val="single" w:sz="8" w:space="0" w:color="auto"/>
              <w:right w:val="single" w:sz="8" w:space="0" w:color="auto"/>
            </w:tcBorders>
            <w:shd w:val="clear" w:color="auto" w:fill="C6EFCE"/>
            <w:vAlign w:val="center"/>
            <w:hideMark/>
          </w:tcPr>
          <w:p w14:paraId="511F7578" w14:textId="02BFF241" w:rsidR="00615E2D" w:rsidRDefault="00C83E46">
            <w:pPr>
              <w:pStyle w:val="P68B1DB1-Normal56"/>
              <w:spacing w:line="240" w:lineRule="auto"/>
              <w:jc w:val="center"/>
              <w:rPr>
                <w:noProof/>
              </w:rPr>
            </w:pPr>
            <w:r>
              <w:rPr>
                <w:noProof/>
              </w:rPr>
              <w:t>40</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11EB6C75" w14:textId="287D6641" w:rsidR="00615E2D" w:rsidRDefault="00C83E46">
            <w:pPr>
              <w:pStyle w:val="P68B1DB1-Normal57"/>
              <w:spacing w:line="240" w:lineRule="auto"/>
              <w:jc w:val="center"/>
              <w:rPr>
                <w:noProof/>
              </w:rPr>
            </w:pPr>
            <w:r>
              <w:rPr>
                <w:noProof/>
              </w:rPr>
              <w:t>C 1.3.: Digitalne mreže visokog kapaciteta – ulaganja 2: Obuhvaćanje 5G koridora i promicanje razvoja mreže 5G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636506DA" w14:textId="39D1D704" w:rsidR="00615E2D" w:rsidRDefault="00C83E46">
            <w:pPr>
              <w:pStyle w:val="P68B1DB1-Normal57"/>
              <w:spacing w:line="240" w:lineRule="auto"/>
              <w:jc w:val="center"/>
              <w:rPr>
                <w:noProof/>
              </w:rPr>
            </w:pPr>
            <w:r>
              <w:rPr>
                <w:noProof/>
              </w:rPr>
              <w:t>Ciljna</w:t>
            </w:r>
          </w:p>
        </w:tc>
        <w:tc>
          <w:tcPr>
            <w:tcW w:w="3402" w:type="dxa"/>
            <w:tcBorders>
              <w:top w:val="nil"/>
              <w:left w:val="nil"/>
              <w:bottom w:val="single" w:sz="8" w:space="0" w:color="auto"/>
              <w:right w:val="single" w:sz="8" w:space="0" w:color="auto"/>
            </w:tcBorders>
            <w:shd w:val="clear" w:color="auto" w:fill="C6EFCE"/>
            <w:vAlign w:val="center"/>
            <w:hideMark/>
          </w:tcPr>
          <w:p w14:paraId="4685C95D" w14:textId="2C348E9B" w:rsidR="00615E2D" w:rsidRDefault="00C83E46">
            <w:pPr>
              <w:pStyle w:val="P68B1DB1-Normal56"/>
              <w:spacing w:line="240" w:lineRule="auto"/>
              <w:jc w:val="center"/>
              <w:rPr>
                <w:noProof/>
              </w:rPr>
            </w:pPr>
            <w:r>
              <w:rPr>
                <w:noProof/>
              </w:rPr>
              <w:t xml:space="preserve">Dovršetak poboljšane pokrivenosti 5G signalizacijom odabranih željezničkih koridora  </w:t>
            </w:r>
          </w:p>
        </w:tc>
      </w:tr>
      <w:tr w:rsidR="00615E2D" w14:paraId="5D8985A3" w14:textId="77777777">
        <w:trPr>
          <w:trHeight w:val="795"/>
        </w:trPr>
        <w:tc>
          <w:tcPr>
            <w:tcW w:w="1276" w:type="dxa"/>
            <w:tcBorders>
              <w:top w:val="nil"/>
              <w:left w:val="single" w:sz="8" w:space="0" w:color="auto"/>
              <w:bottom w:val="single" w:sz="8" w:space="0" w:color="000000" w:themeColor="text1"/>
              <w:right w:val="single" w:sz="8" w:space="0" w:color="auto"/>
            </w:tcBorders>
            <w:shd w:val="clear" w:color="auto" w:fill="C6EFCE"/>
            <w:vAlign w:val="center"/>
            <w:hideMark/>
          </w:tcPr>
          <w:p w14:paraId="78738DF4" w14:textId="77777777" w:rsidR="00615E2D" w:rsidRDefault="00C83E46">
            <w:pPr>
              <w:pStyle w:val="P68B1DB1-Normal56"/>
              <w:spacing w:before="0" w:after="0" w:line="240" w:lineRule="auto"/>
              <w:jc w:val="center"/>
              <w:rPr>
                <w:noProof/>
              </w:rPr>
            </w:pPr>
            <w:r>
              <w:rPr>
                <w:noProof/>
              </w:rPr>
              <w:t>44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0419B7B7" w14:textId="4F764F02" w:rsidR="00615E2D" w:rsidRDefault="00C83E46">
            <w:pPr>
              <w:pStyle w:val="P68B1DB1-Normal57"/>
              <w:spacing w:before="0" w:after="0" w:line="240" w:lineRule="auto"/>
              <w:jc w:val="center"/>
              <w:rPr>
                <w:noProof/>
              </w:rPr>
            </w:pPr>
            <w:r>
              <w:rPr>
                <w:noProof/>
              </w:rPr>
              <w:t>C 1.3.: Digitalne mreže visokog kapaciteta – ulaganja 3: Potpora razvoju mobilne infrastrukture 5G u bijelim područjima s velikom potrošnjom u ruralnim područjima </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69A99483"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8" w:space="0" w:color="000000" w:themeColor="text1"/>
              <w:right w:val="single" w:sz="8" w:space="0" w:color="auto"/>
            </w:tcBorders>
            <w:shd w:val="clear" w:color="auto" w:fill="C6EFCE"/>
            <w:vAlign w:val="center"/>
            <w:hideMark/>
          </w:tcPr>
          <w:p w14:paraId="29B345CD" w14:textId="77777777" w:rsidR="00615E2D" w:rsidRDefault="00C83E46">
            <w:pPr>
              <w:pStyle w:val="P68B1DB1-Normal56"/>
              <w:spacing w:before="0" w:after="0" w:line="240" w:lineRule="auto"/>
              <w:jc w:val="center"/>
              <w:rPr>
                <w:noProof/>
              </w:rPr>
            </w:pPr>
            <w:r>
              <w:rPr>
                <w:noProof/>
              </w:rPr>
              <w:t xml:space="preserve">Završetak baznih postaja za 5G signale </w:t>
            </w:r>
          </w:p>
        </w:tc>
      </w:tr>
      <w:tr w:rsidR="00615E2D" w14:paraId="7FE78B18" w14:textId="77777777">
        <w:trPr>
          <w:trHeight w:val="600"/>
        </w:trPr>
        <w:tc>
          <w:tcPr>
            <w:tcW w:w="1276" w:type="dxa"/>
            <w:tcBorders>
              <w:top w:val="single" w:sz="4" w:space="0" w:color="000000" w:themeColor="text1"/>
              <w:left w:val="single" w:sz="8" w:space="0" w:color="auto"/>
              <w:bottom w:val="single" w:sz="4" w:space="0" w:color="000000" w:themeColor="text1"/>
              <w:right w:val="single" w:sz="8" w:space="0" w:color="auto"/>
            </w:tcBorders>
            <w:shd w:val="clear" w:color="auto" w:fill="C6EFCE"/>
            <w:vAlign w:val="center"/>
            <w:hideMark/>
          </w:tcPr>
          <w:p w14:paraId="303D5676" w14:textId="6FCBA2FC" w:rsidR="00615E2D" w:rsidRDefault="00C83E46">
            <w:pPr>
              <w:pStyle w:val="P68B1DB1-Normal56"/>
              <w:spacing w:line="240" w:lineRule="auto"/>
              <w:jc w:val="center"/>
              <w:rPr>
                <w:noProof/>
              </w:rPr>
            </w:pPr>
            <w:r>
              <w:rPr>
                <w:noProof/>
              </w:rPr>
              <w:t>61</w:t>
            </w:r>
          </w:p>
        </w:tc>
        <w:tc>
          <w:tcPr>
            <w:tcW w:w="396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37646298" w14:textId="56233C0F" w:rsidR="00615E2D" w:rsidRDefault="00C83E46">
            <w:pPr>
              <w:pStyle w:val="P68B1DB1-Normal57"/>
              <w:spacing w:line="240" w:lineRule="auto"/>
              <w:jc w:val="center"/>
              <w:rPr>
                <w:noProof/>
              </w:rPr>
            </w:pPr>
            <w:r>
              <w:rPr>
                <w:noProof/>
              </w:rPr>
              <w:t xml:space="preserve">C 1.4.: Digitalno gospodarstvo i društvo, Inovativni početak i ulaganja u nove tehnologije 9: Sredstva za razvoj prethodnih/učenih ulaganja, strateških digitalnih tehnologija i izdvojenih poduzeća na sveučilištima  </w:t>
            </w:r>
          </w:p>
        </w:tc>
        <w:tc>
          <w:tcPr>
            <w:tcW w:w="1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hideMark/>
          </w:tcPr>
          <w:p w14:paraId="73738B5C" w14:textId="7B10A9F7" w:rsidR="00615E2D" w:rsidRDefault="00C83E46">
            <w:pPr>
              <w:pStyle w:val="P68B1DB1-Normal57"/>
              <w:spacing w:line="240" w:lineRule="auto"/>
              <w:jc w:val="center"/>
              <w:rPr>
                <w:noProof/>
              </w:rPr>
            </w:pPr>
            <w:r>
              <w:rPr>
                <w:noProof/>
              </w:rPr>
              <w:t>Prekretnica</w:t>
            </w:r>
          </w:p>
        </w:tc>
        <w:tc>
          <w:tcPr>
            <w:tcW w:w="3402" w:type="dxa"/>
            <w:tcBorders>
              <w:top w:val="single" w:sz="4" w:space="0" w:color="000000" w:themeColor="text1"/>
              <w:left w:val="nil"/>
              <w:bottom w:val="single" w:sz="4" w:space="0" w:color="000000" w:themeColor="text1"/>
              <w:right w:val="single" w:sz="8" w:space="0" w:color="auto"/>
            </w:tcBorders>
            <w:shd w:val="clear" w:color="auto" w:fill="C6EFCE"/>
            <w:vAlign w:val="center"/>
            <w:hideMark/>
          </w:tcPr>
          <w:p w14:paraId="67498D09" w14:textId="3D912903" w:rsidR="00615E2D" w:rsidRDefault="00C83E46">
            <w:pPr>
              <w:pStyle w:val="P68B1DB1-Normal56"/>
              <w:spacing w:line="240" w:lineRule="auto"/>
              <w:jc w:val="center"/>
              <w:rPr>
                <w:noProof/>
              </w:rPr>
            </w:pPr>
            <w:r>
              <w:rPr>
                <w:noProof/>
              </w:rPr>
              <w:t>Pokretanje Fonda fondova i ulaganje triju namjenskih fondova (preduspostava, strateške tehnologije i izdvojeni fondovi)</w:t>
            </w:r>
          </w:p>
        </w:tc>
      </w:tr>
      <w:tr w:rsidR="00615E2D" w14:paraId="4A2DD102" w14:textId="77777777">
        <w:trPr>
          <w:trHeight w:val="600"/>
        </w:trPr>
        <w:tc>
          <w:tcPr>
            <w:tcW w:w="1276" w:type="dxa"/>
            <w:tcBorders>
              <w:top w:val="single" w:sz="4" w:space="0" w:color="000000" w:themeColor="text1"/>
              <w:left w:val="single" w:sz="8" w:space="0" w:color="auto"/>
              <w:bottom w:val="nil"/>
              <w:right w:val="single" w:sz="8" w:space="0" w:color="auto"/>
            </w:tcBorders>
            <w:shd w:val="clear" w:color="auto" w:fill="C6EFCE"/>
            <w:vAlign w:val="center"/>
            <w:hideMark/>
          </w:tcPr>
          <w:p w14:paraId="7FD8B8F2" w14:textId="77777777" w:rsidR="00615E2D" w:rsidRDefault="00C83E46">
            <w:pPr>
              <w:pStyle w:val="P68B1DB1-Normal56"/>
              <w:spacing w:before="0" w:after="0" w:line="240" w:lineRule="auto"/>
              <w:jc w:val="center"/>
              <w:rPr>
                <w:noProof/>
              </w:rPr>
            </w:pPr>
            <w:r>
              <w:rPr>
                <w:noProof/>
              </w:rPr>
              <w:t>104</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383C09FC" w14:textId="2E31CB50" w:rsidR="00615E2D" w:rsidRDefault="00C83E46">
            <w:pPr>
              <w:pStyle w:val="P68B1DB1-Normal57"/>
              <w:spacing w:before="0" w:after="0" w:line="240" w:lineRule="auto"/>
              <w:jc w:val="center"/>
              <w:rPr>
                <w:noProof/>
              </w:rPr>
            </w:pPr>
            <w:r>
              <w:rPr>
                <w:noProof/>
              </w:rPr>
              <w:t>C 2.2: Smanjenje potrošnje energije u javnom sektoru – ulaganje 1: Poboljšanje energetskih svojstava državnih zgrada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257DBF0"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000000" w:themeColor="text1"/>
              <w:left w:val="nil"/>
              <w:bottom w:val="nil"/>
              <w:right w:val="single" w:sz="8" w:space="0" w:color="auto"/>
            </w:tcBorders>
            <w:shd w:val="clear" w:color="auto" w:fill="C6EFCE"/>
            <w:vAlign w:val="center"/>
            <w:hideMark/>
          </w:tcPr>
          <w:p w14:paraId="2F9D8CC3" w14:textId="77777777" w:rsidR="00615E2D" w:rsidRDefault="00C83E46">
            <w:pPr>
              <w:pStyle w:val="P68B1DB1-Normal56"/>
              <w:spacing w:before="0" w:after="0" w:line="240" w:lineRule="auto"/>
              <w:jc w:val="center"/>
              <w:rPr>
                <w:noProof/>
              </w:rPr>
            </w:pPr>
            <w:r>
              <w:rPr>
                <w:noProof/>
              </w:rPr>
              <w:t xml:space="preserve">Smanjenje potrošnje energije </w:t>
            </w:r>
          </w:p>
        </w:tc>
      </w:tr>
      <w:tr w:rsidR="00615E2D" w14:paraId="2F3E3537" w14:textId="77777777">
        <w:trPr>
          <w:trHeight w:val="600"/>
        </w:trPr>
        <w:tc>
          <w:tcPr>
            <w:tcW w:w="1276" w:type="dxa"/>
            <w:tcBorders>
              <w:top w:val="single" w:sz="8" w:space="0" w:color="auto"/>
              <w:left w:val="single" w:sz="8" w:space="0" w:color="auto"/>
              <w:bottom w:val="nil"/>
              <w:right w:val="single" w:sz="8" w:space="0" w:color="auto"/>
            </w:tcBorders>
            <w:shd w:val="clear" w:color="auto" w:fill="C6EFCE"/>
            <w:vAlign w:val="center"/>
            <w:hideMark/>
          </w:tcPr>
          <w:p w14:paraId="5AB80E18" w14:textId="77777777" w:rsidR="00615E2D" w:rsidRDefault="00C83E46">
            <w:pPr>
              <w:pStyle w:val="P68B1DB1-Normal57"/>
              <w:spacing w:before="0" w:after="0" w:line="240" w:lineRule="auto"/>
              <w:jc w:val="center"/>
              <w:rPr>
                <w:noProof/>
              </w:rPr>
            </w:pPr>
            <w:r>
              <w:rPr>
                <w:noProof/>
              </w:rPr>
              <w:t>107</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62019CC9" w14:textId="77CE18B3" w:rsidR="00615E2D" w:rsidRDefault="00C83E46">
            <w:pPr>
              <w:pStyle w:val="P68B1DB1-Normal57"/>
              <w:spacing w:before="0" w:after="0" w:line="240" w:lineRule="auto"/>
              <w:jc w:val="center"/>
              <w:rPr>
                <w:noProof/>
              </w:rPr>
            </w:pPr>
            <w:r>
              <w:rPr>
                <w:noProof/>
              </w:rPr>
              <w:t>C 2.2: Smanjenje potrošnje energije u javnom sektoru – ulaganje 2: Poboljšanje energetske učinkovitosti sustava javne rasvjete</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72E8C4B3"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nil"/>
              <w:right w:val="single" w:sz="8" w:space="0" w:color="auto"/>
            </w:tcBorders>
            <w:shd w:val="clear" w:color="auto" w:fill="C6EFCE"/>
            <w:vAlign w:val="center"/>
            <w:hideMark/>
          </w:tcPr>
          <w:p w14:paraId="66CF06A1" w14:textId="77777777" w:rsidR="00615E2D" w:rsidRDefault="00C83E46">
            <w:pPr>
              <w:pStyle w:val="P68B1DB1-Normal57"/>
              <w:spacing w:before="0" w:after="0" w:line="240" w:lineRule="auto"/>
              <w:jc w:val="center"/>
              <w:rPr>
                <w:noProof/>
              </w:rPr>
            </w:pPr>
            <w:r>
              <w:rPr>
                <w:noProof/>
              </w:rPr>
              <w:t xml:space="preserve">Smanjenje potrošnje energije </w:t>
            </w:r>
          </w:p>
        </w:tc>
      </w:tr>
      <w:tr w:rsidR="00615E2D" w14:paraId="230B2ADE" w14:textId="77777777">
        <w:trPr>
          <w:trHeight w:val="600"/>
        </w:trPr>
        <w:tc>
          <w:tcPr>
            <w:tcW w:w="1276" w:type="dxa"/>
            <w:tcBorders>
              <w:top w:val="single" w:sz="8" w:space="0" w:color="auto"/>
              <w:left w:val="single" w:sz="8" w:space="0" w:color="auto"/>
              <w:bottom w:val="single" w:sz="4" w:space="0" w:color="auto"/>
              <w:right w:val="single" w:sz="8" w:space="0" w:color="auto"/>
            </w:tcBorders>
            <w:shd w:val="clear" w:color="auto" w:fill="C6EFCE"/>
            <w:vAlign w:val="center"/>
            <w:hideMark/>
          </w:tcPr>
          <w:p w14:paraId="008C59F3" w14:textId="77777777" w:rsidR="00615E2D" w:rsidRDefault="00C83E46">
            <w:pPr>
              <w:pStyle w:val="P68B1DB1-Normal57"/>
              <w:spacing w:before="0" w:after="0" w:line="240" w:lineRule="auto"/>
              <w:jc w:val="center"/>
              <w:rPr>
                <w:noProof/>
              </w:rPr>
            </w:pPr>
            <w:r>
              <w:rPr>
                <w:noProof/>
              </w:rPr>
              <w:t>109</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23636006" w14:textId="5730A718" w:rsidR="00615E2D" w:rsidRDefault="00C83E46">
            <w:pPr>
              <w:pStyle w:val="P68B1DB1-Normal57"/>
              <w:spacing w:before="0" w:after="0" w:line="240" w:lineRule="auto"/>
              <w:jc w:val="center"/>
              <w:rPr>
                <w:noProof/>
              </w:rPr>
            </w:pPr>
            <w:r>
              <w:rPr>
                <w:noProof/>
              </w:rPr>
              <w:t>C 2.2: Smanjenje potrošnje energije u javnom sektoru – ulaganje 3: Poboljšanje energetske učinkovitosti javnih zgrada</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3667881E"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4" w:space="0" w:color="auto"/>
              <w:right w:val="single" w:sz="8" w:space="0" w:color="auto"/>
            </w:tcBorders>
            <w:shd w:val="clear" w:color="auto" w:fill="C6EFCE"/>
            <w:vAlign w:val="center"/>
            <w:hideMark/>
          </w:tcPr>
          <w:p w14:paraId="3CDDC63F" w14:textId="77777777" w:rsidR="00615E2D" w:rsidRDefault="00C83E46">
            <w:pPr>
              <w:pStyle w:val="P68B1DB1-Normal57"/>
              <w:spacing w:before="0" w:after="0" w:line="240" w:lineRule="auto"/>
              <w:jc w:val="center"/>
              <w:rPr>
                <w:noProof/>
              </w:rPr>
            </w:pPr>
            <w:r>
              <w:rPr>
                <w:noProof/>
              </w:rPr>
              <w:t>Smanjenje potrošnje energije</w:t>
            </w:r>
          </w:p>
        </w:tc>
      </w:tr>
      <w:tr w:rsidR="00615E2D" w14:paraId="02EDB783"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7E78412A" w14:textId="77777777" w:rsidR="00615E2D" w:rsidRDefault="00C83E46">
            <w:pPr>
              <w:pStyle w:val="P68B1DB1-Normal57"/>
              <w:spacing w:before="0" w:after="0" w:line="240" w:lineRule="auto"/>
              <w:jc w:val="center"/>
              <w:rPr>
                <w:noProof/>
              </w:rPr>
            </w:pPr>
            <w:r>
              <w:rPr>
                <w:noProof/>
              </w:rPr>
              <w:t>112</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668E323" w14:textId="18A88229" w:rsidR="00615E2D" w:rsidRDefault="00C83E46">
            <w:pPr>
              <w:pStyle w:val="P68B1DB1-Normal57"/>
              <w:spacing w:before="0" w:after="0" w:line="240" w:lineRule="auto"/>
              <w:jc w:val="center"/>
              <w:rPr>
                <w:noProof/>
              </w:rPr>
            </w:pPr>
            <w:r>
              <w:rPr>
                <w:noProof/>
              </w:rPr>
              <w:t>C 2.3.: Prijelaz na čišće izvore energije – ulaganja 1: Razvoj novih fotonaponskih izvora energije</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0DEB1B8"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5A54D149" w14:textId="77777777" w:rsidR="00615E2D" w:rsidRDefault="00C83E46">
            <w:pPr>
              <w:pStyle w:val="P68B1DB1-Normal57"/>
              <w:spacing w:before="0" w:after="0" w:line="240" w:lineRule="auto"/>
              <w:jc w:val="center"/>
              <w:rPr>
                <w:noProof/>
              </w:rPr>
            </w:pPr>
            <w:r>
              <w:rPr>
                <w:noProof/>
              </w:rPr>
              <w:t>Povećanje instaliranog kapaciteta izvora FVE-a</w:t>
            </w:r>
          </w:p>
        </w:tc>
      </w:tr>
      <w:tr w:rsidR="00615E2D" w14:paraId="71DBC76C" w14:textId="77777777">
        <w:trPr>
          <w:trHeight w:val="600"/>
        </w:trPr>
        <w:tc>
          <w:tcPr>
            <w:tcW w:w="1276" w:type="dxa"/>
            <w:tcBorders>
              <w:top w:val="single" w:sz="4" w:space="0" w:color="auto"/>
              <w:left w:val="single" w:sz="8" w:space="0" w:color="auto"/>
              <w:bottom w:val="nil"/>
              <w:right w:val="single" w:sz="8" w:space="0" w:color="auto"/>
            </w:tcBorders>
            <w:shd w:val="clear" w:color="auto" w:fill="C6EFCE"/>
            <w:vAlign w:val="center"/>
            <w:hideMark/>
          </w:tcPr>
          <w:p w14:paraId="74A5D5D5" w14:textId="77777777" w:rsidR="00615E2D" w:rsidRDefault="00C83E46">
            <w:pPr>
              <w:pStyle w:val="P68B1DB1-Normal57"/>
              <w:spacing w:before="0" w:after="0" w:line="240" w:lineRule="auto"/>
              <w:jc w:val="center"/>
              <w:rPr>
                <w:noProof/>
              </w:rPr>
            </w:pPr>
            <w:r>
              <w:rPr>
                <w:noProof/>
              </w:rPr>
              <w:t>114</w:t>
            </w:r>
          </w:p>
        </w:tc>
        <w:tc>
          <w:tcPr>
            <w:tcW w:w="3969" w:type="dxa"/>
            <w:tcBorders>
              <w:top w:val="single" w:sz="4" w:space="0" w:color="auto"/>
              <w:left w:val="nil"/>
              <w:bottom w:val="nil"/>
              <w:right w:val="single" w:sz="8" w:space="0" w:color="000000" w:themeColor="text1"/>
            </w:tcBorders>
            <w:shd w:val="clear" w:color="auto" w:fill="C6EFCE"/>
            <w:vAlign w:val="center"/>
            <w:hideMark/>
          </w:tcPr>
          <w:p w14:paraId="190943E5" w14:textId="20E3AFA7" w:rsidR="00615E2D" w:rsidRDefault="00C83E46">
            <w:pPr>
              <w:pStyle w:val="P68B1DB1-Normal57"/>
              <w:spacing w:before="0" w:after="0" w:line="240" w:lineRule="auto"/>
              <w:jc w:val="center"/>
              <w:rPr>
                <w:noProof/>
              </w:rPr>
            </w:pPr>
            <w:r>
              <w:rPr>
                <w:noProof/>
              </w:rPr>
              <w:t>C 2.3.: Prijelaz na čišće izvore energije – ulaganje 2: Modernizacija distribucije toplinske energije u sustavima centraliziranog grijanja</w:t>
            </w:r>
          </w:p>
        </w:tc>
        <w:tc>
          <w:tcPr>
            <w:tcW w:w="1843" w:type="dxa"/>
            <w:tcBorders>
              <w:top w:val="single" w:sz="4" w:space="0" w:color="auto"/>
              <w:left w:val="nil"/>
              <w:bottom w:val="nil"/>
              <w:right w:val="single" w:sz="8" w:space="0" w:color="000000" w:themeColor="text1"/>
            </w:tcBorders>
            <w:shd w:val="clear" w:color="auto" w:fill="C6EFCE"/>
            <w:vAlign w:val="center"/>
            <w:hideMark/>
          </w:tcPr>
          <w:p w14:paraId="137E67CF"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nil"/>
              <w:right w:val="single" w:sz="8" w:space="0" w:color="auto"/>
            </w:tcBorders>
            <w:shd w:val="clear" w:color="auto" w:fill="C6EFCE"/>
            <w:vAlign w:val="center"/>
            <w:hideMark/>
          </w:tcPr>
          <w:p w14:paraId="73612BD7" w14:textId="77777777" w:rsidR="00615E2D" w:rsidRDefault="00C83E46">
            <w:pPr>
              <w:pStyle w:val="P68B1DB1-Normal57"/>
              <w:spacing w:before="0" w:after="0" w:line="240" w:lineRule="auto"/>
              <w:jc w:val="center"/>
              <w:rPr>
                <w:noProof/>
              </w:rPr>
            </w:pPr>
            <w:r>
              <w:rPr>
                <w:noProof/>
              </w:rPr>
              <w:t>Uštede primarne energije koje proizlaze iz modernizacije distribucije topline</w:t>
            </w:r>
          </w:p>
        </w:tc>
      </w:tr>
      <w:tr w:rsidR="00615E2D" w14:paraId="25161FEC" w14:textId="77777777">
        <w:trPr>
          <w:trHeight w:val="795"/>
        </w:trPr>
        <w:tc>
          <w:tcPr>
            <w:tcW w:w="1276" w:type="dxa"/>
            <w:tcBorders>
              <w:top w:val="single" w:sz="8" w:space="0" w:color="auto"/>
              <w:left w:val="single" w:sz="8" w:space="0" w:color="auto"/>
              <w:bottom w:val="single" w:sz="8" w:space="0" w:color="auto"/>
              <w:right w:val="single" w:sz="8" w:space="0" w:color="auto"/>
            </w:tcBorders>
            <w:shd w:val="clear" w:color="auto" w:fill="C6EFCE"/>
            <w:vAlign w:val="center"/>
            <w:hideMark/>
          </w:tcPr>
          <w:p w14:paraId="2292FE92" w14:textId="5329F1E6" w:rsidR="00615E2D" w:rsidRDefault="00C83E46">
            <w:pPr>
              <w:pStyle w:val="P68B1DB1-Normal57"/>
              <w:spacing w:line="240" w:lineRule="auto"/>
              <w:jc w:val="center"/>
              <w:rPr>
                <w:noProof/>
              </w:rPr>
            </w:pPr>
            <w:r>
              <w:rPr>
                <w:noProof/>
              </w:rPr>
              <w:t>116</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6EE0A964" w14:textId="5AC81FBD" w:rsidR="00615E2D" w:rsidRDefault="00C83E46">
            <w:pPr>
              <w:pStyle w:val="P68B1DB1-Normal57"/>
              <w:spacing w:line="240" w:lineRule="auto"/>
              <w:jc w:val="center"/>
              <w:rPr>
                <w:noProof/>
              </w:rPr>
            </w:pPr>
            <w:r>
              <w:rPr>
                <w:noProof/>
              </w:rPr>
              <w:t>C 2.4.: Čista mobilnost – ulaganja 1: Izgradnja infrastrukture za javni prijevoz u gradu Pragu</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4D2B9EA8" w14:textId="2B2C5060" w:rsidR="00615E2D" w:rsidRDefault="00C83E46">
            <w:pPr>
              <w:pStyle w:val="P68B1DB1-Normal57"/>
              <w:spacing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auto"/>
            </w:tcBorders>
            <w:shd w:val="clear" w:color="auto" w:fill="C6EFCE"/>
            <w:vAlign w:val="center"/>
            <w:hideMark/>
          </w:tcPr>
          <w:p w14:paraId="2F0D0092" w14:textId="75A560A3" w:rsidR="00615E2D" w:rsidRDefault="00C83E46">
            <w:pPr>
              <w:pStyle w:val="P68B1DB1-Normal57"/>
              <w:spacing w:line="240" w:lineRule="auto"/>
              <w:jc w:val="center"/>
              <w:rPr>
                <w:noProof/>
              </w:rPr>
            </w:pPr>
            <w:r>
              <w:rPr>
                <w:noProof/>
              </w:rPr>
              <w:t xml:space="preserve">Broj kilometara ceste s dinamičnim naplatom za grad Prag   </w:t>
            </w:r>
          </w:p>
        </w:tc>
      </w:tr>
      <w:tr w:rsidR="00615E2D" w14:paraId="33F00C8C" w14:textId="77777777">
        <w:trPr>
          <w:trHeight w:val="795"/>
        </w:trPr>
        <w:tc>
          <w:tcPr>
            <w:tcW w:w="1276" w:type="dxa"/>
            <w:tcBorders>
              <w:top w:val="single" w:sz="8" w:space="0" w:color="auto"/>
              <w:left w:val="single" w:sz="8" w:space="0" w:color="auto"/>
              <w:bottom w:val="single" w:sz="8" w:space="0" w:color="auto"/>
              <w:right w:val="single" w:sz="8" w:space="0" w:color="auto"/>
            </w:tcBorders>
            <w:shd w:val="clear" w:color="auto" w:fill="C6EFCE"/>
            <w:vAlign w:val="center"/>
            <w:hideMark/>
          </w:tcPr>
          <w:p w14:paraId="177E5EDE" w14:textId="77777777" w:rsidR="00615E2D" w:rsidRDefault="00C83E46">
            <w:pPr>
              <w:pStyle w:val="P68B1DB1-Normal57"/>
              <w:spacing w:before="0" w:after="0" w:line="240" w:lineRule="auto"/>
              <w:jc w:val="center"/>
              <w:rPr>
                <w:noProof/>
              </w:rPr>
            </w:pPr>
            <w:r>
              <w:rPr>
                <w:noProof/>
              </w:rPr>
              <w:t>122</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660A1C06" w14:textId="2DA72B9E" w:rsidR="00615E2D" w:rsidRDefault="00C83E46">
            <w:pPr>
              <w:pStyle w:val="P68B1DB1-Normal57"/>
              <w:spacing w:before="0" w:after="0" w:line="240" w:lineRule="auto"/>
              <w:jc w:val="center"/>
              <w:rPr>
                <w:noProof/>
              </w:rPr>
            </w:pPr>
            <w:r>
              <w:rPr>
                <w:noProof/>
              </w:rPr>
              <w:t xml:space="preserve">C 2.4.: Čista mobilnost – ulaganje 6: Potpora za kupnju vozila (baterijski trolejbusi i niskopodni tramvaji) za javni prijevoz u gradu Pragu </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2CE206EB"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auto"/>
            </w:tcBorders>
            <w:shd w:val="clear" w:color="auto" w:fill="C6EFCE"/>
            <w:vAlign w:val="center"/>
            <w:hideMark/>
          </w:tcPr>
          <w:p w14:paraId="76303F0F" w14:textId="77777777" w:rsidR="00615E2D" w:rsidRDefault="00C83E46">
            <w:pPr>
              <w:pStyle w:val="P68B1DB1-Normal57"/>
              <w:spacing w:before="0" w:after="0" w:line="240" w:lineRule="auto"/>
              <w:jc w:val="center"/>
              <w:rPr>
                <w:noProof/>
              </w:rPr>
            </w:pPr>
            <w:r>
              <w:rPr>
                <w:noProof/>
              </w:rPr>
              <w:t xml:space="preserve">Broj vozila (baterijski trolejbusi i niskopodni tramvaji) za javni prijevoz u gradu Pragu </w:t>
            </w:r>
          </w:p>
        </w:tc>
      </w:tr>
      <w:tr w:rsidR="00615E2D" w14:paraId="52CC7414" w14:textId="77777777">
        <w:trPr>
          <w:trHeight w:val="600"/>
        </w:trPr>
        <w:tc>
          <w:tcPr>
            <w:tcW w:w="1276" w:type="dxa"/>
            <w:tcBorders>
              <w:top w:val="nil"/>
              <w:left w:val="single" w:sz="8" w:space="0" w:color="auto"/>
              <w:bottom w:val="single" w:sz="4" w:space="0" w:color="auto"/>
              <w:right w:val="single" w:sz="8" w:space="0" w:color="auto"/>
            </w:tcBorders>
            <w:shd w:val="clear" w:color="auto" w:fill="C6EFCE"/>
            <w:vAlign w:val="center"/>
            <w:hideMark/>
          </w:tcPr>
          <w:p w14:paraId="1B1E387E" w14:textId="77777777" w:rsidR="00615E2D" w:rsidRDefault="00C83E46">
            <w:pPr>
              <w:pStyle w:val="P68B1DB1-Normal57"/>
              <w:spacing w:before="0" w:after="0" w:line="240" w:lineRule="auto"/>
              <w:jc w:val="center"/>
              <w:rPr>
                <w:noProof/>
              </w:rPr>
            </w:pPr>
            <w:r>
              <w:rPr>
                <w:noProof/>
              </w:rPr>
              <w:t>171</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716A073F" w14:textId="77777777" w:rsidR="00615E2D" w:rsidRDefault="00C83E46">
            <w:pPr>
              <w:pStyle w:val="P68B1DB1-Normal57"/>
              <w:spacing w:before="0" w:after="0" w:line="240" w:lineRule="auto"/>
              <w:jc w:val="center"/>
              <w:rPr>
                <w:noProof/>
              </w:rPr>
            </w:pPr>
            <w:r>
              <w:rPr>
                <w:noProof/>
              </w:rPr>
              <w:t>C 3.1: Inovacije u obrazovanju u kontekstu digitalizacije – ulaganje 1: Provedba revidiranog kurikuluma i digitalnih vještina nastavnika</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0BA4F50D"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4" w:space="0" w:color="auto"/>
              <w:right w:val="single" w:sz="8" w:space="0" w:color="auto"/>
            </w:tcBorders>
            <w:shd w:val="clear" w:color="auto" w:fill="C6EFCE"/>
            <w:vAlign w:val="center"/>
            <w:hideMark/>
          </w:tcPr>
          <w:p w14:paraId="52599C42" w14:textId="08C1D2AD" w:rsidR="00615E2D" w:rsidRDefault="00C83E46">
            <w:pPr>
              <w:pStyle w:val="P68B1DB1-Normal56"/>
              <w:spacing w:before="0" w:after="0" w:line="240" w:lineRule="auto"/>
              <w:jc w:val="center"/>
              <w:rPr>
                <w:noProof/>
                <w:color w:val="006100"/>
              </w:rPr>
            </w:pPr>
            <w:r>
              <w:rPr>
                <w:noProof/>
              </w:rPr>
              <w:t xml:space="preserve">Broj škola koje su primile potporu za provedbu novih informatičkih kurikuluma (digitalne vještine nastavnika i usmjeravanje) </w:t>
            </w:r>
          </w:p>
        </w:tc>
      </w:tr>
      <w:tr w:rsidR="00615E2D" w14:paraId="5E1735AC"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088E16E2" w14:textId="77777777" w:rsidR="00615E2D" w:rsidRDefault="00C83E46">
            <w:pPr>
              <w:pStyle w:val="P68B1DB1-Normal57"/>
              <w:spacing w:before="0" w:after="0" w:line="240" w:lineRule="auto"/>
              <w:jc w:val="center"/>
              <w:rPr>
                <w:noProof/>
              </w:rPr>
            </w:pPr>
            <w:r>
              <w:rPr>
                <w:noProof/>
              </w:rPr>
              <w:t>175</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E1099FE" w14:textId="77777777" w:rsidR="00615E2D" w:rsidRDefault="00C83E46">
            <w:pPr>
              <w:pStyle w:val="P68B1DB1-Normal57"/>
              <w:spacing w:before="0" w:after="0" w:line="240" w:lineRule="auto"/>
              <w:jc w:val="center"/>
              <w:rPr>
                <w:noProof/>
              </w:rPr>
            </w:pPr>
            <w:r>
              <w:rPr>
                <w:noProof/>
              </w:rPr>
              <w:t>C 3.1: Inovacije u obrazovanju u kontekstu digitalizacije – ulaganje 2: Digitalna oprema za škole</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6DF08075"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E7D0AE1" w14:textId="77777777" w:rsidR="00615E2D" w:rsidRDefault="00C83E46">
            <w:pPr>
              <w:pStyle w:val="P68B1DB1-Normal57"/>
              <w:spacing w:before="0" w:after="0" w:line="240" w:lineRule="auto"/>
              <w:jc w:val="center"/>
              <w:rPr>
                <w:noProof/>
              </w:rPr>
            </w:pPr>
            <w:r>
              <w:rPr>
                <w:noProof/>
              </w:rPr>
              <w:t xml:space="preserve">Broj škola koje primaju potporu u savjetovanju i mentorstvu u području informatičke opreme i internih IT sustava </w:t>
            </w:r>
          </w:p>
        </w:tc>
      </w:tr>
      <w:tr w:rsidR="00615E2D" w14:paraId="107EB667" w14:textId="77777777">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3B7302D1" w14:textId="77777777" w:rsidR="00615E2D" w:rsidRDefault="00C83E46">
            <w:pPr>
              <w:pStyle w:val="P68B1DB1-Normal57"/>
              <w:spacing w:before="0" w:after="0" w:line="240" w:lineRule="auto"/>
              <w:jc w:val="center"/>
              <w:rPr>
                <w:noProof/>
              </w:rPr>
            </w:pPr>
            <w:r>
              <w:rPr>
                <w:noProof/>
              </w:rPr>
              <w:t>177</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463FE504" w14:textId="77777777" w:rsidR="00615E2D" w:rsidRDefault="00C83E46">
            <w:pPr>
              <w:pStyle w:val="P68B1DB1-Normal57"/>
              <w:spacing w:before="0" w:after="0" w:line="240" w:lineRule="auto"/>
              <w:jc w:val="center"/>
              <w:rPr>
                <w:noProof/>
              </w:rPr>
            </w:pPr>
            <w:r>
              <w:rPr>
                <w:noProof/>
              </w:rPr>
              <w:t>C 3.2.: Prilagodba školskih programa – reforma 1.: Preobrazba sveučilišta radi prilagodbe novim oblicima učenja i promjenjivim potrebama tržišta rada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C41A32C"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hideMark/>
          </w:tcPr>
          <w:p w14:paraId="1D1D84DC" w14:textId="77777777" w:rsidR="00615E2D" w:rsidRDefault="00C83E46">
            <w:pPr>
              <w:pStyle w:val="P68B1DB1-Normal57"/>
              <w:spacing w:before="0" w:after="0" w:line="240" w:lineRule="auto"/>
              <w:jc w:val="center"/>
              <w:rPr>
                <w:noProof/>
              </w:rPr>
            </w:pPr>
            <w:r>
              <w:rPr>
                <w:noProof/>
              </w:rPr>
              <w:t>Broj novih akreditiranih studijskih programa</w:t>
            </w:r>
          </w:p>
        </w:tc>
      </w:tr>
      <w:tr w:rsidR="00615E2D" w14:paraId="2F9D8A95" w14:textId="77777777">
        <w:trPr>
          <w:trHeight w:val="600"/>
        </w:trPr>
        <w:tc>
          <w:tcPr>
            <w:tcW w:w="1276" w:type="dxa"/>
            <w:tcBorders>
              <w:top w:val="single" w:sz="4" w:space="0" w:color="auto"/>
              <w:left w:val="single" w:sz="8" w:space="0" w:color="auto"/>
              <w:bottom w:val="single" w:sz="8" w:space="0" w:color="auto"/>
              <w:right w:val="single" w:sz="8" w:space="0" w:color="auto"/>
            </w:tcBorders>
            <w:shd w:val="clear" w:color="auto" w:fill="C6EFCE"/>
            <w:vAlign w:val="center"/>
            <w:hideMark/>
          </w:tcPr>
          <w:p w14:paraId="68285605" w14:textId="77777777" w:rsidR="00615E2D" w:rsidRDefault="00C83E46">
            <w:pPr>
              <w:pStyle w:val="P68B1DB1-Normal57"/>
              <w:spacing w:before="0" w:after="0" w:line="240" w:lineRule="auto"/>
              <w:jc w:val="center"/>
              <w:rPr>
                <w:noProof/>
              </w:rPr>
            </w:pPr>
            <w:r>
              <w:rPr>
                <w:noProof/>
              </w:rPr>
              <w:t>178</w:t>
            </w:r>
          </w:p>
        </w:tc>
        <w:tc>
          <w:tcPr>
            <w:tcW w:w="3969"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6E78FE64" w14:textId="77777777" w:rsidR="00615E2D" w:rsidRDefault="00C83E46">
            <w:pPr>
              <w:pStyle w:val="P68B1DB1-Normal57"/>
              <w:spacing w:before="0" w:after="0" w:line="240" w:lineRule="auto"/>
              <w:jc w:val="center"/>
              <w:rPr>
                <w:noProof/>
              </w:rPr>
            </w:pPr>
            <w:r>
              <w:rPr>
                <w:noProof/>
              </w:rPr>
              <w:t>C 3.2.: Prilagodba školskih programa – reforma 1.: Preobrazba sveučilišta radi prilagodbe novim oblicima učenja i promjenjivim potrebama tržišta rada</w:t>
            </w:r>
          </w:p>
        </w:tc>
        <w:tc>
          <w:tcPr>
            <w:tcW w:w="1843" w:type="dxa"/>
            <w:tcBorders>
              <w:top w:val="single" w:sz="4" w:space="0" w:color="auto"/>
              <w:left w:val="nil"/>
              <w:bottom w:val="single" w:sz="8" w:space="0" w:color="000000" w:themeColor="text1"/>
              <w:right w:val="single" w:sz="8" w:space="0" w:color="000000" w:themeColor="text1"/>
            </w:tcBorders>
            <w:shd w:val="clear" w:color="auto" w:fill="C6EFCE"/>
            <w:vAlign w:val="center"/>
            <w:hideMark/>
          </w:tcPr>
          <w:p w14:paraId="32C436D8"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auto"/>
              <w:left w:val="nil"/>
              <w:bottom w:val="single" w:sz="8" w:space="0" w:color="auto"/>
              <w:right w:val="single" w:sz="8" w:space="0" w:color="auto"/>
            </w:tcBorders>
            <w:shd w:val="clear" w:color="auto" w:fill="C6EFCE"/>
            <w:vAlign w:val="center"/>
            <w:hideMark/>
          </w:tcPr>
          <w:p w14:paraId="2C78C154" w14:textId="77777777" w:rsidR="00615E2D" w:rsidRDefault="00C83E46">
            <w:pPr>
              <w:pStyle w:val="P68B1DB1-Normal57"/>
              <w:spacing w:before="0" w:after="0" w:line="240" w:lineRule="auto"/>
              <w:jc w:val="center"/>
              <w:rPr>
                <w:noProof/>
              </w:rPr>
            </w:pPr>
            <w:r>
              <w:rPr>
                <w:noProof/>
              </w:rPr>
              <w:t>Broj novih tečajeva prekvalifikacije i usavršavanja</w:t>
            </w:r>
          </w:p>
        </w:tc>
      </w:tr>
      <w:tr w:rsidR="00615E2D" w14:paraId="305232FA" w14:textId="77777777">
        <w:trPr>
          <w:trHeight w:val="795"/>
        </w:trPr>
        <w:tc>
          <w:tcPr>
            <w:tcW w:w="1276" w:type="dxa"/>
            <w:tcBorders>
              <w:top w:val="single" w:sz="8" w:space="0" w:color="auto"/>
              <w:left w:val="single" w:sz="8" w:space="0" w:color="auto"/>
              <w:bottom w:val="single" w:sz="8" w:space="0" w:color="auto"/>
              <w:right w:val="single" w:sz="8" w:space="0" w:color="auto"/>
            </w:tcBorders>
            <w:shd w:val="clear" w:color="auto" w:fill="C6EFCE"/>
            <w:vAlign w:val="center"/>
            <w:hideMark/>
          </w:tcPr>
          <w:p w14:paraId="7F57006A" w14:textId="631C4733" w:rsidR="00615E2D" w:rsidRDefault="00C83E46">
            <w:pPr>
              <w:pStyle w:val="P68B1DB1-Normal57"/>
              <w:spacing w:before="0" w:after="0" w:line="240" w:lineRule="auto"/>
              <w:jc w:val="center"/>
              <w:rPr>
                <w:noProof/>
              </w:rPr>
            </w:pPr>
            <w:r>
              <w:rPr>
                <w:noProof/>
              </w:rPr>
              <w:t>227</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47B7DCB7" w14:textId="0BD968A4" w:rsidR="00615E2D" w:rsidRDefault="00C83E46">
            <w:pPr>
              <w:pStyle w:val="P68B1DB1-Normal57"/>
              <w:spacing w:before="0" w:after="0" w:line="240" w:lineRule="auto"/>
              <w:jc w:val="center"/>
              <w:rPr>
                <w:noProof/>
              </w:rPr>
            </w:pPr>
            <w:r>
              <w:rPr>
                <w:noProof/>
              </w:rPr>
              <w:t>C 5.2: Potpora za istraživanje i razvoj u poduzećima i uvođenje inovacija u poslovnu praksu – ulaganje 1: Potpora prihvaćanju inovacija u poslovnoj praksi</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739B3C35"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auto"/>
            </w:tcBorders>
            <w:shd w:val="clear" w:color="auto" w:fill="C6EFCE"/>
            <w:vAlign w:val="center"/>
            <w:hideMark/>
          </w:tcPr>
          <w:p w14:paraId="2561B464" w14:textId="77777777" w:rsidR="00615E2D" w:rsidRDefault="00C83E46">
            <w:pPr>
              <w:pStyle w:val="P68B1DB1-Normal57"/>
              <w:spacing w:before="0" w:after="0" w:line="240" w:lineRule="auto"/>
              <w:jc w:val="center"/>
              <w:rPr>
                <w:noProof/>
              </w:rPr>
            </w:pPr>
            <w:r>
              <w:rPr>
                <w:noProof/>
              </w:rPr>
              <w:t>Uvođenje inovacija u području proizvoda, procesa ili organizacije</w:t>
            </w:r>
          </w:p>
        </w:tc>
      </w:tr>
      <w:tr w:rsidR="00615E2D" w14:paraId="4A144BCB" w14:textId="77777777">
        <w:trPr>
          <w:trHeight w:val="990"/>
        </w:trPr>
        <w:tc>
          <w:tcPr>
            <w:tcW w:w="1276" w:type="dxa"/>
            <w:tcBorders>
              <w:top w:val="nil"/>
              <w:left w:val="single" w:sz="8" w:space="0" w:color="auto"/>
              <w:bottom w:val="single" w:sz="8" w:space="0" w:color="auto"/>
              <w:right w:val="single" w:sz="8" w:space="0" w:color="auto"/>
            </w:tcBorders>
            <w:shd w:val="clear" w:color="auto" w:fill="C6EFCE"/>
            <w:vAlign w:val="center"/>
            <w:hideMark/>
          </w:tcPr>
          <w:p w14:paraId="5C7A61B5" w14:textId="77777777" w:rsidR="00615E2D" w:rsidRDefault="00C83E46">
            <w:pPr>
              <w:pStyle w:val="P68B1DB1-Normal57"/>
              <w:spacing w:before="0" w:after="0" w:line="240" w:lineRule="auto"/>
              <w:jc w:val="center"/>
              <w:rPr>
                <w:noProof/>
              </w:rPr>
            </w:pPr>
            <w:r>
              <w:rPr>
                <w:noProof/>
              </w:rPr>
              <w:t>22</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5E034221" w14:textId="77777777" w:rsidR="00615E2D" w:rsidRDefault="00C83E46">
            <w:pPr>
              <w:spacing w:before="0" w:after="0" w:line="240" w:lineRule="auto"/>
              <w:jc w:val="center"/>
              <w:rPr>
                <w:rFonts w:eastAsia="Times New Roman"/>
                <w:noProof/>
                <w:color w:val="006100"/>
                <w:sz w:val="20"/>
              </w:rPr>
            </w:pPr>
            <w:r>
              <w:rPr>
                <w:rFonts w:eastAsia="Times New Roman"/>
                <w:noProof/>
                <w:color w:val="006100"/>
                <w:sz w:val="20"/>
              </w:rPr>
              <w:t>C 1.2.: Sustavi digitalne javne uprave – ulaganje 2:</w:t>
            </w:r>
            <w:r>
              <w:rPr>
                <w:noProof/>
              </w:rPr>
              <w:br/>
            </w:r>
            <w:r>
              <w:rPr>
                <w:rFonts w:eastAsia="Times New Roman"/>
                <w:noProof/>
                <w:color w:val="006100"/>
                <w:sz w:val="20"/>
              </w:rPr>
              <w:t>Razvoj temeljnih registara i objekata za e-upravu</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3E0CE2FA"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single" w:sz="8" w:space="0" w:color="auto"/>
              <w:right w:val="single" w:sz="8" w:space="0" w:color="auto"/>
            </w:tcBorders>
            <w:shd w:val="clear" w:color="auto" w:fill="C6EFCE"/>
            <w:vAlign w:val="center"/>
            <w:hideMark/>
          </w:tcPr>
          <w:p w14:paraId="0F6C5562" w14:textId="77777777" w:rsidR="00615E2D" w:rsidRDefault="00C83E46">
            <w:pPr>
              <w:pStyle w:val="P68B1DB1-Normal57"/>
              <w:spacing w:before="0" w:after="0" w:line="240" w:lineRule="auto"/>
              <w:jc w:val="center"/>
              <w:rPr>
                <w:noProof/>
              </w:rPr>
            </w:pPr>
            <w:r>
              <w:rPr>
                <w:noProof/>
              </w:rPr>
              <w:t>Pružanje usluga računalstva u oblaku javnim tijelima</w:t>
            </w:r>
          </w:p>
        </w:tc>
      </w:tr>
      <w:tr w:rsidR="00615E2D" w14:paraId="4EDAADF6" w14:textId="77777777">
        <w:trPr>
          <w:trHeight w:val="600"/>
        </w:trPr>
        <w:tc>
          <w:tcPr>
            <w:tcW w:w="1276" w:type="dxa"/>
            <w:tcBorders>
              <w:top w:val="nil"/>
              <w:left w:val="single" w:sz="8" w:space="0" w:color="auto"/>
              <w:bottom w:val="single" w:sz="4" w:space="0" w:color="auto"/>
              <w:right w:val="single" w:sz="8" w:space="0" w:color="auto"/>
            </w:tcBorders>
            <w:shd w:val="clear" w:color="auto" w:fill="C6EFCE"/>
            <w:vAlign w:val="center"/>
            <w:hideMark/>
          </w:tcPr>
          <w:p w14:paraId="07AC979F" w14:textId="77777777" w:rsidR="00615E2D" w:rsidRDefault="00C83E46">
            <w:pPr>
              <w:pStyle w:val="P68B1DB1-Normal57"/>
              <w:spacing w:before="0" w:after="0" w:line="240" w:lineRule="auto"/>
              <w:jc w:val="center"/>
              <w:rPr>
                <w:noProof/>
              </w:rPr>
            </w:pPr>
            <w:r>
              <w:rPr>
                <w:noProof/>
              </w:rPr>
              <w:t>180</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03415F52" w14:textId="77777777" w:rsidR="00615E2D" w:rsidRDefault="00C83E46">
            <w:pPr>
              <w:pStyle w:val="P68B1DB1-Normal57"/>
              <w:spacing w:before="0" w:after="0" w:line="240" w:lineRule="auto"/>
              <w:jc w:val="center"/>
              <w:rPr>
                <w:noProof/>
              </w:rPr>
            </w:pPr>
            <w:r>
              <w:rPr>
                <w:noProof/>
              </w:rPr>
              <w:t>C 3.2.: Prilagodba školskih programa – ulaganje 1: Razvoj odabranih ključnih akademskih lokacija</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7DF274DF" w14:textId="77777777" w:rsidR="00615E2D" w:rsidRDefault="00C83E46">
            <w:pPr>
              <w:pStyle w:val="P68B1DB1-Normal57"/>
              <w:spacing w:before="0" w:after="0" w:line="240" w:lineRule="auto"/>
              <w:jc w:val="center"/>
              <w:rPr>
                <w:noProof/>
              </w:rPr>
            </w:pPr>
            <w:r>
              <w:rPr>
                <w:noProof/>
              </w:rPr>
              <w:t>Ciljna</w:t>
            </w:r>
          </w:p>
        </w:tc>
        <w:tc>
          <w:tcPr>
            <w:tcW w:w="3402" w:type="dxa"/>
            <w:tcBorders>
              <w:top w:val="nil"/>
              <w:left w:val="nil"/>
              <w:bottom w:val="single" w:sz="4" w:space="0" w:color="auto"/>
              <w:right w:val="single" w:sz="8" w:space="0" w:color="auto"/>
            </w:tcBorders>
            <w:shd w:val="clear" w:color="auto" w:fill="C6EFCE"/>
            <w:vAlign w:val="center"/>
            <w:hideMark/>
          </w:tcPr>
          <w:p w14:paraId="597A9609" w14:textId="77777777" w:rsidR="00615E2D" w:rsidRDefault="00C83E46">
            <w:pPr>
              <w:pStyle w:val="P68B1DB1-Normal57"/>
              <w:spacing w:before="0" w:after="0" w:line="240" w:lineRule="auto"/>
              <w:jc w:val="center"/>
              <w:rPr>
                <w:noProof/>
              </w:rPr>
            </w:pPr>
            <w:r>
              <w:rPr>
                <w:noProof/>
              </w:rPr>
              <w:t xml:space="preserve">Broj kvadratnih metara novog sveučilišnog područja </w:t>
            </w:r>
          </w:p>
        </w:tc>
      </w:tr>
      <w:tr w:rsidR="00615E2D" w14:paraId="025AB127" w14:textId="77777777">
        <w:trPr>
          <w:trHeight w:val="795"/>
        </w:trPr>
        <w:tc>
          <w:tcPr>
            <w:tcW w:w="1276" w:type="dxa"/>
            <w:tcBorders>
              <w:top w:val="single" w:sz="4" w:space="0" w:color="auto"/>
              <w:left w:val="single" w:sz="8" w:space="0" w:color="auto"/>
              <w:bottom w:val="nil"/>
              <w:right w:val="single" w:sz="8" w:space="0" w:color="auto"/>
            </w:tcBorders>
            <w:shd w:val="clear" w:color="auto" w:fill="C6EFCE"/>
            <w:vAlign w:val="center"/>
            <w:hideMark/>
          </w:tcPr>
          <w:p w14:paraId="40A9AFE4" w14:textId="3D74F0B9" w:rsidR="00615E2D" w:rsidRDefault="00C83E46">
            <w:pPr>
              <w:pStyle w:val="P68B1DB1-Normal57"/>
              <w:spacing w:line="240" w:lineRule="auto"/>
              <w:jc w:val="center"/>
              <w:rPr>
                <w:noProof/>
              </w:rPr>
            </w:pPr>
            <w:r>
              <w:rPr>
                <w:noProof/>
              </w:rPr>
              <w:t>189</w:t>
            </w:r>
          </w:p>
        </w:tc>
        <w:tc>
          <w:tcPr>
            <w:tcW w:w="3969" w:type="dxa"/>
            <w:tcBorders>
              <w:top w:val="single" w:sz="4" w:space="0" w:color="auto"/>
              <w:left w:val="nil"/>
              <w:bottom w:val="nil"/>
              <w:right w:val="single" w:sz="8" w:space="0" w:color="000000" w:themeColor="text1"/>
            </w:tcBorders>
            <w:shd w:val="clear" w:color="auto" w:fill="C6EFCE"/>
            <w:vAlign w:val="center"/>
            <w:hideMark/>
          </w:tcPr>
          <w:p w14:paraId="60DDED8B" w14:textId="0DB7185C" w:rsidR="00615E2D" w:rsidRDefault="00C83E46">
            <w:pPr>
              <w:pStyle w:val="P68B1DB1-Normal57"/>
              <w:spacing w:line="240" w:lineRule="auto"/>
              <w:jc w:val="center"/>
              <w:rPr>
                <w:noProof/>
              </w:rPr>
            </w:pPr>
            <w:r>
              <w:rPr>
                <w:noProof/>
              </w:rPr>
              <w:t xml:space="preserve">C 3.3: Modernizacija službi za zapošljavanje i razvoj tržišta rada – ulaganje 2: Povećanje kapaciteta predškolskih ustanova  </w:t>
            </w:r>
          </w:p>
        </w:tc>
        <w:tc>
          <w:tcPr>
            <w:tcW w:w="1843" w:type="dxa"/>
            <w:tcBorders>
              <w:top w:val="single" w:sz="4" w:space="0" w:color="auto"/>
              <w:left w:val="nil"/>
              <w:bottom w:val="nil"/>
              <w:right w:val="single" w:sz="8" w:space="0" w:color="000000" w:themeColor="text1"/>
            </w:tcBorders>
            <w:shd w:val="clear" w:color="auto" w:fill="C6EFCE"/>
            <w:vAlign w:val="center"/>
            <w:hideMark/>
          </w:tcPr>
          <w:p w14:paraId="36A91F95" w14:textId="4B5A2CA3"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nil"/>
              <w:right w:val="single" w:sz="8" w:space="0" w:color="auto"/>
            </w:tcBorders>
            <w:shd w:val="clear" w:color="auto" w:fill="C6EFCE"/>
            <w:vAlign w:val="center"/>
            <w:hideMark/>
          </w:tcPr>
          <w:p w14:paraId="426F050C" w14:textId="0BE4969A" w:rsidR="00615E2D" w:rsidRDefault="00C83E46">
            <w:pPr>
              <w:pStyle w:val="P68B1DB1-Normal57"/>
              <w:spacing w:line="240" w:lineRule="auto"/>
              <w:jc w:val="center"/>
              <w:rPr>
                <w:noProof/>
              </w:rPr>
            </w:pPr>
            <w:r>
              <w:rPr>
                <w:noProof/>
              </w:rPr>
              <w:t>Broj obnovljenih postojećih predškolskih ustanova</w:t>
            </w:r>
          </w:p>
        </w:tc>
      </w:tr>
      <w:tr w:rsidR="00615E2D" w14:paraId="6D33750E" w14:textId="77777777">
        <w:trPr>
          <w:trHeight w:val="795"/>
        </w:trPr>
        <w:tc>
          <w:tcPr>
            <w:tcW w:w="1276" w:type="dxa"/>
            <w:tcBorders>
              <w:top w:val="single" w:sz="4" w:space="0" w:color="auto"/>
              <w:left w:val="single" w:sz="8" w:space="0" w:color="auto"/>
              <w:bottom w:val="nil"/>
              <w:right w:val="single" w:sz="8" w:space="0" w:color="auto"/>
            </w:tcBorders>
            <w:shd w:val="clear" w:color="auto" w:fill="C6EFCE"/>
            <w:vAlign w:val="center"/>
            <w:hideMark/>
          </w:tcPr>
          <w:p w14:paraId="08599963" w14:textId="57ADF679" w:rsidR="00615E2D" w:rsidRDefault="00C83E46">
            <w:pPr>
              <w:pStyle w:val="P68B1DB1-Normal57"/>
              <w:spacing w:line="240" w:lineRule="auto"/>
              <w:jc w:val="center"/>
              <w:rPr>
                <w:noProof/>
              </w:rPr>
            </w:pPr>
            <w:r>
              <w:rPr>
                <w:noProof/>
              </w:rPr>
              <w:t>190</w:t>
            </w:r>
          </w:p>
        </w:tc>
        <w:tc>
          <w:tcPr>
            <w:tcW w:w="3969" w:type="dxa"/>
            <w:tcBorders>
              <w:top w:val="single" w:sz="4" w:space="0" w:color="auto"/>
              <w:left w:val="nil"/>
              <w:bottom w:val="nil"/>
              <w:right w:val="single" w:sz="8" w:space="0" w:color="000000" w:themeColor="text1"/>
            </w:tcBorders>
            <w:shd w:val="clear" w:color="auto" w:fill="C6EFCE"/>
            <w:vAlign w:val="center"/>
            <w:hideMark/>
          </w:tcPr>
          <w:p w14:paraId="3195DB06" w14:textId="4CE70029" w:rsidR="00615E2D" w:rsidRDefault="00C83E46">
            <w:pPr>
              <w:pStyle w:val="P68B1DB1-Normal57"/>
              <w:spacing w:line="240" w:lineRule="auto"/>
              <w:jc w:val="center"/>
              <w:rPr>
                <w:noProof/>
              </w:rPr>
            </w:pPr>
            <w:r>
              <w:rPr>
                <w:noProof/>
              </w:rPr>
              <w:t xml:space="preserve">C 3.3: Modernizacija službi za zapošljavanje i razvoj tržišta rada – ulaganje 2: Povećanje kapaciteta predškolskih ustanova  </w:t>
            </w:r>
          </w:p>
        </w:tc>
        <w:tc>
          <w:tcPr>
            <w:tcW w:w="1843" w:type="dxa"/>
            <w:tcBorders>
              <w:top w:val="single" w:sz="4" w:space="0" w:color="auto"/>
              <w:left w:val="nil"/>
              <w:bottom w:val="nil"/>
              <w:right w:val="single" w:sz="8" w:space="0" w:color="000000" w:themeColor="text1"/>
            </w:tcBorders>
            <w:shd w:val="clear" w:color="auto" w:fill="C6EFCE"/>
            <w:vAlign w:val="center"/>
            <w:hideMark/>
          </w:tcPr>
          <w:p w14:paraId="4C07933E" w14:textId="3B1ABC17"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nil"/>
              <w:right w:val="single" w:sz="8" w:space="0" w:color="auto"/>
            </w:tcBorders>
            <w:shd w:val="clear" w:color="auto" w:fill="C6EFCE"/>
            <w:vAlign w:val="center"/>
            <w:hideMark/>
          </w:tcPr>
          <w:p w14:paraId="431754EB" w14:textId="224DE760" w:rsidR="00615E2D" w:rsidRDefault="00C83E46">
            <w:pPr>
              <w:pStyle w:val="P68B1DB1-Normal57"/>
              <w:spacing w:line="240" w:lineRule="auto"/>
              <w:jc w:val="center"/>
              <w:rPr>
                <w:noProof/>
              </w:rPr>
            </w:pPr>
            <w:r>
              <w:rPr>
                <w:noProof/>
              </w:rPr>
              <w:t>Broj novih predškolskih ustanova</w:t>
            </w:r>
          </w:p>
        </w:tc>
      </w:tr>
      <w:tr w:rsidR="00615E2D" w14:paraId="1D443AB8" w14:textId="77777777">
        <w:trPr>
          <w:trHeight w:val="795"/>
        </w:trPr>
        <w:tc>
          <w:tcPr>
            <w:tcW w:w="1276" w:type="dxa"/>
            <w:tcBorders>
              <w:top w:val="single" w:sz="4" w:space="0" w:color="auto"/>
              <w:left w:val="single" w:sz="8" w:space="0" w:color="auto"/>
              <w:bottom w:val="nil"/>
              <w:right w:val="single" w:sz="8" w:space="0" w:color="auto"/>
            </w:tcBorders>
            <w:shd w:val="clear" w:color="auto" w:fill="C6EFCE"/>
            <w:vAlign w:val="center"/>
            <w:hideMark/>
          </w:tcPr>
          <w:p w14:paraId="427E2E7D" w14:textId="4BEF2DF1" w:rsidR="00615E2D" w:rsidRDefault="00C83E46">
            <w:pPr>
              <w:pStyle w:val="P68B1DB1-Normal57"/>
              <w:spacing w:line="240" w:lineRule="auto"/>
              <w:jc w:val="center"/>
              <w:rPr>
                <w:noProof/>
              </w:rPr>
            </w:pPr>
            <w:r>
              <w:rPr>
                <w:noProof/>
              </w:rPr>
              <w:t>191</w:t>
            </w:r>
          </w:p>
        </w:tc>
        <w:tc>
          <w:tcPr>
            <w:tcW w:w="3969" w:type="dxa"/>
            <w:tcBorders>
              <w:top w:val="single" w:sz="4" w:space="0" w:color="auto"/>
              <w:left w:val="nil"/>
              <w:bottom w:val="nil"/>
              <w:right w:val="single" w:sz="8" w:space="0" w:color="000000" w:themeColor="text1"/>
            </w:tcBorders>
            <w:shd w:val="clear" w:color="auto" w:fill="C6EFCE"/>
            <w:vAlign w:val="center"/>
            <w:hideMark/>
          </w:tcPr>
          <w:p w14:paraId="10F6FCAF" w14:textId="7F256DD6" w:rsidR="00615E2D" w:rsidRDefault="00C83E46">
            <w:pPr>
              <w:pStyle w:val="P68B1DB1-Normal57"/>
              <w:spacing w:line="240" w:lineRule="auto"/>
              <w:jc w:val="center"/>
              <w:rPr>
                <w:noProof/>
              </w:rPr>
            </w:pPr>
            <w:r>
              <w:rPr>
                <w:noProof/>
              </w:rPr>
              <w:t>C3.3.: Modernizacija službi za zapošljavanje i razvoj tržišta rada – ulaganje 2: Povećanje kapaciteta predškolskih ustanova</w:t>
            </w:r>
          </w:p>
        </w:tc>
        <w:tc>
          <w:tcPr>
            <w:tcW w:w="1843" w:type="dxa"/>
            <w:tcBorders>
              <w:top w:val="single" w:sz="4" w:space="0" w:color="auto"/>
              <w:left w:val="nil"/>
              <w:bottom w:val="nil"/>
              <w:right w:val="single" w:sz="8" w:space="0" w:color="000000" w:themeColor="text1"/>
            </w:tcBorders>
            <w:shd w:val="clear" w:color="auto" w:fill="C6EFCE"/>
            <w:vAlign w:val="center"/>
            <w:hideMark/>
          </w:tcPr>
          <w:p w14:paraId="45AF4729" w14:textId="0D5A29FE"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nil"/>
              <w:right w:val="single" w:sz="8" w:space="0" w:color="auto"/>
            </w:tcBorders>
            <w:shd w:val="clear" w:color="auto" w:fill="C6EFCE"/>
            <w:vAlign w:val="center"/>
            <w:hideMark/>
          </w:tcPr>
          <w:p w14:paraId="0C57B0D1" w14:textId="0C8CE705" w:rsidR="00615E2D" w:rsidRDefault="00C83E46">
            <w:pPr>
              <w:pStyle w:val="P68B1DB1-Normal57"/>
              <w:spacing w:line="240" w:lineRule="auto"/>
              <w:jc w:val="center"/>
              <w:rPr>
                <w:noProof/>
              </w:rPr>
            </w:pPr>
            <w:r>
              <w:rPr>
                <w:noProof/>
              </w:rPr>
              <w:t>Broj novih mjesta u predškolskim ustanovama</w:t>
            </w:r>
          </w:p>
        </w:tc>
      </w:tr>
      <w:tr w:rsidR="00615E2D" w14:paraId="101C2D68" w14:textId="77777777">
        <w:trPr>
          <w:trHeight w:val="795"/>
        </w:trPr>
        <w:tc>
          <w:tcPr>
            <w:tcW w:w="1276" w:type="dxa"/>
            <w:tcBorders>
              <w:top w:val="single" w:sz="4" w:space="0" w:color="auto"/>
              <w:left w:val="single" w:sz="8" w:space="0" w:color="auto"/>
              <w:bottom w:val="nil"/>
              <w:right w:val="single" w:sz="8" w:space="0" w:color="auto"/>
            </w:tcBorders>
            <w:shd w:val="clear" w:color="auto" w:fill="C6EFCE"/>
            <w:vAlign w:val="center"/>
            <w:hideMark/>
          </w:tcPr>
          <w:p w14:paraId="11ED083E" w14:textId="2AD46668" w:rsidR="00615E2D" w:rsidRDefault="00C83E46">
            <w:pPr>
              <w:pStyle w:val="P68B1DB1-Normal57"/>
              <w:spacing w:line="240" w:lineRule="auto"/>
              <w:jc w:val="center"/>
              <w:rPr>
                <w:noProof/>
              </w:rPr>
            </w:pPr>
            <w:r>
              <w:rPr>
                <w:noProof/>
              </w:rPr>
              <w:t>195</w:t>
            </w:r>
          </w:p>
        </w:tc>
        <w:tc>
          <w:tcPr>
            <w:tcW w:w="3969" w:type="dxa"/>
            <w:tcBorders>
              <w:top w:val="single" w:sz="4" w:space="0" w:color="auto"/>
              <w:left w:val="nil"/>
              <w:bottom w:val="nil"/>
              <w:right w:val="single" w:sz="8" w:space="0" w:color="000000" w:themeColor="text1"/>
            </w:tcBorders>
            <w:shd w:val="clear" w:color="auto" w:fill="C6EFCE"/>
            <w:vAlign w:val="center"/>
            <w:hideMark/>
          </w:tcPr>
          <w:p w14:paraId="70399EC8" w14:textId="201E5D0F" w:rsidR="00615E2D" w:rsidRDefault="00C83E46">
            <w:pPr>
              <w:pStyle w:val="P68B1DB1-Normal57"/>
              <w:spacing w:line="240" w:lineRule="auto"/>
              <w:jc w:val="center"/>
              <w:rPr>
                <w:noProof/>
              </w:rPr>
            </w:pPr>
            <w:r>
              <w:rPr>
                <w:noProof/>
              </w:rPr>
              <w:t xml:space="preserve">C 3.3: Modernizacija službi za zapošljavanje i razvoj tržišta rada – ulaganje 3: Razvoj i modernizacija infrastrukture socijalne skrbi  </w:t>
            </w:r>
          </w:p>
        </w:tc>
        <w:tc>
          <w:tcPr>
            <w:tcW w:w="1843" w:type="dxa"/>
            <w:tcBorders>
              <w:top w:val="single" w:sz="4" w:space="0" w:color="auto"/>
              <w:left w:val="nil"/>
              <w:bottom w:val="nil"/>
              <w:right w:val="single" w:sz="8" w:space="0" w:color="000000" w:themeColor="text1"/>
            </w:tcBorders>
            <w:shd w:val="clear" w:color="auto" w:fill="C6EFCE"/>
            <w:vAlign w:val="center"/>
            <w:hideMark/>
          </w:tcPr>
          <w:p w14:paraId="2CAD2C71" w14:textId="670BC86A"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nil"/>
              <w:right w:val="single" w:sz="8" w:space="0" w:color="auto"/>
            </w:tcBorders>
            <w:shd w:val="clear" w:color="auto" w:fill="C6EFCE"/>
            <w:vAlign w:val="center"/>
            <w:hideMark/>
          </w:tcPr>
          <w:p w14:paraId="32AC3C36" w14:textId="7DEB0E25" w:rsidR="00615E2D" w:rsidRDefault="00C83E46">
            <w:pPr>
              <w:pStyle w:val="P68B1DB1-Normal57"/>
              <w:spacing w:line="240" w:lineRule="auto"/>
              <w:jc w:val="center"/>
              <w:rPr>
                <w:noProof/>
              </w:rPr>
            </w:pPr>
            <w:r>
              <w:rPr>
                <w:noProof/>
              </w:rPr>
              <w:t xml:space="preserve">T2: Broj izgrađenih ili obnovljenih objekata za smještaj, izvanbolnički smještaj, informiranje, prevenciju i savjetovanje u zajednici  </w:t>
            </w:r>
          </w:p>
        </w:tc>
      </w:tr>
      <w:tr w:rsidR="00615E2D" w14:paraId="527FE3D0" w14:textId="77777777">
        <w:trPr>
          <w:trHeight w:val="795"/>
        </w:trPr>
        <w:tc>
          <w:tcPr>
            <w:tcW w:w="1276" w:type="dxa"/>
            <w:tcBorders>
              <w:top w:val="single" w:sz="4" w:space="0" w:color="auto"/>
              <w:left w:val="single" w:sz="8" w:space="0" w:color="auto"/>
              <w:bottom w:val="single" w:sz="4" w:space="0" w:color="000000" w:themeColor="text1"/>
              <w:right w:val="single" w:sz="8" w:space="0" w:color="auto"/>
            </w:tcBorders>
            <w:shd w:val="clear" w:color="auto" w:fill="C6EFCE"/>
            <w:vAlign w:val="center"/>
            <w:hideMark/>
          </w:tcPr>
          <w:p w14:paraId="0067015C" w14:textId="662B1144" w:rsidR="00615E2D" w:rsidRDefault="00C83E46">
            <w:pPr>
              <w:pStyle w:val="P68B1DB1-Normal57"/>
              <w:spacing w:line="240" w:lineRule="auto"/>
              <w:jc w:val="center"/>
              <w:rPr>
                <w:noProof/>
              </w:rPr>
            </w:pPr>
            <w:r>
              <w:rPr>
                <w:noProof/>
              </w:rPr>
              <w:t>230</w:t>
            </w:r>
          </w:p>
        </w:tc>
        <w:tc>
          <w:tcPr>
            <w:tcW w:w="3969" w:type="dxa"/>
            <w:tcBorders>
              <w:top w:val="single" w:sz="4" w:space="0" w:color="auto"/>
              <w:left w:val="nil"/>
              <w:bottom w:val="single" w:sz="4" w:space="0" w:color="000000" w:themeColor="text1"/>
              <w:right w:val="single" w:sz="8" w:space="0" w:color="000000" w:themeColor="text1"/>
            </w:tcBorders>
            <w:shd w:val="clear" w:color="auto" w:fill="C6EFCE"/>
            <w:vAlign w:val="center"/>
            <w:hideMark/>
          </w:tcPr>
          <w:p w14:paraId="7FFE7443" w14:textId="1F4FE108" w:rsidR="00615E2D" w:rsidRDefault="00C83E46">
            <w:pPr>
              <w:pStyle w:val="P68B1DB1-Normal57"/>
              <w:spacing w:line="240" w:lineRule="auto"/>
              <w:jc w:val="center"/>
              <w:rPr>
                <w:noProof/>
              </w:rPr>
            </w:pPr>
            <w:r>
              <w:rPr>
                <w:noProof/>
              </w:rPr>
              <w:t xml:space="preserve">C 5.2: Potpora za istraživanje i razvoj u poduzećima i uvođenje inovacija u poslovnu praksu – ulaganje 4: Potpore za istraživanje i razvoj u sinergiji s Okvirnim programom za istraživanje i inovacije  </w:t>
            </w:r>
          </w:p>
        </w:tc>
        <w:tc>
          <w:tcPr>
            <w:tcW w:w="1843" w:type="dxa"/>
            <w:tcBorders>
              <w:top w:val="single" w:sz="4" w:space="0" w:color="auto"/>
              <w:left w:val="nil"/>
              <w:bottom w:val="single" w:sz="4" w:space="0" w:color="000000" w:themeColor="text1"/>
              <w:right w:val="single" w:sz="8" w:space="0" w:color="000000" w:themeColor="text1"/>
            </w:tcBorders>
            <w:shd w:val="clear" w:color="auto" w:fill="C6EFCE"/>
            <w:vAlign w:val="center"/>
            <w:hideMark/>
          </w:tcPr>
          <w:p w14:paraId="4460025F" w14:textId="1C4F9E71" w:rsidR="00615E2D" w:rsidRDefault="00C83E46">
            <w:pPr>
              <w:pStyle w:val="P68B1DB1-Normal57"/>
              <w:spacing w:line="240" w:lineRule="auto"/>
              <w:jc w:val="center"/>
              <w:rPr>
                <w:noProof/>
              </w:rPr>
            </w:pPr>
            <w:r>
              <w:rPr>
                <w:noProof/>
              </w:rPr>
              <w:t>Ciljna</w:t>
            </w:r>
          </w:p>
        </w:tc>
        <w:tc>
          <w:tcPr>
            <w:tcW w:w="3402" w:type="dxa"/>
            <w:tcBorders>
              <w:top w:val="single" w:sz="4" w:space="0" w:color="auto"/>
              <w:left w:val="nil"/>
              <w:bottom w:val="single" w:sz="4" w:space="0" w:color="000000" w:themeColor="text1"/>
              <w:right w:val="single" w:sz="8" w:space="0" w:color="auto"/>
            </w:tcBorders>
            <w:shd w:val="clear" w:color="auto" w:fill="C6EFCE"/>
            <w:vAlign w:val="center"/>
            <w:hideMark/>
          </w:tcPr>
          <w:p w14:paraId="5A368E37" w14:textId="4344B82A" w:rsidR="00615E2D" w:rsidRDefault="00C83E46">
            <w:pPr>
              <w:pStyle w:val="P68B1DB1-Normal57"/>
              <w:spacing w:line="240" w:lineRule="auto"/>
              <w:jc w:val="center"/>
              <w:rPr>
                <w:noProof/>
              </w:rPr>
            </w:pPr>
            <w:r>
              <w:rPr>
                <w:noProof/>
              </w:rPr>
              <w:t>Istraživanje i razvoj u sinergiji s Okvirnim programom za istraživanje i inovacije</w:t>
            </w:r>
          </w:p>
        </w:tc>
      </w:tr>
      <w:tr w:rsidR="00615E2D" w14:paraId="142381EF" w14:textId="77777777">
        <w:trPr>
          <w:trHeight w:val="795"/>
        </w:trPr>
        <w:tc>
          <w:tcPr>
            <w:tcW w:w="1276" w:type="dxa"/>
            <w:tcBorders>
              <w:top w:val="single" w:sz="4" w:space="0" w:color="000000" w:themeColor="text1"/>
              <w:left w:val="single" w:sz="8" w:space="0" w:color="auto"/>
              <w:bottom w:val="nil"/>
              <w:right w:val="single" w:sz="8" w:space="0" w:color="auto"/>
            </w:tcBorders>
            <w:shd w:val="clear" w:color="auto" w:fill="C6EFCE"/>
            <w:vAlign w:val="center"/>
            <w:hideMark/>
          </w:tcPr>
          <w:p w14:paraId="36509647" w14:textId="77777777" w:rsidR="00615E2D" w:rsidRDefault="00C83E46">
            <w:pPr>
              <w:pStyle w:val="P68B1DB1-Normal57"/>
              <w:spacing w:before="0" w:after="0" w:line="240" w:lineRule="auto"/>
              <w:jc w:val="center"/>
              <w:rPr>
                <w:noProof/>
              </w:rPr>
            </w:pPr>
            <w:r>
              <w:rPr>
                <w:noProof/>
              </w:rPr>
              <w:t>238</w:t>
            </w:r>
          </w:p>
        </w:tc>
        <w:tc>
          <w:tcPr>
            <w:tcW w:w="3969" w:type="dxa"/>
            <w:tcBorders>
              <w:top w:val="single" w:sz="4" w:space="0" w:color="000000" w:themeColor="text1"/>
              <w:left w:val="nil"/>
              <w:bottom w:val="nil"/>
              <w:right w:val="single" w:sz="8" w:space="0" w:color="000000" w:themeColor="text1"/>
            </w:tcBorders>
            <w:shd w:val="clear" w:color="auto" w:fill="C6EFCE"/>
            <w:vAlign w:val="center"/>
            <w:hideMark/>
          </w:tcPr>
          <w:p w14:paraId="4CA1E873" w14:textId="77777777" w:rsidR="00615E2D" w:rsidRDefault="00C83E46">
            <w:pPr>
              <w:pStyle w:val="P68B1DB1-Normal57"/>
              <w:spacing w:before="0" w:after="0" w:line="240" w:lineRule="auto"/>
              <w:jc w:val="center"/>
              <w:rPr>
                <w:noProof/>
              </w:rPr>
            </w:pPr>
            <w:r>
              <w:rPr>
                <w:noProof/>
              </w:rPr>
              <w:t>C 6.2: Nacionalni plan za jačanje onkološke prevencije i skrbi – reforma 2: Podupiranje i poboljšanje kvalitete programa preventivnog probira</w:t>
            </w:r>
          </w:p>
        </w:tc>
        <w:tc>
          <w:tcPr>
            <w:tcW w:w="1843" w:type="dxa"/>
            <w:tcBorders>
              <w:top w:val="single" w:sz="4" w:space="0" w:color="000000" w:themeColor="text1"/>
              <w:left w:val="nil"/>
              <w:bottom w:val="nil"/>
              <w:right w:val="single" w:sz="8" w:space="0" w:color="000000" w:themeColor="text1"/>
            </w:tcBorders>
            <w:shd w:val="clear" w:color="auto" w:fill="C6EFCE"/>
            <w:vAlign w:val="center"/>
            <w:hideMark/>
          </w:tcPr>
          <w:p w14:paraId="7A5F68A1"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4" w:space="0" w:color="000000" w:themeColor="text1"/>
              <w:left w:val="nil"/>
              <w:bottom w:val="nil"/>
              <w:right w:val="single" w:sz="8" w:space="0" w:color="auto"/>
            </w:tcBorders>
            <w:shd w:val="clear" w:color="auto" w:fill="C6EFCE"/>
            <w:vAlign w:val="center"/>
            <w:hideMark/>
          </w:tcPr>
          <w:p w14:paraId="393DD50F" w14:textId="77777777" w:rsidR="00615E2D" w:rsidRDefault="00C83E46">
            <w:pPr>
              <w:pStyle w:val="P68B1DB1-Normal57"/>
              <w:spacing w:before="0" w:after="0" w:line="240" w:lineRule="auto"/>
              <w:jc w:val="center"/>
              <w:rPr>
                <w:noProof/>
              </w:rPr>
            </w:pPr>
            <w:r>
              <w:rPr>
                <w:noProof/>
              </w:rPr>
              <w:t>Povećanje pokrivenosti ciljnog stanovništva programom probira raka debelog crijeva</w:t>
            </w:r>
          </w:p>
        </w:tc>
      </w:tr>
      <w:tr w:rsidR="00615E2D" w14:paraId="5112EBB6" w14:textId="77777777">
        <w:trPr>
          <w:trHeight w:val="795"/>
        </w:trPr>
        <w:tc>
          <w:tcPr>
            <w:tcW w:w="1276" w:type="dxa"/>
            <w:tcBorders>
              <w:top w:val="single" w:sz="8" w:space="0" w:color="auto"/>
              <w:left w:val="single" w:sz="8" w:space="0" w:color="auto"/>
              <w:bottom w:val="single" w:sz="8" w:space="0" w:color="auto"/>
              <w:right w:val="single" w:sz="8" w:space="0" w:color="auto"/>
            </w:tcBorders>
            <w:shd w:val="clear" w:color="auto" w:fill="C6EFCE"/>
            <w:vAlign w:val="center"/>
            <w:hideMark/>
          </w:tcPr>
          <w:p w14:paraId="313C6D5D" w14:textId="77777777" w:rsidR="00615E2D" w:rsidRDefault="00C83E46">
            <w:pPr>
              <w:pStyle w:val="P68B1DB1-Normal57"/>
              <w:spacing w:before="0" w:after="0" w:line="240" w:lineRule="auto"/>
              <w:jc w:val="center"/>
              <w:rPr>
                <w:noProof/>
              </w:rPr>
            </w:pPr>
            <w:r>
              <w:rPr>
                <w:noProof/>
              </w:rPr>
              <w:t>239</w:t>
            </w:r>
          </w:p>
        </w:tc>
        <w:tc>
          <w:tcPr>
            <w:tcW w:w="3969" w:type="dxa"/>
            <w:tcBorders>
              <w:top w:val="single" w:sz="8" w:space="0" w:color="auto"/>
              <w:left w:val="nil"/>
              <w:bottom w:val="single" w:sz="8" w:space="0" w:color="auto"/>
              <w:right w:val="single" w:sz="8" w:space="0" w:color="000000" w:themeColor="text1"/>
            </w:tcBorders>
            <w:shd w:val="clear" w:color="auto" w:fill="C6EFCE"/>
            <w:vAlign w:val="center"/>
            <w:hideMark/>
          </w:tcPr>
          <w:p w14:paraId="763C63D2" w14:textId="77777777" w:rsidR="00615E2D" w:rsidRDefault="00C83E46">
            <w:pPr>
              <w:pStyle w:val="P68B1DB1-Normal57"/>
              <w:spacing w:before="0" w:after="0" w:line="240" w:lineRule="auto"/>
              <w:jc w:val="center"/>
              <w:rPr>
                <w:noProof/>
              </w:rPr>
            </w:pPr>
            <w:r>
              <w:rPr>
                <w:noProof/>
              </w:rPr>
              <w:t>C 6.2: Nacionalni plan za jačanje onkološke prevencije i skrbi – reforma 2: Podupiranje i poboljšanje kvalitete programa preventivnog probira</w:t>
            </w:r>
          </w:p>
        </w:tc>
        <w:tc>
          <w:tcPr>
            <w:tcW w:w="1843" w:type="dxa"/>
            <w:tcBorders>
              <w:top w:val="single" w:sz="8" w:space="0" w:color="auto"/>
              <w:left w:val="nil"/>
              <w:bottom w:val="single" w:sz="8" w:space="0" w:color="auto"/>
              <w:right w:val="single" w:sz="8" w:space="0" w:color="000000" w:themeColor="text1"/>
            </w:tcBorders>
            <w:shd w:val="clear" w:color="auto" w:fill="C6EFCE"/>
            <w:vAlign w:val="center"/>
            <w:hideMark/>
          </w:tcPr>
          <w:p w14:paraId="05CE63BB"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8" w:space="0" w:color="auto"/>
              <w:right w:val="single" w:sz="8" w:space="0" w:color="auto"/>
            </w:tcBorders>
            <w:shd w:val="clear" w:color="auto" w:fill="C6EFCE"/>
            <w:vAlign w:val="center"/>
            <w:hideMark/>
          </w:tcPr>
          <w:p w14:paraId="59D4BAE6" w14:textId="77777777" w:rsidR="00615E2D" w:rsidRDefault="00C83E46">
            <w:pPr>
              <w:pStyle w:val="P68B1DB1-Normal57"/>
              <w:spacing w:before="0" w:after="0" w:line="240" w:lineRule="auto"/>
              <w:jc w:val="center"/>
              <w:rPr>
                <w:noProof/>
              </w:rPr>
            </w:pPr>
            <w:r>
              <w:rPr>
                <w:noProof/>
              </w:rPr>
              <w:t>Broj sudionika u novom programu ranog otkrivanja raka pluća</w:t>
            </w:r>
          </w:p>
        </w:tc>
      </w:tr>
      <w:tr w:rsidR="00615E2D" w14:paraId="62D3A81F" w14:textId="77777777">
        <w:trPr>
          <w:trHeight w:val="600"/>
        </w:trPr>
        <w:tc>
          <w:tcPr>
            <w:tcW w:w="1276" w:type="dxa"/>
            <w:tcBorders>
              <w:top w:val="nil"/>
              <w:left w:val="single" w:sz="8" w:space="0" w:color="auto"/>
              <w:bottom w:val="nil"/>
              <w:right w:val="single" w:sz="8" w:space="0" w:color="auto"/>
            </w:tcBorders>
            <w:shd w:val="clear" w:color="auto" w:fill="C6EFCE"/>
            <w:vAlign w:val="center"/>
            <w:hideMark/>
          </w:tcPr>
          <w:p w14:paraId="5DE97D02" w14:textId="77777777" w:rsidR="00615E2D" w:rsidRDefault="00C83E46">
            <w:pPr>
              <w:pStyle w:val="P68B1DB1-Normal57"/>
              <w:spacing w:before="0" w:after="0" w:line="240" w:lineRule="auto"/>
              <w:jc w:val="center"/>
              <w:rPr>
                <w:noProof/>
              </w:rPr>
            </w:pPr>
            <w:r>
              <w:rPr>
                <w:noProof/>
              </w:rPr>
              <w:t>241</w:t>
            </w:r>
          </w:p>
        </w:tc>
        <w:tc>
          <w:tcPr>
            <w:tcW w:w="3969" w:type="dxa"/>
            <w:tcBorders>
              <w:top w:val="nil"/>
              <w:left w:val="nil"/>
              <w:bottom w:val="single" w:sz="8" w:space="0" w:color="000000" w:themeColor="text1"/>
              <w:right w:val="single" w:sz="8" w:space="0" w:color="000000" w:themeColor="text1"/>
            </w:tcBorders>
            <w:shd w:val="clear" w:color="auto" w:fill="C6EFCE"/>
            <w:vAlign w:val="center"/>
            <w:hideMark/>
          </w:tcPr>
          <w:p w14:paraId="616D9209" w14:textId="77777777" w:rsidR="00615E2D" w:rsidRDefault="00C83E46">
            <w:pPr>
              <w:pStyle w:val="P68B1DB1-Normal57"/>
              <w:spacing w:before="0" w:after="0" w:line="240" w:lineRule="auto"/>
              <w:jc w:val="center"/>
              <w:rPr>
                <w:noProof/>
              </w:rPr>
            </w:pPr>
            <w:r>
              <w:rPr>
                <w:noProof/>
              </w:rPr>
              <w:t>C 6.2: Nacionalni plan za jačanje onkološke prevencije i skrbi – ulaganje 1: Izgradnja i osnivanje češkog onkološkog instituta</w:t>
            </w:r>
          </w:p>
        </w:tc>
        <w:tc>
          <w:tcPr>
            <w:tcW w:w="1843" w:type="dxa"/>
            <w:tcBorders>
              <w:top w:val="nil"/>
              <w:left w:val="nil"/>
              <w:bottom w:val="single" w:sz="8" w:space="0" w:color="000000" w:themeColor="text1"/>
              <w:right w:val="single" w:sz="8" w:space="0" w:color="000000" w:themeColor="text1"/>
            </w:tcBorders>
            <w:shd w:val="clear" w:color="auto" w:fill="C6EFCE"/>
            <w:vAlign w:val="center"/>
            <w:hideMark/>
          </w:tcPr>
          <w:p w14:paraId="43885B14" w14:textId="77777777" w:rsidR="00615E2D" w:rsidRDefault="00C83E46">
            <w:pPr>
              <w:pStyle w:val="P68B1DB1-Normal57"/>
              <w:spacing w:before="0" w:after="0" w:line="240" w:lineRule="auto"/>
              <w:jc w:val="center"/>
              <w:rPr>
                <w:noProof/>
              </w:rPr>
            </w:pPr>
            <w:r>
              <w:rPr>
                <w:noProof/>
              </w:rPr>
              <w:t>Prekretnica</w:t>
            </w:r>
          </w:p>
        </w:tc>
        <w:tc>
          <w:tcPr>
            <w:tcW w:w="3402" w:type="dxa"/>
            <w:tcBorders>
              <w:top w:val="nil"/>
              <w:left w:val="nil"/>
              <w:bottom w:val="nil"/>
              <w:right w:val="single" w:sz="8" w:space="0" w:color="auto"/>
            </w:tcBorders>
            <w:shd w:val="clear" w:color="auto" w:fill="C6EFCE"/>
            <w:vAlign w:val="center"/>
            <w:hideMark/>
          </w:tcPr>
          <w:p w14:paraId="611AF91D" w14:textId="77777777" w:rsidR="00615E2D" w:rsidRDefault="00C83E46">
            <w:pPr>
              <w:pStyle w:val="P68B1DB1-Normal57"/>
              <w:spacing w:before="0" w:after="0" w:line="240" w:lineRule="auto"/>
              <w:jc w:val="center"/>
              <w:rPr>
                <w:noProof/>
              </w:rPr>
            </w:pPr>
            <w:r>
              <w:rPr>
                <w:noProof/>
              </w:rPr>
              <w:t xml:space="preserve">Početak rada češkog instituta za onkologiju </w:t>
            </w:r>
          </w:p>
        </w:tc>
      </w:tr>
      <w:tr w:rsidR="00615E2D" w14:paraId="2FBD6FD6" w14:textId="77777777">
        <w:trPr>
          <w:trHeight w:val="795"/>
        </w:trPr>
        <w:tc>
          <w:tcPr>
            <w:tcW w:w="1276" w:type="dxa"/>
            <w:tcBorders>
              <w:top w:val="single" w:sz="8" w:space="0" w:color="auto"/>
              <w:left w:val="single" w:sz="8" w:space="0" w:color="auto"/>
              <w:bottom w:val="single" w:sz="4" w:space="0" w:color="auto"/>
              <w:right w:val="single" w:sz="8" w:space="0" w:color="auto"/>
            </w:tcBorders>
            <w:shd w:val="clear" w:color="auto" w:fill="C6EFCE"/>
            <w:vAlign w:val="center"/>
            <w:hideMark/>
          </w:tcPr>
          <w:p w14:paraId="6CE59E40" w14:textId="77777777" w:rsidR="00615E2D" w:rsidRDefault="00C83E46">
            <w:pPr>
              <w:pStyle w:val="P68B1DB1-Normal57"/>
              <w:spacing w:before="0" w:after="0" w:line="240" w:lineRule="auto"/>
              <w:jc w:val="center"/>
              <w:rPr>
                <w:noProof/>
              </w:rPr>
            </w:pPr>
            <w:r>
              <w:rPr>
                <w:noProof/>
              </w:rPr>
              <w:t>242</w:t>
            </w:r>
          </w:p>
        </w:tc>
        <w:tc>
          <w:tcPr>
            <w:tcW w:w="3969" w:type="dxa"/>
            <w:tcBorders>
              <w:top w:val="nil"/>
              <w:left w:val="nil"/>
              <w:bottom w:val="single" w:sz="4" w:space="0" w:color="auto"/>
              <w:right w:val="single" w:sz="8" w:space="0" w:color="000000" w:themeColor="text1"/>
            </w:tcBorders>
            <w:shd w:val="clear" w:color="auto" w:fill="C6EFCE"/>
            <w:vAlign w:val="center"/>
            <w:hideMark/>
          </w:tcPr>
          <w:p w14:paraId="3FF4FA28" w14:textId="77777777" w:rsidR="00615E2D" w:rsidRDefault="00C83E46">
            <w:pPr>
              <w:pStyle w:val="P68B1DB1-Normal57"/>
              <w:spacing w:before="0" w:after="0" w:line="240" w:lineRule="auto"/>
              <w:jc w:val="center"/>
              <w:rPr>
                <w:noProof/>
              </w:rPr>
            </w:pPr>
            <w:r>
              <w:rPr>
                <w:noProof/>
              </w:rPr>
              <w:t>C 6.2: Nacionalni plan za jačanje onkološke prevencije i skrbi – ulaganje 2: Razvoj visokospecijalizirane onkološke i hematoonološke skrbi</w:t>
            </w:r>
          </w:p>
        </w:tc>
        <w:tc>
          <w:tcPr>
            <w:tcW w:w="1843" w:type="dxa"/>
            <w:tcBorders>
              <w:top w:val="nil"/>
              <w:left w:val="nil"/>
              <w:bottom w:val="single" w:sz="4" w:space="0" w:color="auto"/>
              <w:right w:val="single" w:sz="8" w:space="0" w:color="000000" w:themeColor="text1"/>
            </w:tcBorders>
            <w:shd w:val="clear" w:color="auto" w:fill="C6EFCE"/>
            <w:vAlign w:val="center"/>
            <w:hideMark/>
          </w:tcPr>
          <w:p w14:paraId="342DA294" w14:textId="77777777" w:rsidR="00615E2D" w:rsidRDefault="00C83E46">
            <w:pPr>
              <w:pStyle w:val="P68B1DB1-Normal57"/>
              <w:spacing w:before="0" w:after="0" w:line="240" w:lineRule="auto"/>
              <w:jc w:val="center"/>
              <w:rPr>
                <w:noProof/>
              </w:rPr>
            </w:pPr>
            <w:r>
              <w:rPr>
                <w:noProof/>
              </w:rPr>
              <w:t>Ciljna</w:t>
            </w:r>
          </w:p>
        </w:tc>
        <w:tc>
          <w:tcPr>
            <w:tcW w:w="3402" w:type="dxa"/>
            <w:tcBorders>
              <w:top w:val="single" w:sz="8" w:space="0" w:color="auto"/>
              <w:left w:val="nil"/>
              <w:bottom w:val="single" w:sz="4" w:space="0" w:color="auto"/>
              <w:right w:val="single" w:sz="8" w:space="0" w:color="auto"/>
            </w:tcBorders>
            <w:shd w:val="clear" w:color="auto" w:fill="C6EFCE"/>
            <w:vAlign w:val="center"/>
            <w:hideMark/>
          </w:tcPr>
          <w:p w14:paraId="55C2DDA2" w14:textId="77777777" w:rsidR="00615E2D" w:rsidRDefault="00C83E46">
            <w:pPr>
              <w:pStyle w:val="P68B1DB1-Normal57"/>
              <w:spacing w:before="0" w:after="0" w:line="240" w:lineRule="auto"/>
              <w:jc w:val="center"/>
              <w:rPr>
                <w:noProof/>
              </w:rPr>
            </w:pPr>
            <w:r>
              <w:rPr>
                <w:noProof/>
              </w:rPr>
              <w:t xml:space="preserve">Broj objekata koji primaju potporu u području onkološke i hematoonološke skrbi </w:t>
            </w:r>
          </w:p>
        </w:tc>
      </w:tr>
      <w:tr w:rsidR="00615E2D" w14:paraId="1C863A1B"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FFC4EE5" w14:textId="226E4BC6" w:rsidR="00615E2D" w:rsidRDefault="00C83E46">
            <w:pPr>
              <w:pStyle w:val="P68B1DB1-Normal57"/>
              <w:spacing w:line="240" w:lineRule="auto"/>
              <w:jc w:val="center"/>
              <w:rPr>
                <w:noProof/>
              </w:rPr>
            </w:pPr>
            <w:r>
              <w:rPr>
                <w:noProof/>
              </w:rPr>
              <w:t>257</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00FEEFD5" w14:textId="17E51994" w:rsidR="00615E2D" w:rsidRDefault="00C83E46">
            <w:pPr>
              <w:pStyle w:val="P68B1DB1-Normal57"/>
              <w:spacing w:line="240" w:lineRule="auto"/>
              <w:jc w:val="center"/>
              <w:rPr>
                <w:noProof/>
              </w:rPr>
            </w:pPr>
            <w:r>
              <w:rPr>
                <w:noProof/>
              </w:rPr>
              <w:t xml:space="preserve">C 1.7: Digitalna transformacija javne uprave – ulaganje 1: Ujednačavanje domena i stvaranje platforme za učenje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4883C805" w14:textId="23F2D9D0"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758666E9" w14:textId="3BBB89FC" w:rsidR="00615E2D" w:rsidRDefault="00C83E46">
            <w:pPr>
              <w:pStyle w:val="P68B1DB1-Normal57"/>
              <w:spacing w:line="240" w:lineRule="auto"/>
              <w:jc w:val="center"/>
              <w:rPr>
                <w:noProof/>
              </w:rPr>
            </w:pPr>
            <w:r>
              <w:rPr>
                <w:noProof/>
              </w:rPr>
              <w:t xml:space="preserve">Ažuriranje projektnog sustava  </w:t>
            </w:r>
          </w:p>
        </w:tc>
      </w:tr>
      <w:tr w:rsidR="00615E2D" w14:paraId="550446DC"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B4CCACD" w14:textId="07A5EABC" w:rsidR="00615E2D" w:rsidRDefault="00C83E46">
            <w:pPr>
              <w:pStyle w:val="P68B1DB1-Normal57"/>
              <w:spacing w:line="240" w:lineRule="auto"/>
              <w:jc w:val="center"/>
              <w:rPr>
                <w:noProof/>
              </w:rPr>
            </w:pPr>
            <w:r>
              <w:rPr>
                <w:noProof/>
              </w:rPr>
              <w:t>258</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75A38D12" w14:textId="3B849650" w:rsidR="00615E2D" w:rsidRDefault="00C83E46">
            <w:pPr>
              <w:pStyle w:val="P68B1DB1-Normal57"/>
              <w:spacing w:line="240" w:lineRule="auto"/>
              <w:jc w:val="center"/>
              <w:rPr>
                <w:noProof/>
              </w:rPr>
            </w:pPr>
            <w:r>
              <w:rPr>
                <w:noProof/>
              </w:rPr>
              <w:t xml:space="preserve">C 1.7: Digitalna transformacija javne uprave – ulaganje 2: Poboljšanje sustava upravljanja digitaliziranim uslugama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4D578CC3" w14:textId="077AB6BD"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733F00DD" w14:textId="6F1133AC" w:rsidR="00615E2D" w:rsidRDefault="00C83E46">
            <w:pPr>
              <w:pStyle w:val="P68B1DB1-Normal57"/>
              <w:spacing w:line="240" w:lineRule="auto"/>
              <w:jc w:val="center"/>
              <w:rPr>
                <w:noProof/>
              </w:rPr>
            </w:pPr>
            <w:r>
              <w:rPr>
                <w:noProof/>
              </w:rPr>
              <w:t>Ažuriranje upravljanja IKT-om u javnoj upravi</w:t>
            </w:r>
          </w:p>
        </w:tc>
      </w:tr>
      <w:tr w:rsidR="00615E2D" w14:paraId="0906CBB3"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0341CC9B" w14:textId="7BB7828E" w:rsidR="00615E2D" w:rsidRDefault="00C83E46">
            <w:pPr>
              <w:pStyle w:val="P68B1DB1-Normal57"/>
              <w:spacing w:line="240" w:lineRule="auto"/>
              <w:jc w:val="center"/>
              <w:rPr>
                <w:noProof/>
              </w:rPr>
            </w:pPr>
            <w:r>
              <w:rPr>
                <w:noProof/>
              </w:rPr>
              <w:t>259</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5131931D" w14:textId="1B4E124D" w:rsidR="00615E2D" w:rsidRDefault="00C83E46">
            <w:pPr>
              <w:pStyle w:val="P68B1DB1-Normal57"/>
              <w:spacing w:line="240" w:lineRule="auto"/>
              <w:jc w:val="center"/>
              <w:rPr>
                <w:noProof/>
              </w:rPr>
            </w:pPr>
            <w:r>
              <w:rPr>
                <w:noProof/>
              </w:rPr>
              <w:t xml:space="preserve">C 1.7: Digitalna transformacija javne uprave – ulaganje 3: Uspostava kontaktnog centra javne uprave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1C95EC34" w14:textId="75130906"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6E679B5E" w14:textId="3E858115" w:rsidR="00615E2D" w:rsidRDefault="00C83E46">
            <w:pPr>
              <w:pStyle w:val="P68B1DB1-Normal57"/>
              <w:spacing w:line="240" w:lineRule="auto"/>
              <w:jc w:val="center"/>
              <w:rPr>
                <w:noProof/>
              </w:rPr>
            </w:pPr>
            <w:r>
              <w:rPr>
                <w:noProof/>
              </w:rPr>
              <w:t xml:space="preserve">Operativni kontaktni centar javne uprave  </w:t>
            </w:r>
          </w:p>
        </w:tc>
      </w:tr>
      <w:tr w:rsidR="00615E2D" w14:paraId="7680204C"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EEF84CE" w14:textId="4A0E1163" w:rsidR="00615E2D" w:rsidRDefault="00C83E46">
            <w:pPr>
              <w:pStyle w:val="P68B1DB1-Normal57"/>
              <w:spacing w:line="240" w:lineRule="auto"/>
              <w:jc w:val="center"/>
              <w:rPr>
                <w:noProof/>
              </w:rPr>
            </w:pPr>
            <w:r>
              <w:rPr>
                <w:noProof/>
              </w:rPr>
              <w:t>260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26BD7698" w14:textId="6C543F01" w:rsidR="00615E2D" w:rsidRDefault="00C83E46">
            <w:pPr>
              <w:pStyle w:val="P68B1DB1-Normal57"/>
              <w:spacing w:line="240" w:lineRule="auto"/>
              <w:jc w:val="center"/>
              <w:rPr>
                <w:noProof/>
              </w:rPr>
            </w:pPr>
            <w:r>
              <w:rPr>
                <w:noProof/>
              </w:rPr>
              <w:t>C 1.7: Digitalna transformacija javne uprave – ulaganje 4: Stvaranje središnje podatkovne infrastrukture</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11F9A545" w14:textId="152D089E"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0C0F59AE" w14:textId="14DF053C" w:rsidR="00615E2D" w:rsidRDefault="00C83E46">
            <w:pPr>
              <w:pStyle w:val="P68B1DB1-Normal57"/>
              <w:spacing w:line="240" w:lineRule="auto"/>
              <w:jc w:val="center"/>
              <w:rPr>
                <w:noProof/>
              </w:rPr>
            </w:pPr>
            <w:r>
              <w:rPr>
                <w:noProof/>
              </w:rPr>
              <w:t xml:space="preserve">Središnje skladište podataka u funkciji </w:t>
            </w:r>
          </w:p>
        </w:tc>
      </w:tr>
      <w:tr w:rsidR="00615E2D" w14:paraId="08FAA5C0"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78517BD" w14:textId="37214577" w:rsidR="00615E2D" w:rsidRDefault="00C83E46">
            <w:pPr>
              <w:pStyle w:val="P68B1DB1-Normal57"/>
              <w:spacing w:line="240" w:lineRule="auto"/>
              <w:jc w:val="center"/>
              <w:rPr>
                <w:noProof/>
              </w:rPr>
            </w:pPr>
            <w:r>
              <w:rPr>
                <w:noProof/>
              </w:rPr>
              <w:t>262</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67FB873D" w14:textId="63E00AD1" w:rsidR="00615E2D" w:rsidRDefault="00C83E46">
            <w:pPr>
              <w:pStyle w:val="P68B1DB1-Normal57"/>
              <w:spacing w:line="240" w:lineRule="auto"/>
              <w:jc w:val="center"/>
              <w:rPr>
                <w:noProof/>
              </w:rPr>
            </w:pPr>
            <w:r>
              <w:rPr>
                <w:noProof/>
              </w:rPr>
              <w:t xml:space="preserve">C 2.9: Promicanje biološke raznolikosti i borbe protiv suše – reforma 2.: Uspostava krajobrazne politike i planiranja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044F131A" w14:textId="56A75B10"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08D61952" w14:textId="4CD671AF" w:rsidR="00615E2D" w:rsidRDefault="00C83E46">
            <w:pPr>
              <w:pStyle w:val="P68B1DB1-Normal57"/>
              <w:spacing w:line="240" w:lineRule="auto"/>
              <w:jc w:val="center"/>
              <w:rPr>
                <w:noProof/>
              </w:rPr>
            </w:pPr>
            <w:r>
              <w:rPr>
                <w:noProof/>
              </w:rPr>
              <w:t xml:space="preserve">Donošenje integrirane krajobrazne politike i planiranja  </w:t>
            </w:r>
          </w:p>
        </w:tc>
      </w:tr>
      <w:tr w:rsidR="00615E2D" w14:paraId="48019D68"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20B60AB" w14:textId="2B8E1A24" w:rsidR="00615E2D" w:rsidRDefault="00C83E46">
            <w:pPr>
              <w:pStyle w:val="P68B1DB1-Normal57"/>
              <w:spacing w:line="240" w:lineRule="auto"/>
              <w:jc w:val="center"/>
              <w:rPr>
                <w:noProof/>
              </w:rPr>
            </w:pPr>
            <w:r>
              <w:rPr>
                <w:noProof/>
              </w:rPr>
              <w:t>279</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2CAE948F" w14:textId="4915E43A" w:rsidR="00615E2D" w:rsidRDefault="00C83E46">
            <w:pPr>
              <w:pStyle w:val="P68B1DB1-Normal57"/>
              <w:spacing w:line="240" w:lineRule="auto"/>
              <w:jc w:val="center"/>
              <w:rPr>
                <w:noProof/>
              </w:rPr>
            </w:pPr>
            <w:r>
              <w:rPr>
                <w:noProof/>
              </w:rPr>
              <w:t xml:space="preserve">C 3.3: Modernizacija službi za zapošljavanje i razvoj tržišta rada – ulaganje 4: Razvoj i modernizacija infrastrukture za socijalnu skrb o djeci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487F909F" w14:textId="13734AD1"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39F80ED7" w14:textId="7056B011" w:rsidR="00615E2D" w:rsidRDefault="00C83E46">
            <w:pPr>
              <w:pStyle w:val="P68B1DB1-Normal57"/>
              <w:spacing w:line="240" w:lineRule="auto"/>
              <w:jc w:val="center"/>
              <w:rPr>
                <w:noProof/>
              </w:rPr>
            </w:pPr>
            <w:r>
              <w:rPr>
                <w:noProof/>
              </w:rPr>
              <w:t>Kapacitet ustanova za ugroženu djecu</w:t>
            </w:r>
          </w:p>
        </w:tc>
      </w:tr>
      <w:tr w:rsidR="00615E2D" w14:paraId="72202A45"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E8DA7E4" w14:textId="2C46A199" w:rsidR="00615E2D" w:rsidRDefault="00C83E46">
            <w:pPr>
              <w:pStyle w:val="P68B1DB1-Normal57"/>
              <w:spacing w:line="240" w:lineRule="auto"/>
              <w:jc w:val="center"/>
              <w:rPr>
                <w:noProof/>
              </w:rPr>
            </w:pPr>
            <w:r>
              <w:rPr>
                <w:noProof/>
              </w:rPr>
              <w:t>283</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645F6E33" w14:textId="40E45771" w:rsidR="00615E2D" w:rsidRDefault="00C83E46">
            <w:pPr>
              <w:spacing w:line="240" w:lineRule="auto"/>
              <w:jc w:val="center"/>
              <w:rPr>
                <w:rFonts w:eastAsia="Times New Roman"/>
                <w:noProof/>
                <w:color w:val="006100"/>
                <w:sz w:val="20"/>
              </w:rPr>
            </w:pPr>
            <w:r>
              <w:rPr>
                <w:rFonts w:eastAsia="Times New Roman"/>
                <w:noProof/>
                <w:color w:val="006100"/>
                <w:sz w:val="20"/>
              </w:rPr>
              <w:t xml:space="preserve">C 4.1.: Sustavna potpora za javna ulaganja – reforma 3.:  </w:t>
            </w:r>
            <w:r>
              <w:rPr>
                <w:noProof/>
              </w:rPr>
              <w:br/>
            </w:r>
            <w:r>
              <w:rPr>
                <w:rFonts w:eastAsia="Times New Roman"/>
                <w:noProof/>
                <w:color w:val="006100"/>
                <w:sz w:val="20"/>
              </w:rPr>
              <w:t xml:space="preserve">Financijska potpora za pripremu projekata u skladu s ciljevima EU-a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2E3B0A3F" w14:textId="60CD16E2"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76068E92" w14:textId="4D89411C" w:rsidR="00615E2D" w:rsidRDefault="00C83E46">
            <w:pPr>
              <w:pStyle w:val="P68B1DB1-Normal57"/>
              <w:spacing w:line="240" w:lineRule="auto"/>
              <w:jc w:val="center"/>
              <w:rPr>
                <w:noProof/>
              </w:rPr>
            </w:pPr>
            <w:r>
              <w:rPr>
                <w:noProof/>
              </w:rPr>
              <w:t xml:space="preserve">Broj projekata pripremljenih za provedbu  </w:t>
            </w:r>
          </w:p>
        </w:tc>
      </w:tr>
      <w:tr w:rsidR="00615E2D" w14:paraId="014C6FF5"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5330C9B3" w14:textId="091D7F7C" w:rsidR="00615E2D" w:rsidRDefault="00C83E46">
            <w:pPr>
              <w:pStyle w:val="P68B1DB1-Normal57"/>
              <w:spacing w:line="240" w:lineRule="auto"/>
              <w:jc w:val="center"/>
              <w:rPr>
                <w:noProof/>
              </w:rPr>
            </w:pPr>
            <w:r>
              <w:rPr>
                <w:noProof/>
              </w:rPr>
              <w:t>289</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23A9ADA2" w14:textId="134BF391" w:rsidR="00615E2D" w:rsidRDefault="00C83E46">
            <w:pPr>
              <w:pStyle w:val="P68B1DB1-Normal57"/>
              <w:spacing w:line="240" w:lineRule="auto"/>
              <w:jc w:val="center"/>
              <w:rPr>
                <w:noProof/>
              </w:rPr>
            </w:pPr>
            <w:r>
              <w:rPr>
                <w:noProof/>
              </w:rPr>
              <w:t>C 4.4.: Poboljšanje učinkovitosti javne uprave – reforma 1.: Povećanje učinkovitosti, usmjerenosti na klijente i primjene načela donošenja odluka na temelju dokaza u javnoj upravi</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2E21E34E" w14:textId="0F4A8230"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37C91B37" w14:textId="2A15D996" w:rsidR="00615E2D" w:rsidRDefault="00C83E46">
            <w:pPr>
              <w:pStyle w:val="P68B1DB1-Normal57"/>
              <w:spacing w:line="240" w:lineRule="auto"/>
              <w:jc w:val="center"/>
              <w:rPr>
                <w:noProof/>
              </w:rPr>
            </w:pPr>
            <w:r>
              <w:rPr>
                <w:noProof/>
              </w:rPr>
              <w:t xml:space="preserve">IT sustav i akcijski plan za bolje ljudske resurse u javnoj upravi  </w:t>
            </w:r>
          </w:p>
        </w:tc>
      </w:tr>
      <w:tr w:rsidR="00615E2D" w14:paraId="17A908DB"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F9165FD" w14:textId="64E4FE6F" w:rsidR="00615E2D" w:rsidRDefault="00C83E46">
            <w:pPr>
              <w:pStyle w:val="P68B1DB1-Normal57"/>
              <w:spacing w:line="240" w:lineRule="auto"/>
              <w:jc w:val="center"/>
              <w:rPr>
                <w:noProof/>
              </w:rPr>
            </w:pPr>
            <w:r>
              <w:rPr>
                <w:noProof/>
              </w:rPr>
              <w:t>290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2A4DC60A" w14:textId="2BE525FB" w:rsidR="00615E2D" w:rsidRDefault="00C83E46">
            <w:pPr>
              <w:pStyle w:val="P68B1DB1-Normal57"/>
              <w:spacing w:line="240" w:lineRule="auto"/>
              <w:jc w:val="center"/>
              <w:rPr>
                <w:noProof/>
              </w:rPr>
            </w:pPr>
            <w:r>
              <w:rPr>
                <w:noProof/>
              </w:rPr>
              <w:t>C 5.2: Potpora za istraživanje i razvoj u poduzećima i uvođenje inovacija u poslovnu praksu – ulaganje 2: Potpora istraživačkoj i razvojnoj suradnji (u skladu sa strategijom pametne specijalizacije)</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0AABA012" w14:textId="30DFDF05"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2BE2FD60" w14:textId="24535A5D" w:rsidR="00615E2D" w:rsidRDefault="00C83E46">
            <w:pPr>
              <w:pStyle w:val="P68B1DB1-Normal57"/>
              <w:spacing w:line="240" w:lineRule="auto"/>
              <w:jc w:val="center"/>
              <w:rPr>
                <w:noProof/>
              </w:rPr>
            </w:pPr>
            <w:r>
              <w:rPr>
                <w:noProof/>
              </w:rPr>
              <w:t xml:space="preserve">Suradnja MSP-ova s javnom istraživačkom organizacijom u okviru nacionalnih centara stručnosti  </w:t>
            </w:r>
          </w:p>
        </w:tc>
      </w:tr>
      <w:tr w:rsidR="00615E2D" w14:paraId="4B8A9215"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5525774" w14:textId="46F30389" w:rsidR="00615E2D" w:rsidRDefault="00C83E46">
            <w:pPr>
              <w:pStyle w:val="P68B1DB1-Normal57"/>
              <w:spacing w:line="240" w:lineRule="auto"/>
              <w:jc w:val="center"/>
              <w:rPr>
                <w:noProof/>
              </w:rPr>
            </w:pPr>
            <w:r>
              <w:rPr>
                <w:noProof/>
              </w:rPr>
              <w:t>291</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2F9FE0B8" w14:textId="635146A0" w:rsidR="00615E2D" w:rsidRDefault="00C83E46">
            <w:pPr>
              <w:pStyle w:val="P68B1DB1-Normal57"/>
              <w:spacing w:line="240" w:lineRule="auto"/>
              <w:jc w:val="center"/>
              <w:rPr>
                <w:noProof/>
              </w:rPr>
            </w:pPr>
            <w:r>
              <w:rPr>
                <w:noProof/>
              </w:rPr>
              <w:t xml:space="preserve">C 5.2: Potpora za istraživanje i razvoj u poduzećima i uvođenje inovacija u poslovnu praksu – ulaganje 3: Potpore za istraživanje i razvoj u području zaštite okoliša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4C49B1F5" w14:textId="6923F0D9"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631AE824" w14:textId="2D96B1BD" w:rsidR="00615E2D" w:rsidRDefault="00C83E46">
            <w:pPr>
              <w:pStyle w:val="P68B1DB1-Normal57"/>
              <w:spacing w:line="240" w:lineRule="auto"/>
              <w:jc w:val="center"/>
              <w:rPr>
                <w:noProof/>
              </w:rPr>
            </w:pPr>
            <w:r>
              <w:rPr>
                <w:noProof/>
              </w:rPr>
              <w:t xml:space="preserve">Istraživanje i razvoj u području okoliša  </w:t>
            </w:r>
          </w:p>
        </w:tc>
      </w:tr>
      <w:tr w:rsidR="00615E2D" w14:paraId="127A42F8"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4B09D08" w14:textId="41B78762" w:rsidR="00615E2D" w:rsidRDefault="00C83E46">
            <w:pPr>
              <w:pStyle w:val="P68B1DB1-Normal57"/>
              <w:spacing w:line="240" w:lineRule="auto"/>
              <w:jc w:val="center"/>
              <w:rPr>
                <w:noProof/>
              </w:rPr>
            </w:pPr>
            <w:r>
              <w:rPr>
                <w:noProof/>
              </w:rPr>
              <w:t>293</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5440CEE5" w14:textId="4C6F2B5E" w:rsidR="00615E2D" w:rsidRDefault="00C83E46">
            <w:pPr>
              <w:pStyle w:val="P68B1DB1-Normal57"/>
              <w:spacing w:line="240" w:lineRule="auto"/>
              <w:jc w:val="center"/>
              <w:rPr>
                <w:noProof/>
              </w:rPr>
            </w:pPr>
            <w:r>
              <w:rPr>
                <w:noProof/>
              </w:rPr>
              <w:t xml:space="preserve">C 5.2: Potpora za istraživanje i razvoj u poduzećima i uvođenje inovacija u poslovnu praksu – ulaganje 5: Potpore za istraživanje i razvoj u poduzećima u skladu s nacionalnom strategijom RIS3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70B55E55" w14:textId="6F949EE9"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4599AC1E" w14:textId="50232EC2" w:rsidR="00615E2D" w:rsidRDefault="00C83E46">
            <w:pPr>
              <w:pStyle w:val="P68B1DB1-Normal57"/>
              <w:spacing w:line="240" w:lineRule="auto"/>
              <w:jc w:val="center"/>
              <w:rPr>
                <w:noProof/>
              </w:rPr>
            </w:pPr>
            <w:r>
              <w:rPr>
                <w:noProof/>
              </w:rPr>
              <w:t xml:space="preserve">Istraživanje i razvoj u skladu sa strategijom RIS3  </w:t>
            </w:r>
          </w:p>
        </w:tc>
      </w:tr>
      <w:tr w:rsidR="00615E2D" w14:paraId="080CE632"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D10250A" w14:textId="6F11C9D1" w:rsidR="00615E2D" w:rsidRDefault="00C83E46">
            <w:pPr>
              <w:pStyle w:val="P68B1DB1-Normal57"/>
              <w:spacing w:line="240" w:lineRule="auto"/>
              <w:jc w:val="center"/>
              <w:rPr>
                <w:noProof/>
              </w:rPr>
            </w:pPr>
            <w:r>
              <w:rPr>
                <w:noProof/>
              </w:rPr>
              <w:t>295</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59931B85" w14:textId="74A24E95" w:rsidR="00615E2D" w:rsidRDefault="00C83E46">
            <w:pPr>
              <w:pStyle w:val="P68B1DB1-Normal57"/>
              <w:spacing w:line="240" w:lineRule="auto"/>
              <w:jc w:val="center"/>
              <w:rPr>
                <w:noProof/>
              </w:rPr>
            </w:pPr>
            <w:r>
              <w:rPr>
                <w:noProof/>
              </w:rPr>
              <w:t>C 5.2: Potpora za istraživanje i razvoj u poduzećima i uvođenje inovacija u poslovnu praksu – ulaganje 6: Potpore za istraživanje i razvoj u području prometa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63348146" w14:textId="22ABA2F8"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52A3C882" w14:textId="205193F8" w:rsidR="00615E2D" w:rsidRDefault="00C83E46">
            <w:pPr>
              <w:pStyle w:val="P68B1DB1-Normal57"/>
              <w:spacing w:line="240" w:lineRule="auto"/>
              <w:jc w:val="center"/>
              <w:rPr>
                <w:noProof/>
              </w:rPr>
            </w:pPr>
            <w:r>
              <w:rPr>
                <w:noProof/>
              </w:rPr>
              <w:t xml:space="preserve">Istraživanje i razvoj u području prometa  </w:t>
            </w:r>
          </w:p>
        </w:tc>
      </w:tr>
      <w:tr w:rsidR="00615E2D" w14:paraId="520FF8B5"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AD972EE" w14:textId="34E8D59C" w:rsidR="00615E2D" w:rsidRDefault="00C83E46">
            <w:pPr>
              <w:pStyle w:val="P68B1DB1-Normal57"/>
              <w:spacing w:line="240" w:lineRule="auto"/>
              <w:jc w:val="center"/>
              <w:rPr>
                <w:noProof/>
              </w:rPr>
            </w:pPr>
            <w:r>
              <w:rPr>
                <w:noProof/>
              </w:rPr>
              <w:t>297</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406A3E3F" w14:textId="34743DC7" w:rsidR="00615E2D" w:rsidRDefault="00C83E46">
            <w:pPr>
              <w:pStyle w:val="P68B1DB1-Normal57"/>
              <w:spacing w:line="240" w:lineRule="auto"/>
              <w:jc w:val="center"/>
              <w:rPr>
                <w:noProof/>
              </w:rPr>
            </w:pPr>
            <w:r>
              <w:rPr>
                <w:noProof/>
              </w:rPr>
              <w:t xml:space="preserve">C 5.2: Potpora za istraživanje i razvoj u poduzećima i uvođenje inovacija u poslovnu praksu – ulaganje 7: Potpore za istraživanje i razvoj u području zaštite okoliša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27C4962E" w14:textId="2643D76D"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1FAEAC67" w14:textId="59AEBCB0" w:rsidR="00615E2D" w:rsidRDefault="00C83E46">
            <w:pPr>
              <w:pStyle w:val="P68B1DB1-Normal57"/>
              <w:spacing w:line="240" w:lineRule="auto"/>
              <w:jc w:val="center"/>
              <w:rPr>
                <w:noProof/>
              </w:rPr>
            </w:pPr>
            <w:r>
              <w:rPr>
                <w:noProof/>
              </w:rPr>
              <w:t xml:space="preserve">Istraživanje i razvoj u području okoliša  </w:t>
            </w:r>
          </w:p>
        </w:tc>
      </w:tr>
      <w:tr w:rsidR="00615E2D" w14:paraId="4459652C"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0D8127BF" w14:textId="4D0413E4" w:rsidR="00615E2D" w:rsidRDefault="00C83E46">
            <w:pPr>
              <w:pStyle w:val="P68B1DB1-Normal57"/>
              <w:spacing w:line="240" w:lineRule="auto"/>
              <w:jc w:val="center"/>
              <w:rPr>
                <w:noProof/>
              </w:rPr>
            </w:pPr>
            <w:r>
              <w:rPr>
                <w:noProof/>
              </w:rPr>
              <w:t>299</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3CD493C3" w14:textId="4334771A" w:rsidR="00615E2D" w:rsidRDefault="00C83E46">
            <w:pPr>
              <w:pStyle w:val="P68B1DB1-Normal57"/>
              <w:spacing w:line="240" w:lineRule="auto"/>
              <w:jc w:val="center"/>
              <w:rPr>
                <w:noProof/>
              </w:rPr>
            </w:pPr>
            <w:r>
              <w:rPr>
                <w:noProof/>
              </w:rPr>
              <w:t>C 7.1.:  Infrastruktura za obnovljivu energiju i električnu energiju (REPowerEU) – ulaganje 1: Modernizacija i digitalizacija regionalnih distribucijskih sustava</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64E21DB4" w14:textId="48FBD429"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7EEBE365" w14:textId="768F00E3" w:rsidR="00615E2D" w:rsidRDefault="00C83E46">
            <w:pPr>
              <w:pStyle w:val="P68B1DB1-Normal11"/>
              <w:spacing w:line="240" w:lineRule="auto"/>
              <w:jc w:val="center"/>
              <w:rPr>
                <w:noProof/>
                <w:color w:val="004300"/>
              </w:rPr>
            </w:pPr>
            <w:r>
              <w:rPr>
                <w:noProof/>
              </w:rPr>
              <w:t>Završetak ulaganja u modernizaciju distribucijskih mreža u Češkoj Republici</w:t>
            </w:r>
          </w:p>
        </w:tc>
      </w:tr>
      <w:tr w:rsidR="00615E2D" w14:paraId="2D77CAA1"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23FF80B1" w14:textId="03FB977E" w:rsidR="00615E2D" w:rsidRDefault="00C83E46">
            <w:pPr>
              <w:pStyle w:val="P68B1DB1-Normal57"/>
              <w:spacing w:line="240" w:lineRule="auto"/>
              <w:jc w:val="center"/>
              <w:rPr>
                <w:noProof/>
              </w:rPr>
            </w:pPr>
            <w:r>
              <w:rPr>
                <w:noProof/>
              </w:rPr>
              <w:t>300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41A87F3B" w14:textId="204DC5A3" w:rsidR="00615E2D" w:rsidRDefault="00C83E46">
            <w:pPr>
              <w:pStyle w:val="P68B1DB1-Normal57"/>
              <w:spacing w:line="240" w:lineRule="auto"/>
              <w:jc w:val="center"/>
              <w:rPr>
                <w:noProof/>
              </w:rPr>
            </w:pPr>
            <w:r>
              <w:rPr>
                <w:noProof/>
              </w:rPr>
              <w:t xml:space="preserve">C 7.1.:  Infrastruktura za obnovljivu energiju i električnu energiju (REPowerEU) – ulaganje 2: Proširena mjera: Razvoj novih fotonaponskih izvora energije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2BD92DBE" w14:textId="3FBB9F74"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127C26A8" w14:textId="42B3AD61" w:rsidR="00615E2D" w:rsidRDefault="00C83E46">
            <w:pPr>
              <w:pStyle w:val="P68B1DB1-Normal57"/>
              <w:spacing w:line="240" w:lineRule="auto"/>
              <w:jc w:val="center"/>
              <w:rPr>
                <w:noProof/>
              </w:rPr>
            </w:pPr>
            <w:r>
              <w:rPr>
                <w:noProof/>
              </w:rPr>
              <w:t xml:space="preserve">Dovršetak dodatnog instaliranog kapaciteta od 224,7 MW izvora FVE-a  </w:t>
            </w:r>
          </w:p>
        </w:tc>
      </w:tr>
      <w:tr w:rsidR="00615E2D" w14:paraId="3DB95A8D"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C8EF7B5" w14:textId="0AD2F35D" w:rsidR="00615E2D" w:rsidRDefault="00C83E46">
            <w:pPr>
              <w:pStyle w:val="P68B1DB1-Normal57"/>
              <w:spacing w:line="240" w:lineRule="auto"/>
              <w:jc w:val="center"/>
              <w:rPr>
                <w:noProof/>
              </w:rPr>
            </w:pPr>
            <w:r>
              <w:rPr>
                <w:noProof/>
              </w:rPr>
              <w:t>307</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5283B313" w14:textId="47C8F4AD" w:rsidR="00615E2D" w:rsidRDefault="00C83E46">
            <w:pPr>
              <w:pStyle w:val="P68B1DB1-Normal57"/>
              <w:spacing w:line="240" w:lineRule="auto"/>
              <w:jc w:val="center"/>
              <w:rPr>
                <w:noProof/>
              </w:rPr>
            </w:pPr>
            <w:r>
              <w:rPr>
                <w:noProof/>
              </w:rPr>
              <w:t>C 7.1.:  Infrastruktura za obnovljivu energiju i električnu energiju (REPowerEU) – 3. reforma – Podmjera 1. Poboljšanje transparentnosti postupka priključenja na mrežu</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2964E472" w14:textId="3770158D"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55173602" w14:textId="725B2C9D" w:rsidR="00615E2D" w:rsidRDefault="00C83E46">
            <w:pPr>
              <w:pStyle w:val="P68B1DB1-Normal57"/>
              <w:spacing w:line="240" w:lineRule="auto"/>
              <w:jc w:val="center"/>
              <w:rPr>
                <w:noProof/>
              </w:rPr>
            </w:pPr>
            <w:r>
              <w:rPr>
                <w:noProof/>
              </w:rPr>
              <w:t>Odobrenje za priključenje na mrežu za kapacitet postrojenja za proizvodnju energije iz obnovljivih izvora</w:t>
            </w:r>
          </w:p>
        </w:tc>
      </w:tr>
      <w:tr w:rsidR="00615E2D" w14:paraId="509BE23B"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51CC8FD7" w14:textId="12B5282E" w:rsidR="00615E2D" w:rsidRDefault="00C83E46">
            <w:pPr>
              <w:pStyle w:val="P68B1DB1-Normal57"/>
              <w:spacing w:line="240" w:lineRule="auto"/>
              <w:jc w:val="center"/>
              <w:rPr>
                <w:noProof/>
              </w:rPr>
            </w:pPr>
            <w:r>
              <w:rPr>
                <w:noProof/>
              </w:rPr>
              <w:t>308</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0BF24BE7" w14:textId="02C63EC1" w:rsidR="00615E2D" w:rsidRDefault="00C83E46">
            <w:pPr>
              <w:pStyle w:val="P68B1DB1-Normal57"/>
              <w:spacing w:line="240" w:lineRule="auto"/>
              <w:jc w:val="center"/>
              <w:rPr>
                <w:noProof/>
              </w:rPr>
            </w:pPr>
            <w:r>
              <w:rPr>
                <w:noProof/>
              </w:rPr>
              <w:t xml:space="preserve">C 7.1.:  Infrastruktura za obnovljivu energiju i električnu energiju (REPowerEU) – reforma 3. – Podmjera 2.: Regulatorni poticaji za operatore elektroenergetskih mreža kako bi povećali fleksibilnost mreže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2DC0A71A" w14:textId="365BA32D"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08F8BDF6" w14:textId="6F2EA278" w:rsidR="00615E2D" w:rsidRDefault="00C83E46">
            <w:pPr>
              <w:pStyle w:val="P68B1DB1-Normal57"/>
              <w:spacing w:line="240" w:lineRule="auto"/>
              <w:jc w:val="center"/>
              <w:rPr>
                <w:noProof/>
              </w:rPr>
            </w:pPr>
            <w:r>
              <w:rPr>
                <w:noProof/>
              </w:rPr>
              <w:t>Objava novih tarifnih metodologija za operatore prijenosnih sustava i ODS-ove na internetskim stranicama energetskog regulatora</w:t>
            </w:r>
          </w:p>
        </w:tc>
      </w:tr>
      <w:tr w:rsidR="00615E2D" w14:paraId="1E3280BD"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5307D493" w14:textId="4813B682" w:rsidR="00615E2D" w:rsidRDefault="00C83E46">
            <w:pPr>
              <w:pStyle w:val="P68B1DB1-Normal57"/>
              <w:spacing w:line="240" w:lineRule="auto"/>
              <w:jc w:val="center"/>
              <w:rPr>
                <w:noProof/>
              </w:rPr>
            </w:pPr>
            <w:r>
              <w:rPr>
                <w:noProof/>
              </w:rPr>
              <w:t>311</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1335B606" w14:textId="7D1CA9D5" w:rsidR="00615E2D" w:rsidRDefault="00C83E46">
            <w:pPr>
              <w:pStyle w:val="P68B1DB1-Normal57"/>
              <w:spacing w:line="240" w:lineRule="auto"/>
              <w:jc w:val="center"/>
              <w:rPr>
                <w:noProof/>
              </w:rPr>
            </w:pPr>
            <w:r>
              <w:rPr>
                <w:noProof/>
              </w:rPr>
              <w:t xml:space="preserve">C 7.2 Potpora decentralizaciji i digitalizaciji energetskog sektora (REPOWER EU) – ulaganja 1:  Centar za podatke o električnoj energiji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54E6F64A" w14:textId="2F2ADE5D"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1976048F" w14:textId="7D3B282F" w:rsidR="00615E2D" w:rsidRDefault="00C83E46">
            <w:pPr>
              <w:pStyle w:val="P68B1DB1-Normal57"/>
              <w:spacing w:line="240" w:lineRule="auto"/>
              <w:jc w:val="center"/>
              <w:rPr>
                <w:noProof/>
              </w:rPr>
            </w:pPr>
            <w:r>
              <w:rPr>
                <w:noProof/>
              </w:rPr>
              <w:t xml:space="preserve">Početak rada Centra za podatke o energiji  </w:t>
            </w:r>
          </w:p>
        </w:tc>
      </w:tr>
      <w:tr w:rsidR="00615E2D" w14:paraId="0D7B7FA7"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63F8363" w14:textId="0607BA96" w:rsidR="00615E2D" w:rsidRDefault="00C83E46">
            <w:pPr>
              <w:pStyle w:val="P68B1DB1-Normal57"/>
              <w:spacing w:line="240" w:lineRule="auto"/>
              <w:jc w:val="center"/>
              <w:rPr>
                <w:noProof/>
              </w:rPr>
            </w:pPr>
            <w:r>
              <w:rPr>
                <w:noProof/>
              </w:rPr>
              <w:t>314</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3AA60338" w14:textId="318FCE89" w:rsidR="00615E2D" w:rsidRDefault="00C83E46">
            <w:pPr>
              <w:pStyle w:val="P68B1DB1-Normal57"/>
              <w:spacing w:line="240" w:lineRule="auto"/>
              <w:jc w:val="center"/>
              <w:rPr>
                <w:noProof/>
              </w:rPr>
            </w:pPr>
            <w:r>
              <w:rPr>
                <w:noProof/>
              </w:rPr>
              <w:t xml:space="preserve">C 7.2 Potpora decentralizaciji i digitalizaciji energetskog sektora (REPOWER EU) – reforma 1.: Energetske zajednice.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32A2DBFB" w14:textId="0DB4AE24"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62FBFF27" w14:textId="41CA7858" w:rsidR="00615E2D" w:rsidRDefault="00C83E46">
            <w:pPr>
              <w:pStyle w:val="P68B1DB1-Normal57"/>
              <w:spacing w:line="240" w:lineRule="auto"/>
              <w:jc w:val="center"/>
              <w:rPr>
                <w:noProof/>
              </w:rPr>
            </w:pPr>
            <w:r>
              <w:rPr>
                <w:noProof/>
              </w:rPr>
              <w:t>Smjernice o energetskim zajednicama</w:t>
            </w:r>
          </w:p>
        </w:tc>
      </w:tr>
      <w:tr w:rsidR="00615E2D" w14:paraId="661EF62D"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546AAAAB" w14:textId="42E2F5C2" w:rsidR="00615E2D" w:rsidRDefault="00C83E46">
            <w:pPr>
              <w:pStyle w:val="P68B1DB1-Normal57"/>
              <w:spacing w:line="240" w:lineRule="auto"/>
              <w:jc w:val="center"/>
              <w:rPr>
                <w:noProof/>
              </w:rPr>
            </w:pPr>
            <w:r>
              <w:rPr>
                <w:noProof/>
              </w:rPr>
              <w:t>323</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6A7514C1" w14:textId="0DEE3C55" w:rsidR="00615E2D" w:rsidRDefault="00C83E46">
            <w:pPr>
              <w:pStyle w:val="P68B1DB1-Normal57"/>
              <w:spacing w:line="240" w:lineRule="auto"/>
              <w:jc w:val="center"/>
              <w:rPr>
                <w:noProof/>
              </w:rPr>
            </w:pPr>
            <w:r>
              <w:rPr>
                <w:noProof/>
              </w:rPr>
              <w:t xml:space="preserve">C 7.3.: Sveobuhvatna reforma savjeta vala obnove u Češkoj (REPOWER EU) – ulaganja 1: Pružanje savjetodavnih usluga kućanstvima, poduzećima i javnom sektoru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16503C79" w14:textId="1C911C20"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577A5240" w14:textId="52794198" w:rsidR="00615E2D" w:rsidRDefault="00C83E46">
            <w:pPr>
              <w:pStyle w:val="P68B1DB1-Normal57"/>
              <w:spacing w:line="240" w:lineRule="auto"/>
              <w:jc w:val="center"/>
              <w:rPr>
                <w:noProof/>
              </w:rPr>
            </w:pPr>
            <w:r>
              <w:rPr>
                <w:noProof/>
              </w:rPr>
              <w:t xml:space="preserve">Pružanje savjetodavnih usluga kućanstvima, poduzećima i javnom sektoru  </w:t>
            </w:r>
          </w:p>
        </w:tc>
      </w:tr>
      <w:tr w:rsidR="00615E2D" w14:paraId="61B409EC"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95E36B5" w14:textId="2C32D0D6" w:rsidR="00615E2D" w:rsidRDefault="00C83E46">
            <w:pPr>
              <w:pStyle w:val="P68B1DB1-Normal57"/>
              <w:spacing w:line="240" w:lineRule="auto"/>
              <w:jc w:val="center"/>
              <w:rPr>
                <w:noProof/>
              </w:rPr>
            </w:pPr>
            <w:r>
              <w:rPr>
                <w:noProof/>
              </w:rPr>
              <w:t>330</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65E55252" w14:textId="1B2F75DD" w:rsidR="00615E2D" w:rsidRDefault="00C83E46">
            <w:pPr>
              <w:pStyle w:val="P68B1DB1-Normal57"/>
              <w:spacing w:line="240" w:lineRule="auto"/>
              <w:jc w:val="center"/>
              <w:rPr>
                <w:noProof/>
              </w:rPr>
            </w:pPr>
            <w:r>
              <w:rPr>
                <w:noProof/>
              </w:rPr>
              <w:t xml:space="preserve">C 7.5. Dekarbonizacija cestovnog prometa (REPowerEU) – reforma 1.: Nacionalni akcijski plan za čistu mobilnost i ciljevi uvođenja za mobilnost s nultom stopom emisija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2A923BB1" w14:textId="729FF7E4"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6C2DF3BA" w14:textId="7A584AB0" w:rsidR="00615E2D" w:rsidRDefault="00C83E46">
            <w:pPr>
              <w:pStyle w:val="P68B1DB1-Normal57"/>
              <w:spacing w:line="240" w:lineRule="auto"/>
              <w:jc w:val="center"/>
              <w:rPr>
                <w:noProof/>
              </w:rPr>
            </w:pPr>
            <w:r>
              <w:rPr>
                <w:noProof/>
              </w:rPr>
              <w:t xml:space="preserve">Povećanje broja registriranih vozila s nultim emisijama  </w:t>
            </w:r>
          </w:p>
        </w:tc>
      </w:tr>
      <w:tr w:rsidR="00615E2D" w14:paraId="74E66076"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2C51F1CD" w14:textId="371088BC" w:rsidR="00615E2D" w:rsidRDefault="00C83E46">
            <w:pPr>
              <w:pStyle w:val="P68B1DB1-Normal57"/>
              <w:spacing w:line="240" w:lineRule="auto"/>
              <w:jc w:val="center"/>
              <w:rPr>
                <w:noProof/>
              </w:rPr>
            </w:pPr>
            <w:r>
              <w:rPr>
                <w:noProof/>
              </w:rPr>
              <w:t>331</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51B3AA53" w14:textId="20D0ABB6" w:rsidR="00615E2D" w:rsidRDefault="00C83E46">
            <w:pPr>
              <w:pStyle w:val="P68B1DB1-Normal57"/>
              <w:spacing w:line="240" w:lineRule="auto"/>
              <w:jc w:val="center"/>
              <w:rPr>
                <w:noProof/>
              </w:rPr>
            </w:pPr>
            <w:r>
              <w:rPr>
                <w:noProof/>
              </w:rPr>
              <w:t xml:space="preserve">C 7.5. Dekarbonizacija cestovnog prometa (REPowerEU) – reforma 1.: Nacionalni akcijski plan za čistu mobilnost i ciljevi uvođenja za mobilnost s nultom stopom emisija   </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4FA5C61F" w14:textId="1C2D7BD0" w:rsidR="00615E2D" w:rsidRDefault="00C83E46">
            <w:pPr>
              <w:pStyle w:val="P68B1DB1-Normal57"/>
              <w:spacing w:line="240" w:lineRule="auto"/>
              <w:jc w:val="center"/>
              <w:rPr>
                <w:noProof/>
              </w:rPr>
            </w:pPr>
            <w:r>
              <w:rPr>
                <w:noProof/>
              </w:rPr>
              <w:t>Prekretnica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3BC7BBFA" w14:textId="3C24944F" w:rsidR="00615E2D" w:rsidRDefault="00C83E46">
            <w:pPr>
              <w:pStyle w:val="P68B1DB1-Normal57"/>
              <w:spacing w:line="240" w:lineRule="auto"/>
              <w:jc w:val="center"/>
              <w:rPr>
                <w:noProof/>
              </w:rPr>
            </w:pPr>
            <w:r>
              <w:rPr>
                <w:noProof/>
              </w:rPr>
              <w:t>Potpora ubrzanom uvođenju infrastrukture za alternativna goriva</w:t>
            </w:r>
          </w:p>
        </w:tc>
      </w:tr>
      <w:tr w:rsidR="00615E2D" w14:paraId="071FD521"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5B3C17B4" w14:textId="32245026" w:rsidR="00615E2D" w:rsidRDefault="00C83E46">
            <w:pPr>
              <w:pStyle w:val="P68B1DB1-Normal57"/>
              <w:spacing w:line="240" w:lineRule="auto"/>
              <w:jc w:val="center"/>
              <w:rPr>
                <w:noProof/>
              </w:rPr>
            </w:pPr>
            <w:r>
              <w:rPr>
                <w:noProof/>
              </w:rPr>
              <w:t>339</w:t>
            </w: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3A7AE139" w14:textId="3B61E118" w:rsidR="00615E2D" w:rsidRDefault="00C83E46">
            <w:pPr>
              <w:pStyle w:val="P68B1DB1-Normal57"/>
              <w:spacing w:line="240" w:lineRule="auto"/>
              <w:jc w:val="center"/>
              <w:rPr>
                <w:noProof/>
              </w:rPr>
            </w:pPr>
            <w:r>
              <w:rPr>
                <w:noProof/>
              </w:rPr>
              <w:t>C 7.6. elektrifikacija željezničkog prometa (REPowerEU) – ulaganje 1: Elektrifikacija regije Brno</w:t>
            </w: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244BC88E" w14:textId="400E77D3" w:rsidR="00615E2D" w:rsidRDefault="00C83E46">
            <w:pPr>
              <w:pStyle w:val="P68B1DB1-Normal57"/>
              <w:spacing w:line="240" w:lineRule="auto"/>
              <w:jc w:val="center"/>
              <w:rPr>
                <w:noProof/>
              </w:rPr>
            </w:pPr>
            <w:r>
              <w:rPr>
                <w:noProof/>
              </w:rPr>
              <w:t>Ciljna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63366C4E" w14:textId="50BA3081" w:rsidR="00615E2D" w:rsidRDefault="00C83E46">
            <w:pPr>
              <w:pStyle w:val="P68B1DB1-Normal57"/>
              <w:spacing w:line="240" w:lineRule="auto"/>
              <w:jc w:val="center"/>
              <w:rPr>
                <w:noProof/>
              </w:rPr>
            </w:pPr>
            <w:r>
              <w:rPr>
                <w:noProof/>
              </w:rPr>
              <w:t>Završetak projekta elektrifikacije željeznice „elektrifikacija Brno-Zastávke u Brni, faza 2.”</w:t>
            </w:r>
          </w:p>
        </w:tc>
      </w:tr>
      <w:tr w:rsidR="00615E2D" w14:paraId="21643833" w14:textId="77777777">
        <w:trPr>
          <w:trHeight w:val="648"/>
        </w:trPr>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178325F" w14:textId="1D74028D" w:rsidR="00615E2D" w:rsidRDefault="00615E2D">
            <w:pPr>
              <w:spacing w:before="0" w:after="0" w:line="240" w:lineRule="auto"/>
              <w:jc w:val="center"/>
              <w:rPr>
                <w:rFonts w:eastAsia="Times New Roman"/>
                <w:noProof/>
                <w:color w:val="006100"/>
                <w:sz w:val="20"/>
              </w:rPr>
            </w:pPr>
          </w:p>
        </w:tc>
        <w:tc>
          <w:tcPr>
            <w:tcW w:w="3969" w:type="dxa"/>
            <w:tcBorders>
              <w:top w:val="single" w:sz="4" w:space="0" w:color="auto"/>
              <w:left w:val="single" w:sz="4" w:space="0" w:color="auto"/>
              <w:bottom w:val="single" w:sz="4" w:space="0" w:color="auto"/>
              <w:right w:val="single" w:sz="4" w:space="0" w:color="auto"/>
            </w:tcBorders>
            <w:shd w:val="clear" w:color="auto" w:fill="C6EFCE"/>
            <w:vAlign w:val="center"/>
          </w:tcPr>
          <w:p w14:paraId="4B3120E1" w14:textId="77777777" w:rsidR="00615E2D" w:rsidRDefault="00615E2D">
            <w:pPr>
              <w:spacing w:before="0" w:after="0" w:line="240" w:lineRule="auto"/>
              <w:jc w:val="center"/>
              <w:rPr>
                <w:rFonts w:eastAsia="Times New Roman"/>
                <w:noProof/>
                <w:color w:val="006100"/>
                <w:sz w:val="20"/>
              </w:rPr>
            </w:pPr>
          </w:p>
        </w:tc>
        <w:tc>
          <w:tcPr>
            <w:tcW w:w="1843" w:type="dxa"/>
            <w:tcBorders>
              <w:top w:val="single" w:sz="4" w:space="0" w:color="auto"/>
              <w:left w:val="single" w:sz="4" w:space="0" w:color="auto"/>
              <w:bottom w:val="single" w:sz="4" w:space="0" w:color="auto"/>
              <w:right w:val="single" w:sz="4" w:space="0" w:color="auto"/>
            </w:tcBorders>
            <w:shd w:val="clear" w:color="auto" w:fill="C6EFCE"/>
            <w:vAlign w:val="center"/>
          </w:tcPr>
          <w:p w14:paraId="36C744AF" w14:textId="77777777" w:rsidR="00615E2D" w:rsidRDefault="00C83E46">
            <w:pPr>
              <w:pStyle w:val="P68B1DB1-Normal59"/>
              <w:spacing w:before="0" w:after="0" w:line="240" w:lineRule="auto"/>
              <w:jc w:val="center"/>
              <w:rPr>
                <w:noProof/>
              </w:rPr>
            </w:pPr>
            <w:r>
              <w:rPr>
                <w:noProof/>
              </w:rPr>
              <w:t>Iznos obroka</w:t>
            </w:r>
          </w:p>
        </w:tc>
        <w:tc>
          <w:tcPr>
            <w:tcW w:w="3402" w:type="dxa"/>
            <w:tcBorders>
              <w:top w:val="single" w:sz="4" w:space="0" w:color="auto"/>
              <w:left w:val="single" w:sz="4" w:space="0" w:color="auto"/>
              <w:bottom w:val="single" w:sz="4" w:space="0" w:color="auto"/>
              <w:right w:val="single" w:sz="4" w:space="0" w:color="auto"/>
            </w:tcBorders>
            <w:shd w:val="clear" w:color="auto" w:fill="C6EFCE"/>
            <w:vAlign w:val="center"/>
          </w:tcPr>
          <w:p w14:paraId="15A2CB76" w14:textId="46A8CDFF" w:rsidR="00615E2D" w:rsidRDefault="00C83E46">
            <w:pPr>
              <w:pStyle w:val="P68B1DB1-Normal59"/>
              <w:spacing w:before="0" w:after="0" w:line="240" w:lineRule="auto"/>
              <w:jc w:val="center"/>
              <w:rPr>
                <w:noProof/>
              </w:rPr>
            </w:pPr>
            <w:r>
              <w:rPr>
                <w:noProof/>
              </w:rPr>
              <w:t>983488992 EURA</w:t>
            </w:r>
          </w:p>
        </w:tc>
      </w:tr>
    </w:tbl>
    <w:p w14:paraId="33860EE0" w14:textId="3D33871D" w:rsidR="00615E2D" w:rsidRDefault="00615E2D">
      <w:pPr>
        <w:spacing w:before="0" w:after="0" w:line="240" w:lineRule="auto"/>
        <w:jc w:val="center"/>
        <w:rPr>
          <w:rFonts w:eastAsia="Times New Roman"/>
          <w:noProof/>
          <w:sz w:val="20"/>
        </w:rPr>
      </w:pPr>
    </w:p>
    <w:p w14:paraId="5C96164B" w14:textId="3D5DD641" w:rsidR="00615E2D" w:rsidRDefault="00C83E46">
      <w:pPr>
        <w:rPr>
          <w:noProof/>
        </w:rPr>
      </w:pPr>
      <w:r>
        <w:rPr>
          <w:noProof/>
        </w:rPr>
        <w:br w:type="page"/>
      </w:r>
    </w:p>
    <w:p w14:paraId="3D098C4E" w14:textId="0FD7AA27" w:rsidR="00615E2D" w:rsidRDefault="00C83E46">
      <w:pPr>
        <w:pStyle w:val="P68B1DB1-Normal26"/>
        <w:spacing w:before="0" w:after="0" w:line="240" w:lineRule="auto"/>
        <w:rPr>
          <w:noProof/>
        </w:rPr>
      </w:pPr>
      <w:r>
        <w:rPr>
          <w:noProof/>
          <w:sz w:val="28"/>
        </w:rPr>
        <w:t>2. Krediti</w:t>
      </w:r>
      <w:r>
        <w:rPr>
          <w:noProof/>
        </w:rPr>
        <w:t xml:space="preserve"> </w:t>
      </w:r>
    </w:p>
    <w:p w14:paraId="6DD196E1" w14:textId="47197F76" w:rsidR="00615E2D" w:rsidRDefault="00615E2D">
      <w:pPr>
        <w:spacing w:before="0" w:after="0" w:line="240" w:lineRule="auto"/>
        <w:rPr>
          <w:rFonts w:eastAsia="Times New Roman"/>
          <w:noProof/>
          <w:sz w:val="20"/>
        </w:rPr>
      </w:pPr>
    </w:p>
    <w:p w14:paraId="272935E6" w14:textId="7E7B493E" w:rsidR="00615E2D" w:rsidRDefault="00C83E46">
      <w:pPr>
        <w:pStyle w:val="FooterText"/>
        <w:rPr>
          <w:noProof/>
        </w:rPr>
      </w:pPr>
      <w:r>
        <w:rPr>
          <w:noProof/>
        </w:rPr>
        <w:t>Obroci iz članka 2.a stavka 2. organiziraju se na sljedeći način:</w:t>
      </w:r>
    </w:p>
    <w:p w14:paraId="3F7C2906" w14:textId="0FD7AA27" w:rsidR="00615E2D" w:rsidRDefault="00615E2D">
      <w:pPr>
        <w:spacing w:before="0" w:after="0" w:line="240" w:lineRule="auto"/>
        <w:rPr>
          <w:rFonts w:eastAsia="Times New Roman"/>
          <w:noProof/>
          <w:sz w:val="20"/>
        </w:rPr>
      </w:pPr>
    </w:p>
    <w:p w14:paraId="58655F31" w14:textId="0FD7AA27" w:rsidR="00615E2D" w:rsidRDefault="00C83E46">
      <w:pPr>
        <w:pStyle w:val="FooterText"/>
        <w:rPr>
          <w:noProof/>
        </w:rPr>
      </w:pPr>
      <w:r>
        <w:rPr>
          <w:noProof/>
        </w:rPr>
        <w:t>2.1. Prvi zahtjev za plaćanje (potpora u obliku zajma):</w:t>
      </w:r>
    </w:p>
    <w:p w14:paraId="50BFEACE" w14:textId="0FD7AA27" w:rsidR="00615E2D" w:rsidRDefault="00615E2D">
      <w:pPr>
        <w:spacing w:before="0" w:after="0" w:line="240" w:lineRule="auto"/>
        <w:rPr>
          <w:rFonts w:eastAsia="Times New Roman"/>
          <w:noProof/>
          <w:color w:val="006100"/>
          <w:sz w:val="20"/>
        </w:rPr>
      </w:pPr>
    </w:p>
    <w:tbl>
      <w:tblPr>
        <w:tblW w:w="0" w:type="auto"/>
        <w:tblInd w:w="-601" w:type="dxa"/>
        <w:tblLook w:val="04A0" w:firstRow="1" w:lastRow="0" w:firstColumn="1" w:lastColumn="0" w:noHBand="0" w:noVBand="1"/>
      </w:tblPr>
      <w:tblGrid>
        <w:gridCol w:w="1251"/>
        <w:gridCol w:w="3851"/>
        <w:gridCol w:w="1816"/>
        <w:gridCol w:w="3302"/>
      </w:tblGrid>
      <w:tr w:rsidR="00615E2D" w14:paraId="24A69D23" w14:textId="77777777">
        <w:trPr>
          <w:trHeight w:val="825"/>
        </w:trPr>
        <w:tc>
          <w:tcPr>
            <w:tcW w:w="1276" w:type="dxa"/>
            <w:tcBorders>
              <w:top w:val="single" w:sz="8" w:space="0" w:color="auto"/>
              <w:left w:val="single" w:sz="8" w:space="0" w:color="auto"/>
              <w:bottom w:val="single" w:sz="8" w:space="0" w:color="auto"/>
              <w:right w:val="single" w:sz="8" w:space="0" w:color="auto"/>
            </w:tcBorders>
            <w:shd w:val="clear" w:color="auto" w:fill="BDD7EE"/>
            <w:vAlign w:val="center"/>
          </w:tcPr>
          <w:p w14:paraId="09CB67FE" w14:textId="77777777" w:rsidR="00615E2D" w:rsidRDefault="00C83E46">
            <w:pPr>
              <w:pStyle w:val="P68B1DB1-Normal55"/>
              <w:spacing w:before="0" w:after="0" w:line="240" w:lineRule="auto"/>
              <w:jc w:val="center"/>
              <w:rPr>
                <w:noProof/>
                <w:color w:val="006100"/>
                <w:sz w:val="20"/>
              </w:rPr>
            </w:pPr>
            <w:r>
              <w:rPr>
                <w:noProof/>
              </w:rPr>
              <w:t>Redni broj</w:t>
            </w:r>
          </w:p>
        </w:tc>
        <w:tc>
          <w:tcPr>
            <w:tcW w:w="3969" w:type="dxa"/>
            <w:tcBorders>
              <w:top w:val="single" w:sz="8" w:space="0" w:color="auto"/>
              <w:left w:val="nil"/>
              <w:bottom w:val="single" w:sz="8" w:space="0" w:color="auto"/>
              <w:right w:val="single" w:sz="8" w:space="0" w:color="auto"/>
            </w:tcBorders>
            <w:shd w:val="clear" w:color="auto" w:fill="BDD7EE"/>
            <w:vAlign w:val="center"/>
          </w:tcPr>
          <w:p w14:paraId="5C4F0FFD" w14:textId="77777777" w:rsidR="00615E2D" w:rsidRDefault="00C83E46">
            <w:pPr>
              <w:pStyle w:val="P68B1DB1-Normal55"/>
              <w:spacing w:before="0" w:after="0" w:line="240" w:lineRule="auto"/>
              <w:jc w:val="center"/>
              <w:rPr>
                <w:noProof/>
                <w:color w:val="006100"/>
                <w:sz w:val="20"/>
              </w:rPr>
            </w:pPr>
            <w:r>
              <w:rPr>
                <w:noProof/>
              </w:rPr>
              <w:t>Povezana mjera (reforma ili ulaganje)</w:t>
            </w:r>
          </w:p>
        </w:tc>
        <w:tc>
          <w:tcPr>
            <w:tcW w:w="1843" w:type="dxa"/>
            <w:tcBorders>
              <w:top w:val="single" w:sz="8" w:space="0" w:color="auto"/>
              <w:left w:val="nil"/>
              <w:bottom w:val="single" w:sz="8" w:space="0" w:color="auto"/>
              <w:right w:val="single" w:sz="8" w:space="0" w:color="auto"/>
            </w:tcBorders>
            <w:shd w:val="clear" w:color="auto" w:fill="BDD7EE"/>
            <w:vAlign w:val="center"/>
          </w:tcPr>
          <w:p w14:paraId="30F79D1C" w14:textId="77777777" w:rsidR="00615E2D" w:rsidRDefault="00C83E46">
            <w:pPr>
              <w:pStyle w:val="P68B1DB1-Normal55"/>
              <w:spacing w:before="0" w:after="0" w:line="240" w:lineRule="auto"/>
              <w:jc w:val="center"/>
              <w:rPr>
                <w:noProof/>
                <w:color w:val="006100"/>
                <w:sz w:val="20"/>
              </w:rPr>
            </w:pPr>
            <w:r>
              <w:rPr>
                <w:noProof/>
              </w:rPr>
              <w:t>Ključna etapa/ciljna vrijednost</w:t>
            </w:r>
          </w:p>
        </w:tc>
        <w:tc>
          <w:tcPr>
            <w:tcW w:w="3402" w:type="dxa"/>
            <w:tcBorders>
              <w:top w:val="single" w:sz="8" w:space="0" w:color="auto"/>
              <w:left w:val="nil"/>
              <w:bottom w:val="single" w:sz="8" w:space="0" w:color="auto"/>
              <w:right w:val="single" w:sz="8" w:space="0" w:color="auto"/>
            </w:tcBorders>
            <w:shd w:val="clear" w:color="auto" w:fill="BDD7EE"/>
            <w:vAlign w:val="center"/>
          </w:tcPr>
          <w:p w14:paraId="1C491FFA" w14:textId="77777777" w:rsidR="00615E2D" w:rsidRDefault="00C83E46">
            <w:pPr>
              <w:pStyle w:val="P68B1DB1-Normal55"/>
              <w:spacing w:before="0" w:after="0" w:line="240" w:lineRule="auto"/>
              <w:jc w:val="center"/>
              <w:rPr>
                <w:noProof/>
                <w:color w:val="006100"/>
                <w:sz w:val="20"/>
              </w:rPr>
            </w:pPr>
            <w:r>
              <w:rPr>
                <w:noProof/>
              </w:rPr>
              <w:t>Ime</w:t>
            </w:r>
          </w:p>
        </w:tc>
      </w:tr>
      <w:tr w:rsidR="00615E2D" w14:paraId="729F6395" w14:textId="77777777">
        <w:trPr>
          <w:trHeight w:val="1185"/>
        </w:trPr>
        <w:tc>
          <w:tcPr>
            <w:tcW w:w="1276"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57D6C67E" w14:textId="282D980D" w:rsidR="00615E2D" w:rsidRDefault="00C83E46">
            <w:pPr>
              <w:pStyle w:val="P68B1DB1-Normal57"/>
              <w:spacing w:before="0" w:after="0" w:line="240" w:lineRule="auto"/>
              <w:jc w:val="center"/>
              <w:rPr>
                <w:noProof/>
              </w:rPr>
            </w:pPr>
            <w:r>
              <w:rPr>
                <w:noProof/>
              </w:rPr>
              <w:t>247</w:t>
            </w:r>
          </w:p>
        </w:tc>
        <w:tc>
          <w:tcPr>
            <w:tcW w:w="3969" w:type="dxa"/>
            <w:tcBorders>
              <w:top w:val="nil"/>
              <w:left w:val="nil"/>
              <w:bottom w:val="single" w:sz="8" w:space="0" w:color="000000" w:themeColor="text1"/>
              <w:right w:val="single" w:sz="8" w:space="0" w:color="000000" w:themeColor="text1"/>
            </w:tcBorders>
            <w:shd w:val="clear" w:color="auto" w:fill="C6EFCE"/>
            <w:vAlign w:val="center"/>
          </w:tcPr>
          <w:p w14:paraId="19209C90" w14:textId="21EFAB74" w:rsidR="00615E2D" w:rsidRDefault="00C83E46">
            <w:pPr>
              <w:pStyle w:val="P68B1DB1-Normal57"/>
              <w:spacing w:before="0" w:after="0" w:line="240" w:lineRule="auto"/>
              <w:jc w:val="center"/>
              <w:rPr>
                <w:noProof/>
              </w:rPr>
            </w:pPr>
            <w:r>
              <w:rPr>
                <w:noProof/>
              </w:rPr>
              <w:t>C1.2.: Sustavi digitalne javne uprave —</w:t>
            </w:r>
          </w:p>
          <w:p w14:paraId="43E65639" w14:textId="37458FF6" w:rsidR="00615E2D" w:rsidRDefault="00C83E46">
            <w:pPr>
              <w:pStyle w:val="P68B1DB1-Normal57"/>
              <w:spacing w:before="0" w:after="0" w:line="240" w:lineRule="auto"/>
              <w:jc w:val="center"/>
              <w:rPr>
                <w:noProof/>
              </w:rPr>
            </w:pPr>
            <w:r>
              <w:rPr>
                <w:noProof/>
              </w:rPr>
              <w:t xml:space="preserve">Ulaganje dodatnih ulaganja u kibersigurnost </w:t>
            </w:r>
          </w:p>
        </w:tc>
        <w:tc>
          <w:tcPr>
            <w:tcW w:w="1843" w:type="dxa"/>
            <w:tcBorders>
              <w:top w:val="nil"/>
              <w:left w:val="nil"/>
              <w:bottom w:val="single" w:sz="8" w:space="0" w:color="000000" w:themeColor="text1"/>
              <w:right w:val="single" w:sz="8" w:space="0" w:color="000000" w:themeColor="text1"/>
            </w:tcBorders>
            <w:shd w:val="clear" w:color="auto" w:fill="C6EFCE"/>
            <w:vAlign w:val="center"/>
          </w:tcPr>
          <w:p w14:paraId="5C24DB6C" w14:textId="0FA7AEDB" w:rsidR="00615E2D" w:rsidRDefault="00C83E46">
            <w:pPr>
              <w:pStyle w:val="P68B1DB1-Normal57"/>
              <w:spacing w:before="0" w:after="0" w:line="240" w:lineRule="auto"/>
              <w:jc w:val="center"/>
              <w:rPr>
                <w:noProof/>
              </w:rPr>
            </w:pPr>
            <w:r>
              <w:rPr>
                <w:noProof/>
              </w:rPr>
              <w:t xml:space="preserve">Prekretnica </w:t>
            </w:r>
          </w:p>
        </w:tc>
        <w:tc>
          <w:tcPr>
            <w:tcW w:w="3402" w:type="dxa"/>
            <w:tcBorders>
              <w:top w:val="nil"/>
              <w:left w:val="nil"/>
              <w:bottom w:val="single" w:sz="4" w:space="0" w:color="000000" w:themeColor="text1"/>
              <w:right w:val="single" w:sz="8" w:space="0" w:color="000000" w:themeColor="text1"/>
            </w:tcBorders>
            <w:shd w:val="clear" w:color="auto" w:fill="C6EFCE"/>
            <w:vAlign w:val="center"/>
          </w:tcPr>
          <w:p w14:paraId="68D7E8B8" w14:textId="38123074" w:rsidR="00615E2D" w:rsidRDefault="00C83E46">
            <w:pPr>
              <w:pStyle w:val="P68B1DB1-Normal57"/>
              <w:spacing w:before="0" w:after="0" w:line="240" w:lineRule="auto"/>
              <w:jc w:val="center"/>
              <w:rPr>
                <w:noProof/>
              </w:rPr>
            </w:pPr>
            <w:r>
              <w:rPr>
                <w:noProof/>
              </w:rPr>
              <w:t>Objava poziva povezanog s jačanjem informacijskih sustava u skladu s Aktom br. 181/2014 zb. o kibersigurnosti</w:t>
            </w:r>
          </w:p>
        </w:tc>
      </w:tr>
      <w:tr w:rsidR="00615E2D" w14:paraId="1D142843"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19C57BD7" w14:textId="0A1B9C82" w:rsidR="00615E2D" w:rsidRDefault="00C83E46">
            <w:pPr>
              <w:pStyle w:val="P68B1DB1-Normal57"/>
              <w:spacing w:line="240" w:lineRule="auto"/>
              <w:jc w:val="center"/>
              <w:rPr>
                <w:noProof/>
              </w:rPr>
            </w:pPr>
            <w:r>
              <w:rPr>
                <w:noProof/>
              </w:rPr>
              <w:t>254</w:t>
            </w:r>
          </w:p>
        </w:tc>
        <w:tc>
          <w:tcPr>
            <w:tcW w:w="1273"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463E78E8" w14:textId="740D3571" w:rsidR="00615E2D" w:rsidRDefault="00C83E46">
            <w:pPr>
              <w:pStyle w:val="P68B1DB1-Normal57"/>
              <w:spacing w:before="0" w:after="0" w:line="240" w:lineRule="auto"/>
              <w:jc w:val="center"/>
              <w:rPr>
                <w:noProof/>
              </w:rPr>
            </w:pPr>
            <w:r>
              <w:rPr>
                <w:noProof/>
              </w:rPr>
              <w:t>C1.5: Digitalna transformacija poduzeća – ulaganja 4: Važni projekti od zajedničkog europskog interesa Mikroelektronika i komunikacijske tehnologije</w:t>
            </w:r>
          </w:p>
        </w:tc>
        <w:tc>
          <w:tcPr>
            <w:tcW w:w="1273"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1A0B09E0" w14:textId="4D6A1447" w:rsidR="00615E2D" w:rsidRDefault="00C83E46">
            <w:pPr>
              <w:pStyle w:val="P68B1DB1-Normal57"/>
              <w:spacing w:before="0" w:after="0" w:line="240" w:lineRule="auto"/>
              <w:jc w:val="center"/>
              <w:rPr>
                <w:noProof/>
              </w:rPr>
            </w:pPr>
            <w:r>
              <w:rPr>
                <w:noProof/>
              </w:rPr>
              <w:t>Prekretnica</w:t>
            </w:r>
          </w:p>
        </w:tc>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37AEB2CF" w14:textId="01F5F44B" w:rsidR="00615E2D" w:rsidRDefault="00C83E46">
            <w:pPr>
              <w:pStyle w:val="P68B1DB1-Normal57"/>
              <w:spacing w:before="0" w:after="0" w:line="240" w:lineRule="auto"/>
              <w:jc w:val="center"/>
              <w:rPr>
                <w:noProof/>
              </w:rPr>
            </w:pPr>
            <w:r>
              <w:rPr>
                <w:noProof/>
              </w:rPr>
              <w:t>Potpisivanje sporazuma o dodjeli bespovratnih sredstava</w:t>
            </w:r>
          </w:p>
        </w:tc>
      </w:tr>
      <w:tr w:rsidR="00615E2D" w14:paraId="0D77BC67"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50A92495" w14:textId="4CF06B22" w:rsidR="00615E2D" w:rsidRDefault="00615E2D">
            <w:pPr>
              <w:spacing w:before="0" w:after="0" w:line="240" w:lineRule="auto"/>
              <w:jc w:val="center"/>
              <w:rPr>
                <w:rFonts w:eastAsia="Times New Roman"/>
                <w:noProof/>
                <w:color w:val="006100"/>
                <w:sz w:val="20"/>
              </w:rPr>
            </w:pPr>
          </w:p>
        </w:tc>
        <w:tc>
          <w:tcPr>
            <w:tcW w:w="3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tcPr>
          <w:p w14:paraId="5BD2FB93" w14:textId="134A592E" w:rsidR="00615E2D" w:rsidRDefault="00615E2D">
            <w:pPr>
              <w:spacing w:before="0" w:after="0" w:line="240" w:lineRule="auto"/>
              <w:jc w:val="center"/>
              <w:rPr>
                <w:rFonts w:eastAsia="Times New Roman"/>
                <w:noProof/>
                <w:color w:val="006100"/>
                <w:sz w:val="20"/>
              </w:rPr>
            </w:pPr>
          </w:p>
        </w:tc>
        <w:tc>
          <w:tcPr>
            <w:tcW w:w="180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tcPr>
          <w:p w14:paraId="2F0EA95D" w14:textId="585EC65F" w:rsidR="00615E2D" w:rsidRDefault="00C83E46">
            <w:pPr>
              <w:pStyle w:val="P68B1DB1-Normal59"/>
              <w:spacing w:before="0" w:after="0" w:line="240" w:lineRule="auto"/>
              <w:jc w:val="center"/>
              <w:rPr>
                <w:noProof/>
              </w:rPr>
            </w:pPr>
            <w:r>
              <w:rPr>
                <w:noProof/>
              </w:rPr>
              <w:t>Iznos obroka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09B0DEC9" w14:textId="672F808B" w:rsidR="00615E2D" w:rsidRDefault="00C83E46">
            <w:pPr>
              <w:pStyle w:val="P68B1DB1-Normal59"/>
              <w:spacing w:before="0" w:after="0" w:line="240" w:lineRule="auto"/>
              <w:jc w:val="center"/>
              <w:rPr>
                <w:noProof/>
              </w:rPr>
            </w:pPr>
            <w:r>
              <w:rPr>
                <w:noProof/>
              </w:rPr>
              <w:t>190898548 EURA</w:t>
            </w:r>
          </w:p>
        </w:tc>
      </w:tr>
    </w:tbl>
    <w:p w14:paraId="053474B5" w14:textId="4296E6AB" w:rsidR="00615E2D" w:rsidRDefault="00615E2D">
      <w:pPr>
        <w:spacing w:before="0" w:after="0" w:line="240" w:lineRule="auto"/>
        <w:rPr>
          <w:rFonts w:eastAsia="Times New Roman"/>
          <w:noProof/>
          <w:color w:val="006100"/>
          <w:sz w:val="20"/>
        </w:rPr>
      </w:pPr>
    </w:p>
    <w:p w14:paraId="6A3D8174" w14:textId="323D0636" w:rsidR="00615E2D" w:rsidRDefault="00C83E46">
      <w:pPr>
        <w:pStyle w:val="FooterText"/>
        <w:rPr>
          <w:noProof/>
        </w:rPr>
      </w:pPr>
      <w:r>
        <w:rPr>
          <w:noProof/>
        </w:rPr>
        <w:t>2.2. Drugi zahtjev za plaćanje (potpora u obliku zajma):</w:t>
      </w:r>
    </w:p>
    <w:p w14:paraId="68B3BF77" w14:textId="21A82384" w:rsidR="00615E2D" w:rsidRDefault="00615E2D">
      <w:pPr>
        <w:spacing w:before="0" w:after="0" w:line="240" w:lineRule="auto"/>
        <w:jc w:val="center"/>
        <w:rPr>
          <w:rFonts w:eastAsia="Times New Roman"/>
          <w:noProof/>
          <w:color w:val="006100"/>
          <w:sz w:val="20"/>
        </w:rPr>
      </w:pPr>
    </w:p>
    <w:tbl>
      <w:tblPr>
        <w:tblW w:w="0" w:type="auto"/>
        <w:tblInd w:w="-601" w:type="dxa"/>
        <w:tblLook w:val="04A0" w:firstRow="1" w:lastRow="0" w:firstColumn="1" w:lastColumn="0" w:noHBand="0" w:noVBand="1"/>
      </w:tblPr>
      <w:tblGrid>
        <w:gridCol w:w="1273"/>
        <w:gridCol w:w="3843"/>
        <w:gridCol w:w="1809"/>
        <w:gridCol w:w="3295"/>
      </w:tblGrid>
      <w:tr w:rsidR="00615E2D" w14:paraId="6CC68918" w14:textId="77777777">
        <w:trPr>
          <w:trHeight w:val="825"/>
        </w:trPr>
        <w:tc>
          <w:tcPr>
            <w:tcW w:w="1273" w:type="dxa"/>
            <w:tcBorders>
              <w:top w:val="single" w:sz="8" w:space="0" w:color="auto"/>
              <w:left w:val="single" w:sz="8" w:space="0" w:color="auto"/>
              <w:bottom w:val="single" w:sz="8" w:space="0" w:color="auto"/>
              <w:right w:val="single" w:sz="8" w:space="0" w:color="auto"/>
            </w:tcBorders>
            <w:shd w:val="clear" w:color="auto" w:fill="BDD7EE"/>
            <w:vAlign w:val="center"/>
          </w:tcPr>
          <w:p w14:paraId="7594C68F" w14:textId="77777777" w:rsidR="00615E2D" w:rsidRDefault="00C83E46">
            <w:pPr>
              <w:pStyle w:val="P68B1DB1-Normal57"/>
              <w:spacing w:before="0" w:after="0" w:line="240" w:lineRule="auto"/>
              <w:jc w:val="center"/>
              <w:rPr>
                <w:noProof/>
              </w:rPr>
            </w:pPr>
            <w:r>
              <w:rPr>
                <w:noProof/>
              </w:rPr>
              <w:t>Redni broj</w:t>
            </w:r>
          </w:p>
        </w:tc>
        <w:tc>
          <w:tcPr>
            <w:tcW w:w="3843" w:type="dxa"/>
            <w:tcBorders>
              <w:top w:val="single" w:sz="8" w:space="0" w:color="auto"/>
              <w:left w:val="nil"/>
              <w:bottom w:val="single" w:sz="8" w:space="0" w:color="auto"/>
              <w:right w:val="single" w:sz="8" w:space="0" w:color="auto"/>
            </w:tcBorders>
            <w:shd w:val="clear" w:color="auto" w:fill="BDD7EE"/>
            <w:vAlign w:val="center"/>
          </w:tcPr>
          <w:p w14:paraId="6ADB0D69" w14:textId="77777777" w:rsidR="00615E2D" w:rsidRDefault="00C83E46">
            <w:pPr>
              <w:pStyle w:val="P68B1DB1-Normal57"/>
              <w:spacing w:before="0" w:after="0" w:line="240" w:lineRule="auto"/>
              <w:jc w:val="center"/>
              <w:rPr>
                <w:noProof/>
              </w:rPr>
            </w:pPr>
            <w:r>
              <w:rPr>
                <w:noProof/>
              </w:rPr>
              <w:t>Povezana mjera (reforma ili ulaganje)</w:t>
            </w:r>
          </w:p>
        </w:tc>
        <w:tc>
          <w:tcPr>
            <w:tcW w:w="1809" w:type="dxa"/>
            <w:tcBorders>
              <w:top w:val="single" w:sz="8" w:space="0" w:color="auto"/>
              <w:left w:val="nil"/>
              <w:bottom w:val="single" w:sz="8" w:space="0" w:color="auto"/>
              <w:right w:val="single" w:sz="8" w:space="0" w:color="auto"/>
            </w:tcBorders>
            <w:shd w:val="clear" w:color="auto" w:fill="BDD7EE"/>
            <w:vAlign w:val="center"/>
          </w:tcPr>
          <w:p w14:paraId="404DEECC" w14:textId="77777777" w:rsidR="00615E2D" w:rsidRDefault="00C83E46">
            <w:pPr>
              <w:pStyle w:val="P68B1DB1-Normal57"/>
              <w:spacing w:before="0" w:after="0" w:line="240" w:lineRule="auto"/>
              <w:jc w:val="center"/>
              <w:rPr>
                <w:noProof/>
              </w:rPr>
            </w:pPr>
            <w:r>
              <w:rPr>
                <w:noProof/>
              </w:rPr>
              <w:t>Ključna etapa/ciljna vrijednost</w:t>
            </w:r>
          </w:p>
        </w:tc>
        <w:tc>
          <w:tcPr>
            <w:tcW w:w="3295" w:type="dxa"/>
            <w:tcBorders>
              <w:top w:val="single" w:sz="8" w:space="0" w:color="auto"/>
              <w:left w:val="nil"/>
              <w:bottom w:val="single" w:sz="8" w:space="0" w:color="auto"/>
              <w:right w:val="single" w:sz="8" w:space="0" w:color="auto"/>
            </w:tcBorders>
            <w:shd w:val="clear" w:color="auto" w:fill="BDD7EE"/>
            <w:vAlign w:val="center"/>
          </w:tcPr>
          <w:p w14:paraId="4B6EF33C" w14:textId="77777777" w:rsidR="00615E2D" w:rsidRDefault="00C83E46">
            <w:pPr>
              <w:pStyle w:val="P68B1DB1-Normal57"/>
              <w:spacing w:before="0" w:after="0" w:line="240" w:lineRule="auto"/>
              <w:jc w:val="center"/>
              <w:rPr>
                <w:noProof/>
              </w:rPr>
            </w:pPr>
            <w:r>
              <w:rPr>
                <w:noProof/>
              </w:rPr>
              <w:t>Ime</w:t>
            </w:r>
          </w:p>
        </w:tc>
      </w:tr>
      <w:tr w:rsidR="00615E2D" w14:paraId="2867E511" w14:textId="77777777">
        <w:trPr>
          <w:trHeight w:val="795"/>
        </w:trPr>
        <w:tc>
          <w:tcPr>
            <w:tcW w:w="1273"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376BEFB0" w14:textId="1DC94611" w:rsidR="00615E2D" w:rsidRDefault="00C83E46">
            <w:pPr>
              <w:pStyle w:val="P68B1DB1-Normal57"/>
              <w:spacing w:line="240" w:lineRule="auto"/>
              <w:jc w:val="center"/>
              <w:rPr>
                <w:noProof/>
              </w:rPr>
            </w:pPr>
            <w:r>
              <w:rPr>
                <w:noProof/>
              </w:rPr>
              <w:t>251</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20E852CE" w14:textId="02A612E0" w:rsidR="00615E2D" w:rsidRDefault="00C83E46">
            <w:pPr>
              <w:pStyle w:val="P68B1DB1-Normal57"/>
              <w:spacing w:before="0" w:after="0" w:line="240" w:lineRule="auto"/>
              <w:jc w:val="center"/>
              <w:rPr>
                <w:noProof/>
              </w:rPr>
            </w:pPr>
            <w:r>
              <w:rPr>
                <w:noProof/>
              </w:rPr>
              <w:t>C 1.4.: Digitalno gospodarstvo i društvo, Inovativni početak i ulaganja u nove tehnologije 13: Sredstva za razvoj strateških tehnologija</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46929A31" w14:textId="6E13B94A" w:rsidR="00615E2D" w:rsidRDefault="00C83E46">
            <w:pPr>
              <w:pStyle w:val="P68B1DB1-Normal57"/>
              <w:spacing w:before="0" w:after="0" w:line="240" w:lineRule="auto"/>
              <w:jc w:val="center"/>
              <w:rPr>
                <w:noProof/>
              </w:rPr>
            </w:pPr>
            <w:r>
              <w:rPr>
                <w:noProof/>
              </w:rPr>
              <w:t>Prekretnica</w:t>
            </w:r>
          </w:p>
        </w:tc>
        <w:tc>
          <w:tcPr>
            <w:tcW w:w="3295" w:type="dxa"/>
            <w:tcBorders>
              <w:top w:val="nil"/>
              <w:left w:val="nil"/>
              <w:bottom w:val="single" w:sz="4" w:space="0" w:color="000000" w:themeColor="text1"/>
              <w:right w:val="single" w:sz="8" w:space="0" w:color="000000" w:themeColor="text1"/>
            </w:tcBorders>
            <w:shd w:val="clear" w:color="auto" w:fill="C6EFCE"/>
            <w:vAlign w:val="center"/>
          </w:tcPr>
          <w:p w14:paraId="55903F28" w14:textId="05B83802" w:rsidR="00615E2D" w:rsidRDefault="00C83E46">
            <w:pPr>
              <w:pStyle w:val="P68B1DB1-Normal57"/>
              <w:spacing w:before="0" w:after="0" w:line="240" w:lineRule="auto"/>
              <w:jc w:val="center"/>
              <w:rPr>
                <w:noProof/>
              </w:rPr>
            </w:pPr>
            <w:r>
              <w:rPr>
                <w:noProof/>
              </w:rPr>
              <w:t xml:space="preserve">Provedbeni sporazum </w:t>
            </w:r>
          </w:p>
        </w:tc>
      </w:tr>
      <w:tr w:rsidR="00615E2D" w14:paraId="2F43D265"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3C6BC4FC" w14:textId="664C65BA" w:rsidR="00615E2D" w:rsidRDefault="00C83E46">
            <w:pPr>
              <w:pStyle w:val="P68B1DB1-Normal57"/>
              <w:spacing w:before="0" w:after="0" w:line="240" w:lineRule="auto"/>
              <w:jc w:val="center"/>
              <w:rPr>
                <w:noProof/>
              </w:rPr>
            </w:pPr>
            <w:r>
              <w:rPr>
                <w:noProof/>
              </w:rPr>
              <w:t>264</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5BAF0F8D" w14:textId="4BA47D25" w:rsidR="00615E2D" w:rsidRDefault="00C83E46">
            <w:pPr>
              <w:pStyle w:val="P68B1DB1-Normal57"/>
              <w:spacing w:before="0" w:after="0" w:line="240" w:lineRule="auto"/>
              <w:jc w:val="center"/>
              <w:rPr>
                <w:noProof/>
              </w:rPr>
            </w:pPr>
            <w:r>
              <w:rPr>
                <w:noProof/>
              </w:rPr>
              <w:t xml:space="preserve">C2.10 Priuštivi stambeni objekti – ulaganje 1: </w:t>
            </w:r>
          </w:p>
          <w:p w14:paraId="28923219" w14:textId="4EA3E7E0" w:rsidR="00615E2D" w:rsidRDefault="00C83E46">
            <w:pPr>
              <w:pStyle w:val="P68B1DB1-Normal57"/>
              <w:spacing w:before="0" w:after="0" w:line="240" w:lineRule="auto"/>
              <w:jc w:val="center"/>
              <w:rPr>
                <w:noProof/>
              </w:rPr>
            </w:pPr>
            <w:r>
              <w:rPr>
                <w:noProof/>
              </w:rPr>
              <w:t xml:space="preserve">Povlaštena kreditna linija </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62A60C10" w14:textId="0C0AEB43" w:rsidR="00615E2D" w:rsidRDefault="00C83E46">
            <w:pPr>
              <w:pStyle w:val="P68B1DB1-Normal57"/>
              <w:spacing w:before="0" w:after="0" w:line="240" w:lineRule="auto"/>
              <w:jc w:val="center"/>
              <w:rPr>
                <w:noProof/>
              </w:rPr>
            </w:pPr>
            <w:r>
              <w:rPr>
                <w:noProof/>
              </w:rPr>
              <w:t xml:space="preserve">Prekretnica </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3930B6DF" w14:textId="484C8FCA" w:rsidR="00615E2D" w:rsidRDefault="00C83E46">
            <w:pPr>
              <w:pStyle w:val="P68B1DB1-Normal57"/>
              <w:spacing w:before="0" w:after="0" w:line="240" w:lineRule="auto"/>
              <w:jc w:val="center"/>
              <w:rPr>
                <w:noProof/>
              </w:rPr>
            </w:pPr>
            <w:r>
              <w:rPr>
                <w:noProof/>
              </w:rPr>
              <w:t>Provedbeni sporazum</w:t>
            </w:r>
          </w:p>
        </w:tc>
      </w:tr>
      <w:tr w:rsidR="00615E2D" w14:paraId="6437101F"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1B9E348D" w14:textId="7BB80CBC" w:rsidR="00615E2D" w:rsidRDefault="00C83E46">
            <w:pPr>
              <w:pStyle w:val="P68B1DB1-Normal57"/>
              <w:spacing w:line="240" w:lineRule="auto"/>
              <w:jc w:val="center"/>
              <w:rPr>
                <w:noProof/>
              </w:rPr>
            </w:pPr>
            <w:r>
              <w:rPr>
                <w:noProof/>
              </w:rPr>
              <w:t>267</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37AB497D" w14:textId="31D2F5E9" w:rsidR="00615E2D" w:rsidRDefault="00C83E46">
            <w:pPr>
              <w:pStyle w:val="P68B1DB1-Normal57"/>
              <w:spacing w:before="0" w:after="0" w:line="240" w:lineRule="auto"/>
              <w:jc w:val="center"/>
              <w:rPr>
                <w:noProof/>
              </w:rPr>
            </w:pPr>
            <w:r>
              <w:rPr>
                <w:noProof/>
              </w:rPr>
              <w:t xml:space="preserve">C2.10 Povoljna stambena nekretnina – ulaganje 2:  </w:t>
            </w:r>
          </w:p>
          <w:p w14:paraId="3EC46671" w14:textId="529E32E6" w:rsidR="00615E2D" w:rsidRDefault="00C83E46">
            <w:pPr>
              <w:pStyle w:val="P68B1DB1-Normal57"/>
              <w:spacing w:before="0" w:after="0" w:line="240" w:lineRule="auto"/>
              <w:jc w:val="center"/>
              <w:rPr>
                <w:noProof/>
              </w:rPr>
            </w:pPr>
            <w:r>
              <w:rPr>
                <w:noProof/>
              </w:rPr>
              <w:t xml:space="preserve">Podređeni kreditni instrument </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4273C921" w14:textId="417E2F37" w:rsidR="00615E2D" w:rsidRDefault="00C83E46">
            <w:pPr>
              <w:pStyle w:val="P68B1DB1-Normal57"/>
              <w:spacing w:before="0" w:after="0" w:line="240" w:lineRule="auto"/>
              <w:jc w:val="center"/>
              <w:rPr>
                <w:noProof/>
              </w:rPr>
            </w:pPr>
            <w:r>
              <w:rPr>
                <w:noProof/>
              </w:rPr>
              <w:t xml:space="preserve">Prekretnica </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63AB04D2" w14:textId="426C0DD6" w:rsidR="00615E2D" w:rsidRDefault="00C83E46">
            <w:pPr>
              <w:pStyle w:val="P68B1DB1-Normal57"/>
              <w:spacing w:before="0" w:after="0" w:line="240" w:lineRule="auto"/>
              <w:jc w:val="center"/>
              <w:rPr>
                <w:noProof/>
              </w:rPr>
            </w:pPr>
            <w:r>
              <w:rPr>
                <w:noProof/>
              </w:rPr>
              <w:t>Provedbeni sporazum</w:t>
            </w:r>
          </w:p>
        </w:tc>
      </w:tr>
      <w:tr w:rsidR="00615E2D" w14:paraId="3C26A83E"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52F0B821" w14:textId="1AA2DFE3" w:rsidR="00615E2D" w:rsidRDefault="00C83E46">
            <w:pPr>
              <w:pStyle w:val="P68B1DB1-Normal57"/>
              <w:spacing w:line="240" w:lineRule="auto"/>
              <w:jc w:val="center"/>
              <w:rPr>
                <w:noProof/>
              </w:rPr>
            </w:pPr>
            <w:r>
              <w:rPr>
                <w:noProof/>
              </w:rPr>
              <w:t>270</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57801562" w14:textId="3AD0FF4C" w:rsidR="00615E2D" w:rsidRDefault="00C83E46">
            <w:pPr>
              <w:pStyle w:val="P68B1DB1-Normal57"/>
              <w:spacing w:before="0" w:after="0" w:line="240" w:lineRule="auto"/>
              <w:jc w:val="center"/>
              <w:rPr>
                <w:noProof/>
              </w:rPr>
            </w:pPr>
            <w:r>
              <w:rPr>
                <w:noProof/>
              </w:rPr>
              <w:t xml:space="preserve">C2.10 Povoljna stambena nekretnina – ulaganje 3:  </w:t>
            </w:r>
          </w:p>
          <w:p w14:paraId="4F0A29F8" w14:textId="1A862866" w:rsidR="00615E2D" w:rsidRDefault="00C83E46">
            <w:pPr>
              <w:pStyle w:val="P68B1DB1-Normal57"/>
              <w:spacing w:before="0" w:after="0" w:line="240" w:lineRule="auto"/>
              <w:jc w:val="center"/>
              <w:rPr>
                <w:noProof/>
              </w:rPr>
            </w:pPr>
            <w:r>
              <w:rPr>
                <w:noProof/>
              </w:rPr>
              <w:t xml:space="preserve">Instrument za zajedničko ulaganje </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3DF76457" w14:textId="4E6D8B89" w:rsidR="00615E2D" w:rsidRDefault="00C83E46">
            <w:pPr>
              <w:pStyle w:val="P68B1DB1-Normal57"/>
              <w:spacing w:before="0" w:after="0" w:line="240" w:lineRule="auto"/>
              <w:jc w:val="center"/>
              <w:rPr>
                <w:noProof/>
              </w:rPr>
            </w:pPr>
            <w:r>
              <w:rPr>
                <w:noProof/>
              </w:rPr>
              <w:t xml:space="preserve">Prekretnica </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0305B9B4" w14:textId="3D9C09CC" w:rsidR="00615E2D" w:rsidRDefault="00C83E46">
            <w:pPr>
              <w:pStyle w:val="P68B1DB1-Normal57"/>
              <w:spacing w:before="0" w:after="0" w:line="240" w:lineRule="auto"/>
              <w:jc w:val="center"/>
              <w:rPr>
                <w:noProof/>
              </w:rPr>
            </w:pPr>
            <w:r>
              <w:rPr>
                <w:noProof/>
              </w:rPr>
              <w:t>Provedbeni sporazum</w:t>
            </w:r>
          </w:p>
        </w:tc>
      </w:tr>
      <w:tr w:rsidR="00615E2D" w14:paraId="064A0B25"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5F3B8BE7" w14:textId="4CF06B22" w:rsidR="00615E2D" w:rsidRDefault="00615E2D">
            <w:pPr>
              <w:spacing w:line="240" w:lineRule="auto"/>
              <w:jc w:val="center"/>
              <w:rPr>
                <w:rFonts w:eastAsia="Times New Roman"/>
                <w:noProof/>
                <w:color w:val="006100"/>
                <w:sz w:val="20"/>
              </w:rPr>
            </w:pP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3950608B" w14:textId="134A592E" w:rsidR="00615E2D" w:rsidRDefault="00615E2D">
            <w:pPr>
              <w:spacing w:line="240" w:lineRule="auto"/>
              <w:jc w:val="center"/>
              <w:rPr>
                <w:rFonts w:eastAsia="Times New Roman"/>
                <w:noProof/>
                <w:color w:val="006100"/>
                <w:sz w:val="20"/>
              </w:rPr>
            </w:pP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3860D8C9" w14:textId="585EC65F" w:rsidR="00615E2D" w:rsidRDefault="00C83E46">
            <w:pPr>
              <w:pStyle w:val="P68B1DB1-Normal59"/>
              <w:spacing w:line="240" w:lineRule="auto"/>
              <w:jc w:val="center"/>
              <w:rPr>
                <w:noProof/>
              </w:rPr>
            </w:pPr>
            <w:r>
              <w:rPr>
                <w:noProof/>
              </w:rPr>
              <w:t>Iznos obroka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1D8EFBA9" w14:textId="010ECF07" w:rsidR="00615E2D" w:rsidRDefault="00C83E46">
            <w:pPr>
              <w:pStyle w:val="P68B1DB1-Normal59"/>
              <w:spacing w:line="240" w:lineRule="auto"/>
              <w:jc w:val="center"/>
              <w:rPr>
                <w:noProof/>
              </w:rPr>
            </w:pPr>
            <w:r>
              <w:rPr>
                <w:noProof/>
              </w:rPr>
              <w:t>381797096 EURA</w:t>
            </w:r>
          </w:p>
        </w:tc>
      </w:tr>
    </w:tbl>
    <w:p w14:paraId="0BA81D0D" w14:textId="2DE9E57D" w:rsidR="00615E2D" w:rsidRDefault="00615E2D">
      <w:pPr>
        <w:spacing w:line="240" w:lineRule="auto"/>
        <w:jc w:val="both"/>
        <w:rPr>
          <w:rFonts w:eastAsia="Times New Roman"/>
          <w:noProof/>
        </w:rPr>
      </w:pPr>
    </w:p>
    <w:p w14:paraId="181B6FDE" w14:textId="45519F88" w:rsidR="00615E2D" w:rsidRDefault="00C83E46">
      <w:pPr>
        <w:spacing w:line="240" w:lineRule="auto"/>
        <w:rPr>
          <w:noProof/>
        </w:rPr>
      </w:pPr>
      <w:r>
        <w:rPr>
          <w:noProof/>
        </w:rPr>
        <w:br w:type="page"/>
      </w:r>
    </w:p>
    <w:p w14:paraId="12C6FC85" w14:textId="20754B0B" w:rsidR="00615E2D" w:rsidRDefault="00C83E46">
      <w:pPr>
        <w:pStyle w:val="FooterText"/>
        <w:rPr>
          <w:noProof/>
        </w:rPr>
      </w:pPr>
      <w:r>
        <w:rPr>
          <w:noProof/>
        </w:rPr>
        <w:t>2.3. Treći zahtjev za plaćanje (potpora u obliku zajma):</w:t>
      </w:r>
    </w:p>
    <w:p w14:paraId="7891A001" w14:textId="21A82384" w:rsidR="00615E2D" w:rsidRDefault="00615E2D">
      <w:pPr>
        <w:spacing w:before="0" w:after="0" w:line="240" w:lineRule="auto"/>
        <w:jc w:val="center"/>
        <w:rPr>
          <w:rFonts w:eastAsia="Times New Roman"/>
          <w:noProof/>
          <w:color w:val="006100"/>
          <w:sz w:val="20"/>
        </w:rPr>
      </w:pPr>
    </w:p>
    <w:tbl>
      <w:tblPr>
        <w:tblW w:w="0" w:type="auto"/>
        <w:tblInd w:w="-601" w:type="dxa"/>
        <w:tblLook w:val="04A0" w:firstRow="1" w:lastRow="0" w:firstColumn="1" w:lastColumn="0" w:noHBand="0" w:noVBand="1"/>
      </w:tblPr>
      <w:tblGrid>
        <w:gridCol w:w="1273"/>
        <w:gridCol w:w="3843"/>
        <w:gridCol w:w="1809"/>
        <w:gridCol w:w="3295"/>
      </w:tblGrid>
      <w:tr w:rsidR="00615E2D" w14:paraId="0D97BCB4" w14:textId="77777777">
        <w:trPr>
          <w:trHeight w:val="825"/>
        </w:trPr>
        <w:tc>
          <w:tcPr>
            <w:tcW w:w="1273" w:type="dxa"/>
            <w:tcBorders>
              <w:top w:val="single" w:sz="8" w:space="0" w:color="auto"/>
              <w:left w:val="single" w:sz="8" w:space="0" w:color="auto"/>
              <w:bottom w:val="single" w:sz="8" w:space="0" w:color="auto"/>
              <w:right w:val="single" w:sz="8" w:space="0" w:color="auto"/>
            </w:tcBorders>
            <w:shd w:val="clear" w:color="auto" w:fill="BDD7EE"/>
            <w:vAlign w:val="center"/>
          </w:tcPr>
          <w:p w14:paraId="5861C1C1" w14:textId="77777777" w:rsidR="00615E2D" w:rsidRDefault="00C83E46">
            <w:pPr>
              <w:pStyle w:val="P68B1DB1-Normal57"/>
              <w:spacing w:before="0" w:after="0" w:line="240" w:lineRule="auto"/>
              <w:jc w:val="center"/>
              <w:rPr>
                <w:noProof/>
              </w:rPr>
            </w:pPr>
            <w:r>
              <w:rPr>
                <w:noProof/>
              </w:rPr>
              <w:t>Redni broj</w:t>
            </w:r>
          </w:p>
        </w:tc>
        <w:tc>
          <w:tcPr>
            <w:tcW w:w="3843" w:type="dxa"/>
            <w:tcBorders>
              <w:top w:val="single" w:sz="8" w:space="0" w:color="auto"/>
              <w:left w:val="nil"/>
              <w:bottom w:val="single" w:sz="8" w:space="0" w:color="auto"/>
              <w:right w:val="single" w:sz="8" w:space="0" w:color="auto"/>
            </w:tcBorders>
            <w:shd w:val="clear" w:color="auto" w:fill="BDD7EE"/>
            <w:vAlign w:val="center"/>
          </w:tcPr>
          <w:p w14:paraId="74E94A68" w14:textId="77777777" w:rsidR="00615E2D" w:rsidRDefault="00C83E46">
            <w:pPr>
              <w:pStyle w:val="P68B1DB1-Normal57"/>
              <w:spacing w:before="0" w:after="0" w:line="240" w:lineRule="auto"/>
              <w:jc w:val="center"/>
              <w:rPr>
                <w:noProof/>
              </w:rPr>
            </w:pPr>
            <w:r>
              <w:rPr>
                <w:noProof/>
              </w:rPr>
              <w:t>Povezana mjera (reforma ili ulaganje)</w:t>
            </w:r>
          </w:p>
        </w:tc>
        <w:tc>
          <w:tcPr>
            <w:tcW w:w="1809" w:type="dxa"/>
            <w:tcBorders>
              <w:top w:val="single" w:sz="8" w:space="0" w:color="auto"/>
              <w:left w:val="nil"/>
              <w:bottom w:val="single" w:sz="8" w:space="0" w:color="auto"/>
              <w:right w:val="single" w:sz="8" w:space="0" w:color="auto"/>
            </w:tcBorders>
            <w:shd w:val="clear" w:color="auto" w:fill="BDD7EE"/>
            <w:vAlign w:val="center"/>
          </w:tcPr>
          <w:p w14:paraId="0C3B7A1D" w14:textId="77777777" w:rsidR="00615E2D" w:rsidRDefault="00C83E46">
            <w:pPr>
              <w:pStyle w:val="P68B1DB1-Normal57"/>
              <w:spacing w:before="0" w:after="0" w:line="240" w:lineRule="auto"/>
              <w:jc w:val="center"/>
              <w:rPr>
                <w:noProof/>
              </w:rPr>
            </w:pPr>
            <w:r>
              <w:rPr>
                <w:noProof/>
              </w:rPr>
              <w:t>Ključna etapa/ciljna vrijednost</w:t>
            </w:r>
          </w:p>
        </w:tc>
        <w:tc>
          <w:tcPr>
            <w:tcW w:w="3295" w:type="dxa"/>
            <w:tcBorders>
              <w:top w:val="single" w:sz="8" w:space="0" w:color="auto"/>
              <w:left w:val="nil"/>
              <w:bottom w:val="single" w:sz="8" w:space="0" w:color="auto"/>
              <w:right w:val="single" w:sz="8" w:space="0" w:color="auto"/>
            </w:tcBorders>
            <w:shd w:val="clear" w:color="auto" w:fill="BDD7EE"/>
            <w:vAlign w:val="center"/>
          </w:tcPr>
          <w:p w14:paraId="59BE3930" w14:textId="77777777" w:rsidR="00615E2D" w:rsidRDefault="00C83E46">
            <w:pPr>
              <w:pStyle w:val="P68B1DB1-Normal57"/>
              <w:spacing w:before="0" w:after="0" w:line="240" w:lineRule="auto"/>
              <w:jc w:val="center"/>
              <w:rPr>
                <w:noProof/>
              </w:rPr>
            </w:pPr>
            <w:r>
              <w:rPr>
                <w:noProof/>
              </w:rPr>
              <w:t>Ime</w:t>
            </w:r>
          </w:p>
        </w:tc>
      </w:tr>
      <w:tr w:rsidR="00615E2D" w14:paraId="25DCFEBE" w14:textId="77777777">
        <w:trPr>
          <w:trHeight w:val="1185"/>
        </w:trPr>
        <w:tc>
          <w:tcPr>
            <w:tcW w:w="1273"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5FFD7596" w14:textId="569AFC0B" w:rsidR="00615E2D" w:rsidRDefault="00C83E46">
            <w:pPr>
              <w:pStyle w:val="P68B1DB1-Normal57"/>
              <w:spacing w:before="0" w:after="0" w:line="240" w:lineRule="auto"/>
              <w:jc w:val="center"/>
              <w:rPr>
                <w:noProof/>
              </w:rPr>
            </w:pPr>
            <w:r>
              <w:rPr>
                <w:noProof/>
              </w:rPr>
              <w:t>248</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112713F8" w14:textId="5675B012" w:rsidR="00615E2D" w:rsidRDefault="00C83E46">
            <w:pPr>
              <w:pStyle w:val="P68B1DB1-Normal57"/>
              <w:spacing w:before="0" w:after="0" w:line="240" w:lineRule="auto"/>
              <w:jc w:val="center"/>
              <w:rPr>
                <w:noProof/>
              </w:rPr>
            </w:pPr>
            <w:r>
              <w:rPr>
                <w:noProof/>
              </w:rPr>
              <w:t>C 1.2.: Sustavi digitalne javne uprave —</w:t>
            </w:r>
          </w:p>
          <w:p w14:paraId="506CFB2D" w14:textId="5675B012" w:rsidR="00615E2D" w:rsidRDefault="00C83E46">
            <w:pPr>
              <w:pStyle w:val="P68B1DB1-Normal57"/>
              <w:spacing w:before="0" w:after="0" w:line="240" w:lineRule="auto"/>
              <w:jc w:val="center"/>
              <w:rPr>
                <w:noProof/>
              </w:rPr>
            </w:pPr>
            <w:r>
              <w:rPr>
                <w:noProof/>
              </w:rPr>
              <w:t xml:space="preserve">Ulaganja: Dodatna sredstva za ulaganja u kibersigurnost </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60B6D253" w14:textId="5675B012" w:rsidR="00615E2D" w:rsidRDefault="00C83E46">
            <w:pPr>
              <w:pStyle w:val="P68B1DB1-Normal57"/>
              <w:spacing w:before="0" w:after="0" w:line="240" w:lineRule="auto"/>
              <w:jc w:val="center"/>
              <w:rPr>
                <w:noProof/>
              </w:rPr>
            </w:pPr>
            <w:r>
              <w:rPr>
                <w:noProof/>
              </w:rPr>
              <w:t xml:space="preserve">Ciljna </w:t>
            </w:r>
          </w:p>
        </w:tc>
        <w:tc>
          <w:tcPr>
            <w:tcW w:w="3295" w:type="dxa"/>
            <w:tcBorders>
              <w:top w:val="nil"/>
              <w:left w:val="nil"/>
              <w:bottom w:val="single" w:sz="4" w:space="0" w:color="000000" w:themeColor="text1"/>
              <w:right w:val="single" w:sz="8" w:space="0" w:color="000000" w:themeColor="text1"/>
            </w:tcBorders>
            <w:shd w:val="clear" w:color="auto" w:fill="C6EFCE"/>
            <w:vAlign w:val="center"/>
          </w:tcPr>
          <w:p w14:paraId="4F88B704" w14:textId="5675B012" w:rsidR="00615E2D" w:rsidRDefault="00C83E46">
            <w:pPr>
              <w:pStyle w:val="P68B1DB1-Normal57"/>
              <w:spacing w:before="0" w:after="0" w:line="240" w:lineRule="auto"/>
              <w:jc w:val="center"/>
              <w:rPr>
                <w:noProof/>
              </w:rPr>
            </w:pPr>
            <w:r>
              <w:rPr>
                <w:noProof/>
              </w:rPr>
              <w:t xml:space="preserve">Informacijski sustavi čija je kibersigurnost ojačana u skladu sa Zakonom br. 181/2014 zb. o kibersigurnosti  </w:t>
            </w:r>
          </w:p>
        </w:tc>
      </w:tr>
      <w:tr w:rsidR="00615E2D" w14:paraId="6E6EBF4C"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5BE3143D" w14:textId="4CF06B22" w:rsidR="00615E2D" w:rsidRDefault="00615E2D">
            <w:pPr>
              <w:spacing w:line="240" w:lineRule="auto"/>
              <w:jc w:val="center"/>
              <w:rPr>
                <w:rFonts w:eastAsia="Times New Roman"/>
                <w:noProof/>
                <w:color w:val="006100"/>
                <w:sz w:val="20"/>
              </w:rPr>
            </w:pP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2E7F0BB6" w14:textId="134A592E" w:rsidR="00615E2D" w:rsidRDefault="00615E2D">
            <w:pPr>
              <w:spacing w:line="240" w:lineRule="auto"/>
              <w:jc w:val="center"/>
              <w:rPr>
                <w:rFonts w:eastAsia="Times New Roman"/>
                <w:noProof/>
                <w:color w:val="006100"/>
                <w:sz w:val="20"/>
              </w:rPr>
            </w:pP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64E2EE9E" w14:textId="585EC65F" w:rsidR="00615E2D" w:rsidRDefault="00C83E46">
            <w:pPr>
              <w:pStyle w:val="P68B1DB1-Normal59"/>
              <w:spacing w:line="240" w:lineRule="auto"/>
              <w:jc w:val="center"/>
              <w:rPr>
                <w:noProof/>
              </w:rPr>
            </w:pPr>
            <w:r>
              <w:rPr>
                <w:noProof/>
              </w:rPr>
              <w:t>Iznos obroka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11B98F80" w14:textId="696A415A" w:rsidR="00615E2D" w:rsidRDefault="00C83E46">
            <w:pPr>
              <w:pStyle w:val="P68B1DB1-Normal59"/>
              <w:spacing w:line="240" w:lineRule="auto"/>
              <w:jc w:val="center"/>
              <w:rPr>
                <w:noProof/>
              </w:rPr>
            </w:pPr>
            <w:r>
              <w:rPr>
                <w:noProof/>
              </w:rPr>
              <w:t>20453416 EURA</w:t>
            </w:r>
          </w:p>
        </w:tc>
      </w:tr>
    </w:tbl>
    <w:p w14:paraId="6A3F6858" w14:textId="77777777" w:rsidR="00615E2D" w:rsidRDefault="00615E2D">
      <w:pPr>
        <w:spacing w:line="240" w:lineRule="auto"/>
        <w:jc w:val="both"/>
        <w:rPr>
          <w:rFonts w:eastAsia="Times New Roman"/>
          <w:noProof/>
        </w:rPr>
      </w:pPr>
    </w:p>
    <w:p w14:paraId="74A7C534" w14:textId="099A5C7B" w:rsidR="00615E2D" w:rsidRDefault="00C83E46">
      <w:pPr>
        <w:rPr>
          <w:noProof/>
        </w:rPr>
      </w:pPr>
      <w:r>
        <w:rPr>
          <w:noProof/>
        </w:rPr>
        <w:br w:type="page"/>
      </w:r>
    </w:p>
    <w:p w14:paraId="3F96AE82" w14:textId="29F77F3F" w:rsidR="00615E2D" w:rsidRDefault="00C83E46">
      <w:pPr>
        <w:pStyle w:val="FooterText"/>
        <w:rPr>
          <w:noProof/>
        </w:rPr>
      </w:pPr>
      <w:r>
        <w:rPr>
          <w:noProof/>
        </w:rPr>
        <w:t>2.4. Četvrti zahtjev za plaćanje (potpora u obliku zajma):</w:t>
      </w:r>
    </w:p>
    <w:p w14:paraId="6940AB17" w14:textId="21A82384" w:rsidR="00615E2D" w:rsidRDefault="00615E2D">
      <w:pPr>
        <w:spacing w:before="0" w:after="0" w:line="240" w:lineRule="auto"/>
        <w:jc w:val="center"/>
        <w:rPr>
          <w:rFonts w:eastAsia="Times New Roman"/>
          <w:noProof/>
          <w:color w:val="006100"/>
          <w:sz w:val="20"/>
        </w:rPr>
      </w:pPr>
    </w:p>
    <w:tbl>
      <w:tblPr>
        <w:tblW w:w="0" w:type="auto"/>
        <w:tblInd w:w="-601" w:type="dxa"/>
        <w:tblLook w:val="04A0" w:firstRow="1" w:lastRow="0" w:firstColumn="1" w:lastColumn="0" w:noHBand="0" w:noVBand="1"/>
      </w:tblPr>
      <w:tblGrid>
        <w:gridCol w:w="1273"/>
        <w:gridCol w:w="3843"/>
        <w:gridCol w:w="1809"/>
        <w:gridCol w:w="3295"/>
      </w:tblGrid>
      <w:tr w:rsidR="00615E2D" w14:paraId="45A313DB" w14:textId="77777777">
        <w:trPr>
          <w:trHeight w:val="825"/>
        </w:trPr>
        <w:tc>
          <w:tcPr>
            <w:tcW w:w="1273" w:type="dxa"/>
            <w:tcBorders>
              <w:top w:val="single" w:sz="8" w:space="0" w:color="auto"/>
              <w:left w:val="single" w:sz="8" w:space="0" w:color="auto"/>
              <w:bottom w:val="single" w:sz="8" w:space="0" w:color="auto"/>
              <w:right w:val="single" w:sz="8" w:space="0" w:color="auto"/>
            </w:tcBorders>
            <w:shd w:val="clear" w:color="auto" w:fill="BDD7EE"/>
            <w:vAlign w:val="center"/>
          </w:tcPr>
          <w:p w14:paraId="11EA1F4F" w14:textId="77777777" w:rsidR="00615E2D" w:rsidRDefault="00C83E46">
            <w:pPr>
              <w:pStyle w:val="P68B1DB1-Normal57"/>
              <w:spacing w:before="0" w:after="0" w:line="240" w:lineRule="auto"/>
              <w:jc w:val="center"/>
              <w:rPr>
                <w:noProof/>
              </w:rPr>
            </w:pPr>
            <w:r>
              <w:rPr>
                <w:noProof/>
              </w:rPr>
              <w:t>Redni broj</w:t>
            </w:r>
          </w:p>
        </w:tc>
        <w:tc>
          <w:tcPr>
            <w:tcW w:w="3843" w:type="dxa"/>
            <w:tcBorders>
              <w:top w:val="single" w:sz="8" w:space="0" w:color="auto"/>
              <w:left w:val="nil"/>
              <w:bottom w:val="single" w:sz="8" w:space="0" w:color="auto"/>
              <w:right w:val="single" w:sz="8" w:space="0" w:color="auto"/>
            </w:tcBorders>
            <w:shd w:val="clear" w:color="auto" w:fill="BDD7EE"/>
            <w:vAlign w:val="center"/>
          </w:tcPr>
          <w:p w14:paraId="3EE468A8" w14:textId="77777777" w:rsidR="00615E2D" w:rsidRDefault="00C83E46">
            <w:pPr>
              <w:pStyle w:val="P68B1DB1-Normal57"/>
              <w:spacing w:before="0" w:after="0" w:line="240" w:lineRule="auto"/>
              <w:jc w:val="center"/>
              <w:rPr>
                <w:noProof/>
              </w:rPr>
            </w:pPr>
            <w:r>
              <w:rPr>
                <w:noProof/>
              </w:rPr>
              <w:t>Povezana mjera (reforma ili ulaganje)</w:t>
            </w:r>
          </w:p>
        </w:tc>
        <w:tc>
          <w:tcPr>
            <w:tcW w:w="1809" w:type="dxa"/>
            <w:tcBorders>
              <w:top w:val="single" w:sz="8" w:space="0" w:color="auto"/>
              <w:left w:val="nil"/>
              <w:bottom w:val="single" w:sz="8" w:space="0" w:color="auto"/>
              <w:right w:val="single" w:sz="8" w:space="0" w:color="auto"/>
            </w:tcBorders>
            <w:shd w:val="clear" w:color="auto" w:fill="BDD7EE"/>
            <w:vAlign w:val="center"/>
          </w:tcPr>
          <w:p w14:paraId="39F8B63A" w14:textId="77777777" w:rsidR="00615E2D" w:rsidRDefault="00C83E46">
            <w:pPr>
              <w:pStyle w:val="P68B1DB1-Normal57"/>
              <w:spacing w:before="0" w:after="0" w:line="240" w:lineRule="auto"/>
              <w:jc w:val="center"/>
              <w:rPr>
                <w:noProof/>
              </w:rPr>
            </w:pPr>
            <w:r>
              <w:rPr>
                <w:noProof/>
              </w:rPr>
              <w:t>Ključna etapa/ciljna vrijednost</w:t>
            </w:r>
          </w:p>
        </w:tc>
        <w:tc>
          <w:tcPr>
            <w:tcW w:w="3295" w:type="dxa"/>
            <w:tcBorders>
              <w:top w:val="single" w:sz="8" w:space="0" w:color="auto"/>
              <w:left w:val="nil"/>
              <w:bottom w:val="single" w:sz="8" w:space="0" w:color="auto"/>
              <w:right w:val="single" w:sz="8" w:space="0" w:color="auto"/>
            </w:tcBorders>
            <w:shd w:val="clear" w:color="auto" w:fill="BDD7EE"/>
            <w:vAlign w:val="center"/>
          </w:tcPr>
          <w:p w14:paraId="62D40737" w14:textId="77777777" w:rsidR="00615E2D" w:rsidRDefault="00C83E46">
            <w:pPr>
              <w:pStyle w:val="P68B1DB1-Normal57"/>
              <w:spacing w:before="0" w:after="0" w:line="240" w:lineRule="auto"/>
              <w:jc w:val="center"/>
              <w:rPr>
                <w:noProof/>
              </w:rPr>
            </w:pPr>
            <w:r>
              <w:rPr>
                <w:noProof/>
              </w:rPr>
              <w:t>Ime</w:t>
            </w:r>
          </w:p>
        </w:tc>
      </w:tr>
      <w:tr w:rsidR="00615E2D" w14:paraId="33F1F0C3" w14:textId="77777777">
        <w:trPr>
          <w:trHeight w:val="795"/>
        </w:trPr>
        <w:tc>
          <w:tcPr>
            <w:tcW w:w="1273"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5C40898C" w14:textId="1F21002E" w:rsidR="00615E2D" w:rsidRDefault="00C83E46">
            <w:pPr>
              <w:pStyle w:val="P68B1DB1-Normal57"/>
              <w:spacing w:before="0" w:after="0" w:line="240" w:lineRule="auto"/>
              <w:jc w:val="center"/>
              <w:rPr>
                <w:noProof/>
              </w:rPr>
            </w:pPr>
            <w:r>
              <w:rPr>
                <w:noProof/>
              </w:rPr>
              <w:t>246</w:t>
            </w:r>
          </w:p>
        </w:tc>
        <w:tc>
          <w:tcPr>
            <w:tcW w:w="3843"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09743AB8" w14:textId="7A972B4E" w:rsidR="00615E2D" w:rsidRDefault="00C83E46">
            <w:pPr>
              <w:pStyle w:val="P68B1DB1-Normal57"/>
              <w:spacing w:before="0" w:after="0" w:line="240" w:lineRule="auto"/>
              <w:jc w:val="center"/>
              <w:rPr>
                <w:noProof/>
              </w:rPr>
            </w:pPr>
            <w:r>
              <w:rPr>
                <w:noProof/>
              </w:rPr>
              <w:t xml:space="preserve">C1.1.: Digitalne usluge za građane i poduzeća – ulaganje 4: Digitalne usluge za krajnje korisnike u socijalnom području  </w:t>
            </w:r>
          </w:p>
        </w:tc>
        <w:tc>
          <w:tcPr>
            <w:tcW w:w="1809"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4DCB28D1" w14:textId="01E35562" w:rsidR="00615E2D" w:rsidRDefault="00C83E46">
            <w:pPr>
              <w:pStyle w:val="P68B1DB1-Normal57"/>
              <w:spacing w:before="0" w:after="0" w:line="240" w:lineRule="auto"/>
              <w:jc w:val="center"/>
              <w:rPr>
                <w:noProof/>
              </w:rPr>
            </w:pPr>
            <w:r>
              <w:rPr>
                <w:noProof/>
              </w:rPr>
              <w:t xml:space="preserve">Prekretnica </w:t>
            </w:r>
          </w:p>
        </w:tc>
        <w:tc>
          <w:tcPr>
            <w:tcW w:w="3295" w:type="dxa"/>
            <w:tcBorders>
              <w:top w:val="nil"/>
              <w:left w:val="single" w:sz="8" w:space="0" w:color="auto"/>
              <w:bottom w:val="single" w:sz="4" w:space="0" w:color="000000" w:themeColor="text1"/>
              <w:right w:val="single" w:sz="8" w:space="0" w:color="000000" w:themeColor="text1"/>
            </w:tcBorders>
            <w:shd w:val="clear" w:color="auto" w:fill="C6EFCE"/>
            <w:vAlign w:val="center"/>
          </w:tcPr>
          <w:p w14:paraId="50718913" w14:textId="658A414C" w:rsidR="00615E2D" w:rsidRDefault="00C83E46">
            <w:pPr>
              <w:pStyle w:val="P68B1DB1-Normal57"/>
              <w:spacing w:before="0" w:after="0" w:line="240" w:lineRule="auto"/>
              <w:jc w:val="center"/>
              <w:rPr>
                <w:noProof/>
              </w:rPr>
            </w:pPr>
            <w:r>
              <w:rPr>
                <w:noProof/>
              </w:rPr>
              <w:t>Unaprijeđeni samoposlužni portal za Ured rada – područje klijenta II. </w:t>
            </w:r>
          </w:p>
        </w:tc>
      </w:tr>
      <w:tr w:rsidR="00615E2D" w14:paraId="3C0114D5"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24B5CE3F" w14:textId="752F303F" w:rsidR="00615E2D" w:rsidRDefault="00C83E46">
            <w:pPr>
              <w:pStyle w:val="P68B1DB1-Normal57"/>
              <w:spacing w:before="0" w:after="0" w:line="240" w:lineRule="auto"/>
              <w:jc w:val="center"/>
              <w:rPr>
                <w:noProof/>
              </w:rPr>
            </w:pPr>
            <w:r>
              <w:rPr>
                <w:noProof/>
              </w:rPr>
              <w:t>249</w:t>
            </w:r>
          </w:p>
        </w:tc>
        <w:tc>
          <w:tcPr>
            <w:tcW w:w="3843"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tcPr>
          <w:p w14:paraId="55BA5D3B" w14:textId="0ADADF3F" w:rsidR="00615E2D" w:rsidRDefault="00C83E46">
            <w:pPr>
              <w:pStyle w:val="P68B1DB1-Normal57"/>
              <w:spacing w:before="0" w:after="0" w:line="240" w:lineRule="auto"/>
              <w:jc w:val="center"/>
              <w:rPr>
                <w:noProof/>
              </w:rPr>
            </w:pPr>
            <w:r>
              <w:rPr>
                <w:noProof/>
              </w:rPr>
              <w:t xml:space="preserve">C 1.2.: Sustavi digitalne javne uprave – ulaganje: Razvoj informacijskih sustava u socijalnom području </w:t>
            </w:r>
          </w:p>
        </w:tc>
        <w:tc>
          <w:tcPr>
            <w:tcW w:w="1809" w:type="dxa"/>
            <w:tcBorders>
              <w:top w:val="single" w:sz="4" w:space="0" w:color="000000" w:themeColor="text1"/>
              <w:left w:val="nil"/>
              <w:bottom w:val="single" w:sz="8" w:space="0" w:color="000000" w:themeColor="text1"/>
              <w:right w:val="single" w:sz="8" w:space="0" w:color="000000" w:themeColor="text1"/>
            </w:tcBorders>
            <w:shd w:val="clear" w:color="auto" w:fill="C6EFCE"/>
            <w:vAlign w:val="center"/>
          </w:tcPr>
          <w:p w14:paraId="12179F0C" w14:textId="7F5DCE08" w:rsidR="00615E2D" w:rsidRDefault="00C83E46">
            <w:pPr>
              <w:pStyle w:val="P68B1DB1-Normal57"/>
              <w:spacing w:before="0" w:after="0" w:line="240" w:lineRule="auto"/>
              <w:jc w:val="center"/>
              <w:rPr>
                <w:noProof/>
              </w:rPr>
            </w:pPr>
            <w:r>
              <w:rPr>
                <w:noProof/>
              </w:rPr>
              <w:t xml:space="preserve">Ciljna </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1E9DEF70" w14:textId="07CCDFE6" w:rsidR="00615E2D" w:rsidRDefault="00C83E46">
            <w:pPr>
              <w:pStyle w:val="P68B1DB1-Normal57"/>
              <w:spacing w:before="0" w:after="0" w:line="240" w:lineRule="auto"/>
              <w:jc w:val="center"/>
              <w:rPr>
                <w:noProof/>
              </w:rPr>
            </w:pPr>
            <w:r>
              <w:rPr>
                <w:noProof/>
              </w:rPr>
              <w:t>Unaprijeđeni informacijski sustavi javne uprave u području socijalne politike</w:t>
            </w:r>
          </w:p>
        </w:tc>
      </w:tr>
      <w:tr w:rsidR="00615E2D" w14:paraId="097560A9"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15D2D1C4" w14:textId="04BB33E6" w:rsidR="00615E2D" w:rsidRDefault="00C83E46">
            <w:pPr>
              <w:pStyle w:val="P68B1DB1-Normal57"/>
              <w:spacing w:before="0" w:after="0" w:line="240" w:lineRule="auto"/>
              <w:jc w:val="center"/>
              <w:rPr>
                <w:noProof/>
              </w:rPr>
            </w:pPr>
            <w:r>
              <w:rPr>
                <w:noProof/>
              </w:rPr>
              <w:t>252</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7CC4C0A5" w14:textId="51B38459" w:rsidR="00615E2D" w:rsidRDefault="00C83E46">
            <w:pPr>
              <w:pStyle w:val="P68B1DB1-Normal57"/>
              <w:spacing w:before="0" w:after="0" w:line="240" w:lineRule="auto"/>
              <w:jc w:val="center"/>
              <w:rPr>
                <w:noProof/>
              </w:rPr>
            </w:pPr>
            <w:r>
              <w:rPr>
                <w:noProof/>
              </w:rPr>
              <w:t>C 1.4.: Digitalno gospodarstvo i društvo, Inovativan početak i nova tehnologija —</w:t>
            </w:r>
          </w:p>
          <w:p w14:paraId="0328F5D5" w14:textId="7B6337A7" w:rsidR="00615E2D" w:rsidRDefault="00C83E46">
            <w:pPr>
              <w:pStyle w:val="P68B1DB1-Normal57"/>
              <w:spacing w:before="0" w:after="0" w:line="240" w:lineRule="auto"/>
              <w:jc w:val="center"/>
              <w:rPr>
                <w:noProof/>
              </w:rPr>
            </w:pPr>
            <w:r>
              <w:rPr>
                <w:noProof/>
              </w:rPr>
              <w:t xml:space="preserve">Ulaganje 13: Sredstva za razvoj strateških tehnologija </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72F82C42" w14:textId="7AA669C7" w:rsidR="00615E2D" w:rsidRDefault="00C83E46">
            <w:pPr>
              <w:pStyle w:val="P68B1DB1-Normal57"/>
              <w:spacing w:before="0" w:after="0" w:line="240" w:lineRule="auto"/>
              <w:jc w:val="center"/>
              <w:rPr>
                <w:noProof/>
              </w:rPr>
            </w:pPr>
            <w:r>
              <w:rPr>
                <w:noProof/>
              </w:rPr>
              <w:t xml:space="preserve"> Ciljna </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4DCE3519" w14:textId="043191D6" w:rsidR="00615E2D" w:rsidRDefault="00C83E46">
            <w:pPr>
              <w:pStyle w:val="P68B1DB1-Normal57"/>
              <w:spacing w:before="0" w:after="0" w:line="240" w:lineRule="auto"/>
              <w:jc w:val="center"/>
              <w:rPr>
                <w:noProof/>
              </w:rPr>
            </w:pPr>
            <w:r>
              <w:rPr>
                <w:noProof/>
              </w:rPr>
              <w:t>Pravni sporazumi potpisani s financijskim sredstvima</w:t>
            </w:r>
          </w:p>
        </w:tc>
      </w:tr>
      <w:tr w:rsidR="00615E2D" w14:paraId="242DDFD4"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024ECDD6" w14:textId="61994F7D" w:rsidR="00615E2D" w:rsidRDefault="00C83E46">
            <w:pPr>
              <w:pStyle w:val="P68B1DB1-Normal57"/>
              <w:spacing w:line="240" w:lineRule="auto"/>
              <w:jc w:val="center"/>
              <w:rPr>
                <w:noProof/>
              </w:rPr>
            </w:pPr>
            <w:r>
              <w:rPr>
                <w:noProof/>
              </w:rPr>
              <w:t>253</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7DCE2B75" w14:textId="352249A7" w:rsidR="00615E2D" w:rsidRDefault="00C83E46">
            <w:pPr>
              <w:pStyle w:val="P68B1DB1-Normal57"/>
              <w:spacing w:line="240" w:lineRule="auto"/>
              <w:jc w:val="center"/>
              <w:rPr>
                <w:noProof/>
              </w:rPr>
            </w:pPr>
            <w:r>
              <w:rPr>
                <w:noProof/>
              </w:rPr>
              <w:t xml:space="preserve">C 1.4.: Digitalno gospodarstvo i društvo, Inovativni početak i nova tehnologija – ulaganja 13: Sredstva za razvoj strateških tehnologija  </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703A7BA2" w14:textId="47909288" w:rsidR="00615E2D" w:rsidRDefault="00C83E46">
            <w:pPr>
              <w:pStyle w:val="P68B1DB1-Normal57"/>
              <w:spacing w:line="240" w:lineRule="auto"/>
              <w:jc w:val="center"/>
              <w:rPr>
                <w:noProof/>
              </w:rPr>
            </w:pPr>
            <w:r>
              <w:rPr>
                <w:noProof/>
              </w:rPr>
              <w:t>Prekretnica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2F3EC2E7" w14:textId="301D7306" w:rsidR="00615E2D" w:rsidRDefault="00C83E46">
            <w:pPr>
              <w:pStyle w:val="P68B1DB1-Normal57"/>
              <w:spacing w:line="240" w:lineRule="auto"/>
              <w:jc w:val="center"/>
              <w:rPr>
                <w:noProof/>
              </w:rPr>
            </w:pPr>
            <w:r>
              <w:rPr>
                <w:noProof/>
              </w:rPr>
              <w:t>Ministarstvo je dovršilo ulaganje</w:t>
            </w:r>
          </w:p>
        </w:tc>
      </w:tr>
      <w:tr w:rsidR="00615E2D" w14:paraId="434FF0C9"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2EE92005" w14:textId="675DED1C" w:rsidR="00615E2D" w:rsidRDefault="00C83E46">
            <w:pPr>
              <w:pStyle w:val="P68B1DB1-Normal57"/>
              <w:spacing w:line="240" w:lineRule="auto"/>
              <w:jc w:val="center"/>
              <w:rPr>
                <w:noProof/>
              </w:rPr>
            </w:pPr>
            <w:r>
              <w:rPr>
                <w:noProof/>
              </w:rPr>
              <w:t>255</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2073A66B" w14:textId="6B237541" w:rsidR="00615E2D" w:rsidRDefault="00C83E46">
            <w:pPr>
              <w:pStyle w:val="P68B1DB1-Normal57"/>
              <w:spacing w:before="0" w:after="0" w:line="240" w:lineRule="auto"/>
              <w:jc w:val="center"/>
              <w:rPr>
                <w:noProof/>
              </w:rPr>
            </w:pPr>
            <w:r>
              <w:rPr>
                <w:noProof/>
              </w:rPr>
              <w:t>C 1.5.: Digitalna transformacija poduzeća – ulaganje 4: Važni projekti od zajedničkog europskog interesa Mikroelektronika i komunikacijske tehnologije</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7F863A5D" w14:textId="77777777" w:rsidR="00615E2D" w:rsidRDefault="00C83E46">
            <w:pPr>
              <w:pStyle w:val="P68B1DB1-Normal57"/>
              <w:spacing w:before="0" w:after="0" w:line="240" w:lineRule="auto"/>
              <w:jc w:val="center"/>
              <w:rPr>
                <w:noProof/>
              </w:rPr>
            </w:pPr>
            <w:r>
              <w:rPr>
                <w:noProof/>
              </w:rPr>
              <w:t>Ciljna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20CCC2B1" w14:textId="77777777" w:rsidR="00615E2D" w:rsidRDefault="00C83E46">
            <w:pPr>
              <w:pStyle w:val="P68B1DB1-Normal57"/>
              <w:spacing w:before="0" w:after="0" w:line="240" w:lineRule="auto"/>
              <w:jc w:val="center"/>
              <w:rPr>
                <w:noProof/>
              </w:rPr>
            </w:pPr>
            <w:r>
              <w:rPr>
                <w:noProof/>
              </w:rPr>
              <w:t>Razvoj pilot-rješenja</w:t>
            </w:r>
          </w:p>
        </w:tc>
      </w:tr>
      <w:tr w:rsidR="00615E2D" w14:paraId="3A81E81F"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0233FBAC" w14:textId="2AFA74DE" w:rsidR="00615E2D" w:rsidRDefault="00C83E46">
            <w:pPr>
              <w:pStyle w:val="P68B1DB1-Normal57"/>
              <w:spacing w:line="240" w:lineRule="auto"/>
              <w:jc w:val="center"/>
              <w:rPr>
                <w:noProof/>
              </w:rPr>
            </w:pPr>
            <w:r>
              <w:rPr>
                <w:noProof/>
              </w:rPr>
              <w:t>265</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1F5C6101" w14:textId="04EDF9D3" w:rsidR="00615E2D" w:rsidRDefault="00C83E46">
            <w:pPr>
              <w:pStyle w:val="P68B1DB1-Normal57"/>
              <w:spacing w:line="240" w:lineRule="auto"/>
              <w:jc w:val="center"/>
              <w:rPr>
                <w:noProof/>
              </w:rPr>
            </w:pPr>
            <w:r>
              <w:rPr>
                <w:noProof/>
              </w:rPr>
              <w:t>C 2.10 Priuštivo stanovanje – ulaganje 1: Povlaštena kreditna linija</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6F379951" w14:textId="708639CB" w:rsidR="00615E2D" w:rsidRDefault="00C83E46">
            <w:pPr>
              <w:pStyle w:val="P68B1DB1-Normal57"/>
              <w:spacing w:line="240" w:lineRule="auto"/>
              <w:jc w:val="center"/>
              <w:rPr>
                <w:noProof/>
              </w:rPr>
            </w:pPr>
            <w:r>
              <w:rPr>
                <w:noProof/>
              </w:rPr>
              <w:t>Ciljna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4EF06CE3" w14:textId="2D4A0135" w:rsidR="00615E2D" w:rsidRDefault="00C83E46">
            <w:pPr>
              <w:pStyle w:val="P68B1DB1-Normal57"/>
              <w:spacing w:line="240" w:lineRule="auto"/>
              <w:jc w:val="center"/>
              <w:rPr>
                <w:noProof/>
              </w:rPr>
            </w:pPr>
            <w:r>
              <w:rPr>
                <w:noProof/>
              </w:rPr>
              <w:t>Pravni sporazumi potpisani s krajnjim korisnicima</w:t>
            </w:r>
          </w:p>
        </w:tc>
      </w:tr>
      <w:tr w:rsidR="00615E2D" w14:paraId="511C22DC"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1CC6C5F3" w14:textId="77D711DB" w:rsidR="00615E2D" w:rsidRDefault="00C83E46">
            <w:pPr>
              <w:pStyle w:val="P68B1DB1-Normal57"/>
              <w:spacing w:line="240" w:lineRule="auto"/>
              <w:jc w:val="center"/>
              <w:rPr>
                <w:noProof/>
              </w:rPr>
            </w:pPr>
            <w:r>
              <w:rPr>
                <w:noProof/>
              </w:rPr>
              <w:t>266</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7FE6D609" w14:textId="7CB34F3B" w:rsidR="00615E2D" w:rsidRDefault="00C83E46">
            <w:pPr>
              <w:pStyle w:val="P68B1DB1-Normal57"/>
              <w:spacing w:line="240" w:lineRule="auto"/>
              <w:jc w:val="center"/>
              <w:rPr>
                <w:noProof/>
              </w:rPr>
            </w:pPr>
            <w:r>
              <w:rPr>
                <w:noProof/>
              </w:rPr>
              <w:t>C 2.10 Priuštivo stanovanje – ulaganje 1: Povlaštena kreditna linija</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7F7F32C3" w14:textId="3DEAF43F" w:rsidR="00615E2D" w:rsidRDefault="00C83E46">
            <w:pPr>
              <w:pStyle w:val="P68B1DB1-Normal57"/>
              <w:spacing w:line="240" w:lineRule="auto"/>
              <w:jc w:val="center"/>
              <w:rPr>
                <w:noProof/>
              </w:rPr>
            </w:pPr>
            <w:r>
              <w:rPr>
                <w:noProof/>
              </w:rPr>
              <w:t>Prekretnica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40A3E652" w14:textId="28219F87" w:rsidR="00615E2D" w:rsidRDefault="00C83E46">
            <w:pPr>
              <w:pStyle w:val="P68B1DB1-Normal57"/>
              <w:spacing w:line="240" w:lineRule="auto"/>
              <w:jc w:val="center"/>
              <w:rPr>
                <w:noProof/>
              </w:rPr>
            </w:pPr>
            <w:r>
              <w:rPr>
                <w:noProof/>
              </w:rPr>
              <w:t>Ministarstvo je dovršilo ulaganje</w:t>
            </w:r>
          </w:p>
        </w:tc>
      </w:tr>
      <w:tr w:rsidR="00615E2D" w14:paraId="6789EF1D"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47BF021C" w14:textId="4DB41A90" w:rsidR="00615E2D" w:rsidRDefault="00C83E46">
            <w:pPr>
              <w:pStyle w:val="P68B1DB1-Normal57"/>
              <w:spacing w:line="240" w:lineRule="auto"/>
              <w:jc w:val="center"/>
              <w:rPr>
                <w:noProof/>
              </w:rPr>
            </w:pPr>
            <w:r>
              <w:rPr>
                <w:noProof/>
              </w:rPr>
              <w:t>268</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403E7BC9" w14:textId="1D2EC0ED" w:rsidR="00615E2D" w:rsidRDefault="00C83E46">
            <w:pPr>
              <w:pStyle w:val="P68B1DB1-Normal57"/>
              <w:spacing w:line="240" w:lineRule="auto"/>
              <w:jc w:val="center"/>
              <w:rPr>
                <w:noProof/>
              </w:rPr>
            </w:pPr>
            <w:r>
              <w:rPr>
                <w:noProof/>
              </w:rPr>
              <w:t>C 2.10 Povoljno stanovanje – ulaganje 2:  Podređeni kreditni instrument</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201BC710" w14:textId="7F38FF10" w:rsidR="00615E2D" w:rsidRDefault="00C83E46">
            <w:pPr>
              <w:pStyle w:val="P68B1DB1-Normal57"/>
              <w:spacing w:line="240" w:lineRule="auto"/>
              <w:jc w:val="center"/>
              <w:rPr>
                <w:noProof/>
              </w:rPr>
            </w:pPr>
            <w:r>
              <w:rPr>
                <w:noProof/>
              </w:rPr>
              <w:t>Ciljna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67D58A36" w14:textId="29A5AFF1" w:rsidR="00615E2D" w:rsidRDefault="00C83E46">
            <w:pPr>
              <w:pStyle w:val="P68B1DB1-Normal57"/>
              <w:spacing w:line="240" w:lineRule="auto"/>
              <w:jc w:val="center"/>
              <w:rPr>
                <w:noProof/>
              </w:rPr>
            </w:pPr>
            <w:r>
              <w:rPr>
                <w:noProof/>
              </w:rPr>
              <w:t xml:space="preserve">Pravni sporazumi potpisani s krajnjim korisnicima  </w:t>
            </w:r>
          </w:p>
        </w:tc>
      </w:tr>
      <w:tr w:rsidR="00615E2D" w14:paraId="71AFFF4C"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1C7558DD" w14:textId="7764F939" w:rsidR="00615E2D" w:rsidRDefault="00C83E46">
            <w:pPr>
              <w:pStyle w:val="P68B1DB1-Normal57"/>
              <w:spacing w:line="240" w:lineRule="auto"/>
              <w:jc w:val="center"/>
              <w:rPr>
                <w:noProof/>
              </w:rPr>
            </w:pPr>
            <w:r>
              <w:rPr>
                <w:noProof/>
              </w:rPr>
              <w:t>269</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4CAA4F37" w14:textId="5A9B9E96" w:rsidR="00615E2D" w:rsidRDefault="00C83E46">
            <w:pPr>
              <w:pStyle w:val="P68B1DB1-Normal57"/>
              <w:spacing w:line="240" w:lineRule="auto"/>
              <w:jc w:val="center"/>
              <w:rPr>
                <w:noProof/>
              </w:rPr>
            </w:pPr>
            <w:r>
              <w:rPr>
                <w:noProof/>
              </w:rPr>
              <w:t>C 2.10 Povoljno stanovanje – ulaganje 2:  Podređeni kreditni instrument</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04587DD0" w14:textId="4D38567E" w:rsidR="00615E2D" w:rsidRDefault="00C83E46">
            <w:pPr>
              <w:pStyle w:val="P68B1DB1-Normal57"/>
              <w:spacing w:line="240" w:lineRule="auto"/>
              <w:jc w:val="center"/>
              <w:rPr>
                <w:noProof/>
              </w:rPr>
            </w:pPr>
            <w:r>
              <w:rPr>
                <w:noProof/>
              </w:rPr>
              <w:t>Prekretnica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303A0E60" w14:textId="16EDE87D" w:rsidR="00615E2D" w:rsidRDefault="00C83E46">
            <w:pPr>
              <w:pStyle w:val="P68B1DB1-Normal57"/>
              <w:spacing w:line="240" w:lineRule="auto"/>
              <w:jc w:val="center"/>
              <w:rPr>
                <w:noProof/>
              </w:rPr>
            </w:pPr>
            <w:r>
              <w:rPr>
                <w:noProof/>
              </w:rPr>
              <w:t>Ministarstvo je dovršilo ulaganje</w:t>
            </w:r>
          </w:p>
        </w:tc>
      </w:tr>
      <w:tr w:rsidR="00615E2D" w14:paraId="6490F9F6"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2B369A8E" w14:textId="52A0FC7E" w:rsidR="00615E2D" w:rsidRDefault="00C83E46">
            <w:pPr>
              <w:pStyle w:val="P68B1DB1-Normal57"/>
              <w:spacing w:line="240" w:lineRule="auto"/>
              <w:jc w:val="center"/>
              <w:rPr>
                <w:noProof/>
              </w:rPr>
            </w:pPr>
            <w:r>
              <w:rPr>
                <w:noProof/>
              </w:rPr>
              <w:t>271</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5D68FAF1" w14:textId="34330468" w:rsidR="00615E2D" w:rsidRDefault="00C83E46">
            <w:pPr>
              <w:pStyle w:val="P68B1DB1-Normal57"/>
              <w:spacing w:line="240" w:lineRule="auto"/>
              <w:jc w:val="center"/>
              <w:rPr>
                <w:noProof/>
              </w:rPr>
            </w:pPr>
            <w:r>
              <w:rPr>
                <w:noProof/>
              </w:rPr>
              <w:t>C 2.10 Povoljno stanovanje – ulaganje 3:  Instrument za zajedničko ulaganje</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7D85914E" w14:textId="7FCD88CB" w:rsidR="00615E2D" w:rsidRDefault="00C83E46">
            <w:pPr>
              <w:pStyle w:val="P68B1DB1-Normal57"/>
              <w:spacing w:line="240" w:lineRule="auto"/>
              <w:jc w:val="center"/>
              <w:rPr>
                <w:noProof/>
              </w:rPr>
            </w:pPr>
            <w:r>
              <w:rPr>
                <w:noProof/>
              </w:rPr>
              <w:t>Ciljna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7B51F648" w14:textId="14612306" w:rsidR="00615E2D" w:rsidRDefault="00C83E46">
            <w:pPr>
              <w:pStyle w:val="P68B1DB1-Normal57"/>
              <w:spacing w:line="240" w:lineRule="auto"/>
              <w:jc w:val="center"/>
              <w:rPr>
                <w:noProof/>
              </w:rPr>
            </w:pPr>
            <w:r>
              <w:rPr>
                <w:noProof/>
              </w:rPr>
              <w:t xml:space="preserve">Pravni sporazumi potpisani s krajnjim korisnicima  </w:t>
            </w:r>
          </w:p>
        </w:tc>
      </w:tr>
      <w:tr w:rsidR="00615E2D" w14:paraId="18F6A34A"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420D419C" w14:textId="33BBC81A" w:rsidR="00615E2D" w:rsidRDefault="00C83E46">
            <w:pPr>
              <w:pStyle w:val="P68B1DB1-Normal57"/>
              <w:spacing w:line="240" w:lineRule="auto"/>
              <w:jc w:val="center"/>
              <w:rPr>
                <w:noProof/>
              </w:rPr>
            </w:pPr>
            <w:r>
              <w:rPr>
                <w:noProof/>
              </w:rPr>
              <w:t>272</w:t>
            </w: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5BE383DD" w14:textId="21091A1B" w:rsidR="00615E2D" w:rsidRDefault="00C83E46">
            <w:pPr>
              <w:pStyle w:val="P68B1DB1-Normal57"/>
              <w:spacing w:before="0" w:after="0" w:line="240" w:lineRule="auto"/>
              <w:jc w:val="center"/>
              <w:rPr>
                <w:noProof/>
              </w:rPr>
            </w:pPr>
            <w:r>
              <w:rPr>
                <w:noProof/>
              </w:rPr>
              <w:t xml:space="preserve">C 2.10 Povoljno stanovanje – ulaganje 3:  </w:t>
            </w:r>
          </w:p>
          <w:p w14:paraId="06723EEB" w14:textId="3B908FF4" w:rsidR="00615E2D" w:rsidRDefault="00C83E46">
            <w:pPr>
              <w:pStyle w:val="P68B1DB1-Normal57"/>
              <w:spacing w:before="0" w:after="0" w:line="240" w:lineRule="auto"/>
              <w:jc w:val="center"/>
              <w:rPr>
                <w:noProof/>
              </w:rPr>
            </w:pPr>
            <w:r>
              <w:rPr>
                <w:noProof/>
              </w:rPr>
              <w:t>Instrument za zajedničko ulaganje</w:t>
            </w: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256E3728" w14:textId="0AC37596" w:rsidR="00615E2D" w:rsidRDefault="00C83E46">
            <w:pPr>
              <w:pStyle w:val="P68B1DB1-Normal57"/>
              <w:spacing w:before="0" w:after="0" w:line="240" w:lineRule="auto"/>
              <w:jc w:val="center"/>
              <w:rPr>
                <w:noProof/>
              </w:rPr>
            </w:pPr>
            <w:r>
              <w:rPr>
                <w:noProof/>
              </w:rPr>
              <w:t>Prekretnica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6DF17E02" w14:textId="58650711" w:rsidR="00615E2D" w:rsidRDefault="00C83E46">
            <w:pPr>
              <w:pStyle w:val="P68B1DB1-Normal57"/>
              <w:spacing w:before="0" w:after="0" w:line="240" w:lineRule="auto"/>
              <w:jc w:val="center"/>
              <w:rPr>
                <w:noProof/>
              </w:rPr>
            </w:pPr>
            <w:r>
              <w:rPr>
                <w:noProof/>
              </w:rPr>
              <w:t xml:space="preserve">Ministarstvo je dovršilo ulaganje  </w:t>
            </w:r>
          </w:p>
        </w:tc>
      </w:tr>
      <w:tr w:rsidR="00615E2D" w14:paraId="6256E530" w14:textId="77777777">
        <w:trPr>
          <w:trHeight w:val="795"/>
        </w:trPr>
        <w:tc>
          <w:tcPr>
            <w:tcW w:w="1273" w:type="dxa"/>
            <w:tcBorders>
              <w:top w:val="single" w:sz="4" w:space="0" w:color="000000" w:themeColor="text1"/>
              <w:left w:val="single" w:sz="8" w:space="0" w:color="auto"/>
              <w:bottom w:val="single" w:sz="4" w:space="0" w:color="000000" w:themeColor="text1"/>
              <w:right w:val="single" w:sz="8" w:space="0" w:color="000000" w:themeColor="text1"/>
            </w:tcBorders>
            <w:shd w:val="clear" w:color="auto" w:fill="C6EFCE"/>
            <w:vAlign w:val="center"/>
          </w:tcPr>
          <w:p w14:paraId="387265AB" w14:textId="4CF06B22" w:rsidR="00615E2D" w:rsidRDefault="00615E2D">
            <w:pPr>
              <w:spacing w:line="240" w:lineRule="auto"/>
              <w:jc w:val="center"/>
              <w:rPr>
                <w:rFonts w:eastAsia="Times New Roman"/>
                <w:noProof/>
                <w:color w:val="006100"/>
                <w:sz w:val="20"/>
              </w:rPr>
            </w:pPr>
          </w:p>
        </w:tc>
        <w:tc>
          <w:tcPr>
            <w:tcW w:w="3843" w:type="dxa"/>
            <w:tcBorders>
              <w:top w:val="nil"/>
              <w:left w:val="nil"/>
              <w:bottom w:val="single" w:sz="8" w:space="0" w:color="000000" w:themeColor="text1"/>
              <w:right w:val="single" w:sz="8" w:space="0" w:color="000000" w:themeColor="text1"/>
            </w:tcBorders>
            <w:shd w:val="clear" w:color="auto" w:fill="C6EFCE"/>
            <w:vAlign w:val="center"/>
          </w:tcPr>
          <w:p w14:paraId="22DDC548" w14:textId="134A592E" w:rsidR="00615E2D" w:rsidRDefault="00615E2D">
            <w:pPr>
              <w:spacing w:line="240" w:lineRule="auto"/>
              <w:jc w:val="center"/>
              <w:rPr>
                <w:rFonts w:eastAsia="Times New Roman"/>
                <w:noProof/>
                <w:color w:val="006100"/>
                <w:sz w:val="20"/>
              </w:rPr>
            </w:pPr>
          </w:p>
        </w:tc>
        <w:tc>
          <w:tcPr>
            <w:tcW w:w="1809" w:type="dxa"/>
            <w:tcBorders>
              <w:top w:val="nil"/>
              <w:left w:val="nil"/>
              <w:bottom w:val="single" w:sz="8" w:space="0" w:color="000000" w:themeColor="text1"/>
              <w:right w:val="single" w:sz="8" w:space="0" w:color="000000" w:themeColor="text1"/>
            </w:tcBorders>
            <w:shd w:val="clear" w:color="auto" w:fill="C6EFCE"/>
            <w:vAlign w:val="center"/>
          </w:tcPr>
          <w:p w14:paraId="552FEF72" w14:textId="585EC65F" w:rsidR="00615E2D" w:rsidRDefault="00C83E46">
            <w:pPr>
              <w:pStyle w:val="P68B1DB1-Normal59"/>
              <w:spacing w:line="240" w:lineRule="auto"/>
              <w:jc w:val="center"/>
              <w:rPr>
                <w:noProof/>
              </w:rPr>
            </w:pPr>
            <w:r>
              <w:rPr>
                <w:noProof/>
              </w:rPr>
              <w:t>Iznos obroka</w:t>
            </w:r>
          </w:p>
        </w:tc>
        <w:tc>
          <w:tcPr>
            <w:tcW w:w="3295" w:type="dxa"/>
            <w:tcBorders>
              <w:top w:val="single" w:sz="4" w:space="0" w:color="000000" w:themeColor="text1"/>
              <w:left w:val="nil"/>
              <w:bottom w:val="single" w:sz="4" w:space="0" w:color="000000" w:themeColor="text1"/>
              <w:right w:val="single" w:sz="8" w:space="0" w:color="000000" w:themeColor="text1"/>
            </w:tcBorders>
            <w:shd w:val="clear" w:color="auto" w:fill="C6EFCE"/>
            <w:vAlign w:val="center"/>
          </w:tcPr>
          <w:p w14:paraId="3E706469" w14:textId="5A7AB583" w:rsidR="00615E2D" w:rsidRDefault="00C83E46">
            <w:pPr>
              <w:pStyle w:val="P68B1DB1-Normal59"/>
              <w:spacing w:line="240" w:lineRule="auto"/>
              <w:jc w:val="center"/>
              <w:rPr>
                <w:noProof/>
              </w:rPr>
            </w:pPr>
            <w:r>
              <w:rPr>
                <w:noProof/>
              </w:rPr>
              <w:t>224987575 EURA</w:t>
            </w:r>
          </w:p>
        </w:tc>
      </w:tr>
    </w:tbl>
    <w:p w14:paraId="61DDC2EA" w14:textId="636F8BA1" w:rsidR="00615E2D" w:rsidRDefault="00615E2D">
      <w:pPr>
        <w:spacing w:line="240" w:lineRule="auto"/>
        <w:jc w:val="both"/>
        <w:rPr>
          <w:rFonts w:eastAsia="Times New Roman"/>
          <w:noProof/>
        </w:rPr>
        <w:sectPr w:rsidR="00615E2D" w:rsidSect="003F264F">
          <w:headerReference w:type="even" r:id="rId522"/>
          <w:headerReference w:type="default" r:id="rId523"/>
          <w:footerReference w:type="even" r:id="rId524"/>
          <w:footerReference w:type="default" r:id="rId525"/>
          <w:headerReference w:type="first" r:id="rId526"/>
          <w:footerReference w:type="first" r:id="rId527"/>
          <w:pgSz w:w="11907" w:h="16839"/>
          <w:pgMar w:top="1134" w:right="1134" w:bottom="1134" w:left="1134" w:header="567" w:footer="567" w:gutter="0"/>
          <w:cols w:space="720"/>
          <w:docGrid w:linePitch="360"/>
        </w:sectPr>
      </w:pPr>
    </w:p>
    <w:p w14:paraId="749CDB9E" w14:textId="77777777" w:rsidR="00615E2D" w:rsidRDefault="00C83E46">
      <w:pPr>
        <w:pStyle w:val="P68B1DB1-Normal2"/>
        <w:keepNext/>
        <w:tabs>
          <w:tab w:val="left" w:pos="850"/>
        </w:tabs>
        <w:spacing w:line="240" w:lineRule="auto"/>
        <w:jc w:val="both"/>
        <w:outlineLvl w:val="0"/>
        <w:rPr>
          <w:noProof/>
        </w:rPr>
      </w:pPr>
      <w:r>
        <w:rPr>
          <w:noProof/>
        </w:rPr>
        <w:t xml:space="preserve">ODJELJAK 3.: DODATNI ARANŽMANI </w:t>
      </w:r>
    </w:p>
    <w:p w14:paraId="40A2302A" w14:textId="77777777" w:rsidR="00615E2D" w:rsidRDefault="00C83E46">
      <w:pPr>
        <w:pStyle w:val="P68B1DB1-Normal7"/>
        <w:numPr>
          <w:ilvl w:val="0"/>
          <w:numId w:val="203"/>
        </w:numPr>
        <w:spacing w:line="240" w:lineRule="auto"/>
        <w:jc w:val="both"/>
        <w:rPr>
          <w:noProof/>
        </w:rPr>
      </w:pPr>
      <w:r>
        <w:rPr>
          <w:noProof/>
        </w:rPr>
        <w:t>Aranžmani za praćenje i provedbu plana za oporavak i otpornost</w:t>
      </w:r>
    </w:p>
    <w:p w14:paraId="291E8729" w14:textId="77777777" w:rsidR="00615E2D" w:rsidRDefault="00C83E46">
      <w:pPr>
        <w:pStyle w:val="P68B1DB1-Normal3"/>
        <w:spacing w:line="240" w:lineRule="auto"/>
        <w:jc w:val="both"/>
        <w:rPr>
          <w:noProof/>
        </w:rPr>
      </w:pPr>
      <w:r>
        <w:rPr>
          <w:noProof/>
        </w:rPr>
        <w:t xml:space="preserve">Praćenje i provedba plana za oporavak i otpornost Češke provode se u skladu sa sljedećim aranžmanima: </w:t>
      </w:r>
    </w:p>
    <w:p w14:paraId="133409D0" w14:textId="77777777" w:rsidR="00615E2D" w:rsidRDefault="00C83E46">
      <w:pPr>
        <w:spacing w:line="240" w:lineRule="auto"/>
        <w:jc w:val="both"/>
        <w:rPr>
          <w:rFonts w:eastAsia="Times New Roman"/>
          <w:noProof/>
        </w:rPr>
      </w:pPr>
      <w:r>
        <w:rPr>
          <w:rFonts w:eastAsia="Times New Roman"/>
          <w:noProof/>
        </w:rPr>
        <w:t xml:space="preserve">Kako bi utvrdila jasno definirane zadaće, nadležnosti i ovlasti, češka vlada donijela je 17. svibnja 2021. Rezoluciju Vlade br. 467. Tom su rezolucijom odobreni plan za oporavak i otpornost, statut, poslovnik i etički kodeks </w:t>
      </w:r>
      <w:r>
        <w:rPr>
          <w:noProof/>
        </w:rPr>
        <w:t>Upravnog vijeća nacionalnog plana za oporavak i otpornost</w:t>
      </w:r>
      <w:r>
        <w:rPr>
          <w:rFonts w:eastAsia="Times New Roman"/>
          <w:noProof/>
        </w:rPr>
        <w:t>, zadaće i nadležnosti tijela uključenih u provedbu plana za</w:t>
      </w:r>
      <w:r>
        <w:rPr>
          <w:rFonts w:eastAsia="Times New Roman"/>
          <w:noProof/>
          <w:sz w:val="28"/>
        </w:rPr>
        <w:t xml:space="preserve"> </w:t>
      </w:r>
      <w:r>
        <w:rPr>
          <w:rFonts w:eastAsia="Times New Roman"/>
          <w:noProof/>
        </w:rPr>
        <w:t>oporavak i otpornost te je Ministarstvo industrije i trgovine imenovano koordinacijskim tijelom, a Ministarstvo financija revizijskim tijelom za plan za oporavak i otpornost.</w:t>
      </w:r>
    </w:p>
    <w:p w14:paraId="4E6922D7" w14:textId="0EBBED40" w:rsidR="00615E2D" w:rsidRDefault="00C83E46">
      <w:pPr>
        <w:pStyle w:val="P68B1DB1-Normal3"/>
        <w:spacing w:line="240" w:lineRule="auto"/>
        <w:jc w:val="both"/>
        <w:rPr>
          <w:noProof/>
        </w:rPr>
      </w:pPr>
      <w:r>
        <w:rPr>
          <w:noProof/>
        </w:rPr>
        <w:t>Upravljačko vijeće nacionalnog plana za oporavak i otpornost najviše je tijelo za donošenje odluka i izdavanje odobrenja te je odgovorno za opću koordinaciju i praćenje tog plana. To vijeće mora odobriti zahtjeve za plaćanje. Ministarstvo industrije i trgovine, kao središnje koordinacijsko tijelo za plan za oporavak i otpornost i njegovu provedbu, odgovorno je za koordinaciju, praćenje i izvješćivanje o planu za oporavak i otpornost te je glavna kontaktna točka za Komisiju. To je tijelo odgovorno i za sastavljanje zahtjeva za plaćanje i izjava o upravljanju. Koordinira izvješćivanje o ključnim etapama i ciljnim vrijednostima, relevantnim pokazateljima, ali i kvalitativnim financijskim informacijama i drugim podacima, primjerice o krajnjim primateljima. Kodiranje podataka odvija se u decentraliziranim informacijskim sustavima u svim sustavima na razini vlasnika sastavnih dijelova, koji su obvezni dostaviti potrebne podatke Ministarstvu industrije i trgovine. Nakon nedavne revizije drugih programa EU-a Ministarstvu industrije i trgovine izdano je uvjetno revizorsko mišljenje zbog nepostojanja učinkovitih mjera usmjerenih na sprečavanje, otkrivanje i suzbijanje slučajeva sukoba interesa. U plan su uključene posebne ključne etape kako bi se osiguralo da su ti nedostaci uklonjeni prije prvog zahtjeva za plaćanje.</w:t>
      </w:r>
    </w:p>
    <w:p w14:paraId="326A6760" w14:textId="77777777" w:rsidR="00615E2D" w:rsidRDefault="00C83E46">
      <w:pPr>
        <w:pStyle w:val="P68B1DB1-Normal7"/>
        <w:numPr>
          <w:ilvl w:val="0"/>
          <w:numId w:val="198"/>
        </w:numPr>
        <w:spacing w:line="240" w:lineRule="auto"/>
        <w:jc w:val="both"/>
        <w:rPr>
          <w:noProof/>
        </w:rPr>
      </w:pPr>
      <w:r>
        <w:rPr>
          <w:noProof/>
        </w:rPr>
        <w:t>Mehanizmi za osiguravanje potpunog pristupa Komisije osnovnim podacima</w:t>
      </w:r>
    </w:p>
    <w:p w14:paraId="370C9C7A" w14:textId="77777777" w:rsidR="00615E2D" w:rsidRDefault="00C83E46">
      <w:pPr>
        <w:spacing w:line="240" w:lineRule="auto"/>
        <w:jc w:val="both"/>
        <w:rPr>
          <w:noProof/>
        </w:rPr>
      </w:pPr>
      <w:r>
        <w:rPr>
          <w:noProof/>
        </w:rPr>
        <w:t>Kako bi se Komisiji omogućio potpun pristup osnovnim relevantnim podacima, Češka mora imati sljedeće mehanizme:</w:t>
      </w:r>
    </w:p>
    <w:p w14:paraId="79DBBC8C" w14:textId="77777777" w:rsidR="00615E2D" w:rsidRDefault="00C83E46">
      <w:pPr>
        <w:spacing w:line="240" w:lineRule="auto"/>
        <w:jc w:val="both"/>
        <w:rPr>
          <w:noProof/>
        </w:rPr>
      </w:pPr>
      <w:r>
        <w:rPr>
          <w:noProof/>
        </w:rPr>
        <w:t>Ministarstvo industrije i trgovine, kao središnje koordinacijsko tijelo za češki plan za oporavak i otpornost i njegovu provedbu, odgovorno je za opću koordinaciju i praćenje plana. Konkretno, djeluje kao koordinacijsko tijelo za praćenje napretka u pogledu ključnih etapa i ciljnih vrijednosti, prema potrebi, za provedbu provjera upravljanja te za izvješćivanje i zahtjeve za plaćanje. Koordinira izvješćivanje o ključnim etapama i ciljnim vrijednostima, relevantnim pokazateljima, ali i kvalitativnim financijskim informacijama i drugim podacima, primjerice o krajnjim primateljima. Kodiranje podataka odvija se u decentraliziranim sustavima u različitim vlasnicima sastavnih dijelova, koji su obvezni dostaviti tražene podatke koordinacijskom tijelu.</w:t>
      </w:r>
    </w:p>
    <w:p w14:paraId="41488AB2" w14:textId="75F2DF20" w:rsidR="00615E2D" w:rsidRDefault="00C83E46">
      <w:pPr>
        <w:spacing w:line="240" w:lineRule="auto"/>
        <w:jc w:val="both"/>
        <w:rPr>
          <w:noProof/>
        </w:rPr>
      </w:pPr>
      <w:r>
        <w:rPr>
          <w:noProof/>
        </w:rPr>
        <w:t>U skladu s člankom 24. stavkom 2. Uredbe (EU) 2021/241, nakon što ispuni relevantne dogovorene ključne etape i ciljne vrijednosti iz odjeljka 2.1. ovog Priloga, Češka Komisiji podnosi propisno obrazložen zahtjev za plaćanje financijskog doprinosa. Češka osigurava da Komisija na zahtjev ima puni pristup osnovnim relevantnim podacima kojima se potkrepljuje valjano obrazloženje zahtjeva za plaćanje, kako za ocjenu zahtjeva za plaćanje u skladu s člankom 24. stavkom 3. Uredbe (EU) 2021/241 tako i za potrebe revizije i kontrole.</w:t>
      </w:r>
    </w:p>
    <w:sectPr w:rsidR="00615E2D">
      <w:headerReference w:type="even" r:id="rId528"/>
      <w:headerReference w:type="default" r:id="rId529"/>
      <w:footerReference w:type="even" r:id="rId530"/>
      <w:footerReference w:type="default" r:id="rId531"/>
      <w:headerReference w:type="first" r:id="rId532"/>
      <w:footerReference w:type="first" r:id="rId533"/>
      <w:footnotePr>
        <w:numRestart w:val="eachPage"/>
      </w:footnotePr>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9426F" w14:textId="77777777" w:rsidR="00615E2D" w:rsidRDefault="00C83E46">
      <w:pPr>
        <w:spacing w:before="0" w:after="0" w:line="240" w:lineRule="auto"/>
      </w:pPr>
      <w:r>
        <w:separator/>
      </w:r>
    </w:p>
  </w:endnote>
  <w:endnote w:type="continuationSeparator" w:id="0">
    <w:p w14:paraId="0AA67D85" w14:textId="77777777" w:rsidR="00615E2D" w:rsidRDefault="00C83E46">
      <w:pPr>
        <w:spacing w:before="0" w:after="0" w:line="240" w:lineRule="auto"/>
      </w:pPr>
      <w:r>
        <w:continuationSeparator/>
      </w:r>
    </w:p>
  </w:endnote>
  <w:endnote w:type="continuationNotice" w:id="1">
    <w:p w14:paraId="58BBD61B" w14:textId="77777777" w:rsidR="00615E2D" w:rsidRDefault="00615E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quot;Courier New&quot;">
    <w:panose1 w:val="00000000000000000000"/>
    <w:charset w:val="00"/>
    <w:family w:val="roman"/>
    <w:notTrueType/>
    <w:pitch w:val="default"/>
  </w:font>
  <w:font w:name="&quot;Times New Roman&quot;,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C Square Sans Pro">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0C0E9" w14:textId="2B3CD9A4" w:rsidR="00C1101C" w:rsidRPr="009978F5" w:rsidRDefault="00C1101C" w:rsidP="009978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A6A1" w14:textId="77777777" w:rsidR="00615E2D" w:rsidRDefault="00615E2D">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61378" w14:textId="77777777" w:rsidR="00615E2D" w:rsidRDefault="00615E2D">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11561"/>
      <w:docPartObj>
        <w:docPartGallery w:val="Page Numbers (Bottom of Page)"/>
        <w:docPartUnique/>
      </w:docPartObj>
    </w:sdtPr>
    <w:sdtEndPr>
      <w:rPr>
        <w:noProof/>
      </w:rPr>
    </w:sdtEndPr>
    <w:sdtContent>
      <w:p w14:paraId="5678564A" w14:textId="2E38441B" w:rsidR="00615E2D" w:rsidRDefault="00C83E46">
        <w:pPr>
          <w:pStyle w:val="Footer"/>
          <w:jc w:val="center"/>
        </w:pPr>
        <w:r>
          <w:fldChar w:fldCharType="begin"/>
        </w:r>
        <w:r>
          <w:instrText xml:space="preserve"> PAGE   \* MERGEFORMAT </w:instrText>
        </w:r>
        <w:r>
          <w:fldChar w:fldCharType="separate"/>
        </w:r>
        <w:r>
          <w:t>90</w:t>
        </w:r>
        <w:r>
          <w:fldChar w:fldCharType="end"/>
        </w:r>
      </w:p>
    </w:sdtContent>
  </w:sdt>
  <w:p w14:paraId="45C7003E" w14:textId="77777777" w:rsidR="00615E2D" w:rsidRDefault="00615E2D">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81D4A" w14:textId="77777777" w:rsidR="00615E2D" w:rsidRDefault="00615E2D">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03A87" w14:textId="77777777" w:rsidR="00615E2D" w:rsidRDefault="00615E2D">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699042"/>
      <w:docPartObj>
        <w:docPartGallery w:val="Page Numbers (Bottom of Page)"/>
        <w:docPartUnique/>
      </w:docPartObj>
    </w:sdtPr>
    <w:sdtEndPr>
      <w:rPr>
        <w:noProof/>
      </w:rPr>
    </w:sdtEndPr>
    <w:sdtContent>
      <w:p w14:paraId="4D727465" w14:textId="77B4CBD4" w:rsidR="00615E2D" w:rsidRDefault="00C83E46">
        <w:pPr>
          <w:pStyle w:val="Footer"/>
          <w:jc w:val="center"/>
        </w:pPr>
        <w:r>
          <w:fldChar w:fldCharType="begin"/>
        </w:r>
        <w:r>
          <w:instrText xml:space="preserve"> PAGE   \* MERGEFORMAT </w:instrText>
        </w:r>
        <w:r>
          <w:fldChar w:fldCharType="separate"/>
        </w:r>
        <w:r>
          <w:t>100</w:t>
        </w:r>
        <w:r>
          <w:fldChar w:fldCharType="end"/>
        </w:r>
      </w:p>
    </w:sdtContent>
  </w:sdt>
  <w:p w14:paraId="40BC6018" w14:textId="77777777" w:rsidR="00615E2D" w:rsidRDefault="00615E2D">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987B" w14:textId="77777777" w:rsidR="00615E2D" w:rsidRDefault="00615E2D">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A18C" w14:textId="77777777" w:rsidR="00615E2D" w:rsidRDefault="00615E2D">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797176"/>
      <w:docPartObj>
        <w:docPartGallery w:val="Page Numbers (Bottom of Page)"/>
        <w:docPartUnique/>
      </w:docPartObj>
    </w:sdtPr>
    <w:sdtEndPr>
      <w:rPr>
        <w:noProof/>
      </w:rPr>
    </w:sdtEndPr>
    <w:sdtContent>
      <w:p w14:paraId="5F9583E9" w14:textId="2F7836F4" w:rsidR="00615E2D" w:rsidRDefault="00C83E46">
        <w:pPr>
          <w:pStyle w:val="Footer"/>
          <w:jc w:val="center"/>
        </w:pPr>
        <w:r>
          <w:fldChar w:fldCharType="begin"/>
        </w:r>
        <w:r>
          <w:instrText xml:space="preserve"> PAGE   \* MERGEFORMAT </w:instrText>
        </w:r>
        <w:r>
          <w:fldChar w:fldCharType="separate"/>
        </w:r>
        <w:r>
          <w:t>103</w:t>
        </w:r>
        <w:r>
          <w:fldChar w:fldCharType="end"/>
        </w:r>
      </w:p>
    </w:sdtContent>
  </w:sdt>
  <w:p w14:paraId="32761A36" w14:textId="77777777" w:rsidR="00615E2D" w:rsidRDefault="00615E2D">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47B1B" w14:textId="77777777" w:rsidR="00615E2D" w:rsidRDefault="00615E2D">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3A56" w14:textId="77777777" w:rsidR="00615E2D" w:rsidRDefault="00615E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290093"/>
      <w:docPartObj>
        <w:docPartGallery w:val="Page Numbers (Bottom of Page)"/>
        <w:docPartUnique/>
      </w:docPartObj>
    </w:sdtPr>
    <w:sdtEndPr>
      <w:rPr>
        <w:noProof/>
      </w:rPr>
    </w:sdtEndPr>
    <w:sdtContent>
      <w:p w14:paraId="55D2C283" w14:textId="3612F79C" w:rsidR="00615E2D" w:rsidRDefault="00C83E46">
        <w:pPr>
          <w:pStyle w:val="Footer"/>
          <w:jc w:val="center"/>
        </w:pPr>
        <w:r>
          <w:fldChar w:fldCharType="begin"/>
        </w:r>
        <w:r>
          <w:instrText xml:space="preserve"> PAGE   \* MERGEFORMAT </w:instrText>
        </w:r>
        <w:r>
          <w:fldChar w:fldCharType="separate"/>
        </w:r>
        <w:r w:rsidR="000A701C">
          <w:rPr>
            <w:noProof/>
          </w:rPr>
          <w:t>9</w:t>
        </w:r>
        <w:r>
          <w:fldChar w:fldCharType="end"/>
        </w:r>
      </w:p>
    </w:sdtContent>
  </w:sdt>
  <w:p w14:paraId="05252DD9" w14:textId="77777777" w:rsidR="00615E2D" w:rsidRDefault="00615E2D">
    <w:pPr>
      <w:pStyle w:val="FooterCouncil"/>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64237"/>
      <w:docPartObj>
        <w:docPartGallery w:val="Page Numbers (Bottom of Page)"/>
        <w:docPartUnique/>
      </w:docPartObj>
    </w:sdtPr>
    <w:sdtEndPr>
      <w:rPr>
        <w:noProof/>
      </w:rPr>
    </w:sdtEndPr>
    <w:sdtContent>
      <w:p w14:paraId="5687FB15" w14:textId="125192E1" w:rsidR="00615E2D" w:rsidRDefault="00C83E46">
        <w:pPr>
          <w:pStyle w:val="Footer"/>
          <w:jc w:val="center"/>
        </w:pPr>
        <w:r>
          <w:fldChar w:fldCharType="begin"/>
        </w:r>
        <w:r>
          <w:instrText xml:space="preserve"> PAGE   \* MERGEFORMAT </w:instrText>
        </w:r>
        <w:r>
          <w:fldChar w:fldCharType="separate"/>
        </w:r>
        <w:r>
          <w:t>107</w:t>
        </w:r>
        <w:r>
          <w:fldChar w:fldCharType="end"/>
        </w:r>
      </w:p>
    </w:sdtContent>
  </w:sdt>
  <w:p w14:paraId="1B291034" w14:textId="77777777" w:rsidR="00615E2D" w:rsidRDefault="00615E2D">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A4D4" w14:textId="77777777" w:rsidR="00615E2D" w:rsidRDefault="00615E2D">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68C9A" w14:textId="77777777" w:rsidR="00615E2D" w:rsidRDefault="00615E2D">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337238"/>
      <w:docPartObj>
        <w:docPartGallery w:val="Page Numbers (Bottom of Page)"/>
        <w:docPartUnique/>
      </w:docPartObj>
    </w:sdtPr>
    <w:sdtEndPr>
      <w:rPr>
        <w:noProof/>
      </w:rPr>
    </w:sdtEndPr>
    <w:sdtContent>
      <w:p w14:paraId="7CE02AA1" w14:textId="487E18D7" w:rsidR="00615E2D" w:rsidRDefault="00C83E46">
        <w:pPr>
          <w:pStyle w:val="Footer"/>
          <w:jc w:val="center"/>
        </w:pPr>
        <w:r>
          <w:fldChar w:fldCharType="begin"/>
        </w:r>
        <w:r>
          <w:instrText xml:space="preserve"> PAGE   \* MERGEFORMAT </w:instrText>
        </w:r>
        <w:r>
          <w:fldChar w:fldCharType="separate"/>
        </w:r>
        <w:r>
          <w:t>109</w:t>
        </w:r>
        <w:r>
          <w:fldChar w:fldCharType="end"/>
        </w:r>
      </w:p>
    </w:sdtContent>
  </w:sdt>
  <w:p w14:paraId="7F1387F2" w14:textId="77777777" w:rsidR="00615E2D" w:rsidRDefault="00615E2D">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53E9" w14:textId="77777777" w:rsidR="00615E2D" w:rsidRDefault="00615E2D">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1321" w14:textId="77777777" w:rsidR="00615E2D" w:rsidRDefault="00615E2D">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417430"/>
      <w:docPartObj>
        <w:docPartGallery w:val="Page Numbers (Bottom of Page)"/>
        <w:docPartUnique/>
      </w:docPartObj>
    </w:sdtPr>
    <w:sdtEndPr>
      <w:rPr>
        <w:noProof/>
      </w:rPr>
    </w:sdtEndPr>
    <w:sdtContent>
      <w:p w14:paraId="1AF4A37E" w14:textId="03F5FCE6" w:rsidR="00615E2D" w:rsidRDefault="00C83E46">
        <w:pPr>
          <w:pStyle w:val="Footer"/>
          <w:jc w:val="center"/>
        </w:pPr>
        <w:r>
          <w:fldChar w:fldCharType="begin"/>
        </w:r>
        <w:r>
          <w:instrText xml:space="preserve"> PAGE   \* MERGEFORMAT </w:instrText>
        </w:r>
        <w:r>
          <w:fldChar w:fldCharType="separate"/>
        </w:r>
        <w:r>
          <w:t>113</w:t>
        </w:r>
        <w:r>
          <w:fldChar w:fldCharType="end"/>
        </w:r>
      </w:p>
    </w:sdtContent>
  </w:sdt>
  <w:p w14:paraId="76299F8E" w14:textId="77777777" w:rsidR="00615E2D" w:rsidRDefault="00615E2D">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59C1" w14:textId="77777777" w:rsidR="00615E2D" w:rsidRDefault="00615E2D">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A35F" w14:textId="77777777" w:rsidR="00615E2D" w:rsidRDefault="00615E2D">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860697"/>
      <w:docPartObj>
        <w:docPartGallery w:val="Page Numbers (Bottom of Page)"/>
        <w:docPartUnique/>
      </w:docPartObj>
    </w:sdtPr>
    <w:sdtEndPr>
      <w:rPr>
        <w:noProof/>
      </w:rPr>
    </w:sdtEndPr>
    <w:sdtContent>
      <w:p w14:paraId="465F80E5" w14:textId="42A0E8A6" w:rsidR="00615E2D" w:rsidRDefault="00C83E46">
        <w:pPr>
          <w:pStyle w:val="Footer"/>
          <w:jc w:val="center"/>
        </w:pPr>
        <w:r>
          <w:fldChar w:fldCharType="begin"/>
        </w:r>
        <w:r>
          <w:instrText xml:space="preserve"> PAGE   \* MERGEFORMAT </w:instrText>
        </w:r>
        <w:r>
          <w:fldChar w:fldCharType="separate"/>
        </w:r>
        <w:r>
          <w:t>115</w:t>
        </w:r>
        <w:r>
          <w:fldChar w:fldCharType="end"/>
        </w:r>
      </w:p>
    </w:sdtContent>
  </w:sdt>
  <w:p w14:paraId="6756E612" w14:textId="77777777" w:rsidR="00615E2D" w:rsidRDefault="00615E2D">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1DD7" w14:textId="77777777" w:rsidR="00615E2D" w:rsidRDefault="00615E2D">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50BB" w14:textId="77777777" w:rsidR="00615E2D" w:rsidRDefault="00615E2D">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15CE" w14:textId="77777777" w:rsidR="00615E2D" w:rsidRDefault="00615E2D">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652181"/>
      <w:docPartObj>
        <w:docPartGallery w:val="Page Numbers (Bottom of Page)"/>
        <w:docPartUnique/>
      </w:docPartObj>
    </w:sdtPr>
    <w:sdtEndPr>
      <w:rPr>
        <w:noProof/>
      </w:rPr>
    </w:sdtEndPr>
    <w:sdtContent>
      <w:p w14:paraId="245ED569" w14:textId="6441050A" w:rsidR="00615E2D" w:rsidRDefault="00C83E46">
        <w:pPr>
          <w:pStyle w:val="Footer"/>
          <w:jc w:val="center"/>
        </w:pPr>
        <w:r>
          <w:fldChar w:fldCharType="begin"/>
        </w:r>
        <w:r>
          <w:instrText xml:space="preserve"> PAGE   \* MERGEFORMAT </w:instrText>
        </w:r>
        <w:r>
          <w:fldChar w:fldCharType="separate"/>
        </w:r>
        <w:r>
          <w:t>119</w:t>
        </w:r>
        <w:r>
          <w:fldChar w:fldCharType="end"/>
        </w:r>
      </w:p>
    </w:sdtContent>
  </w:sdt>
  <w:p w14:paraId="2A365287" w14:textId="77777777" w:rsidR="00615E2D" w:rsidRDefault="00615E2D">
    <w:pPr>
      <w:pStyle w:val="FooterCouncil"/>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CC44" w14:textId="77777777" w:rsidR="00615E2D" w:rsidRDefault="00615E2D">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55A7" w14:textId="77777777" w:rsidR="00615E2D" w:rsidRDefault="00615E2D">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96880"/>
      <w:docPartObj>
        <w:docPartGallery w:val="Page Numbers (Bottom of Page)"/>
        <w:docPartUnique/>
      </w:docPartObj>
    </w:sdtPr>
    <w:sdtEndPr>
      <w:rPr>
        <w:noProof/>
      </w:rPr>
    </w:sdtEndPr>
    <w:sdtContent>
      <w:p w14:paraId="4290D085" w14:textId="59F55A78" w:rsidR="00615E2D" w:rsidRDefault="00C83E46">
        <w:pPr>
          <w:pStyle w:val="Footer"/>
          <w:jc w:val="center"/>
        </w:pPr>
        <w:r>
          <w:fldChar w:fldCharType="begin"/>
        </w:r>
        <w:r>
          <w:instrText xml:space="preserve"> PAGE   \* MERGEFORMAT </w:instrText>
        </w:r>
        <w:r>
          <w:fldChar w:fldCharType="separate"/>
        </w:r>
        <w:r>
          <w:t>120</w:t>
        </w:r>
        <w:r>
          <w:fldChar w:fldCharType="end"/>
        </w:r>
      </w:p>
    </w:sdtContent>
  </w:sdt>
  <w:p w14:paraId="56F54BF8" w14:textId="77777777" w:rsidR="00615E2D" w:rsidRDefault="00615E2D">
    <w:pPr>
      <w:pStyle w:val="FooterCouncil"/>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F2C2" w14:textId="77777777" w:rsidR="00615E2D" w:rsidRDefault="00615E2D">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0CBF" w14:textId="77777777" w:rsidR="00615E2D" w:rsidRDefault="00615E2D">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253108"/>
      <w:docPartObj>
        <w:docPartGallery w:val="Page Numbers (Bottom of Page)"/>
        <w:docPartUnique/>
      </w:docPartObj>
    </w:sdtPr>
    <w:sdtEndPr>
      <w:rPr>
        <w:noProof/>
      </w:rPr>
    </w:sdtEndPr>
    <w:sdtContent>
      <w:p w14:paraId="45DD285C" w14:textId="6F6B8F2F" w:rsidR="00615E2D" w:rsidRDefault="00C83E46">
        <w:pPr>
          <w:pStyle w:val="Footer"/>
          <w:jc w:val="center"/>
        </w:pPr>
        <w:r>
          <w:fldChar w:fldCharType="begin"/>
        </w:r>
        <w:r>
          <w:instrText xml:space="preserve"> PAGE   \* MERGEFORMAT </w:instrText>
        </w:r>
        <w:r>
          <w:fldChar w:fldCharType="separate"/>
        </w:r>
        <w:r>
          <w:t>121</w:t>
        </w:r>
        <w:r>
          <w:fldChar w:fldCharType="end"/>
        </w:r>
      </w:p>
    </w:sdtContent>
  </w:sdt>
  <w:p w14:paraId="1DC55427" w14:textId="77777777" w:rsidR="00615E2D" w:rsidRDefault="00615E2D">
    <w:pPr>
      <w:pStyle w:val="FooterCouncil"/>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5DEA" w14:textId="77777777" w:rsidR="00615E2D" w:rsidRDefault="00615E2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7B73A" w14:textId="77777777" w:rsidR="00615E2D" w:rsidRDefault="00615E2D">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46189" w14:textId="77777777" w:rsidR="00615E2D" w:rsidRDefault="00615E2D">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450842"/>
      <w:docPartObj>
        <w:docPartGallery w:val="Page Numbers (Bottom of Page)"/>
        <w:docPartUnique/>
      </w:docPartObj>
    </w:sdtPr>
    <w:sdtEndPr>
      <w:rPr>
        <w:noProof/>
      </w:rPr>
    </w:sdtEndPr>
    <w:sdtContent>
      <w:p w14:paraId="7A7D56AC" w14:textId="757A2362" w:rsidR="00615E2D" w:rsidRDefault="00C83E46">
        <w:pPr>
          <w:pStyle w:val="Footer"/>
          <w:jc w:val="center"/>
        </w:pPr>
        <w:r>
          <w:fldChar w:fldCharType="begin"/>
        </w:r>
        <w:r>
          <w:instrText xml:space="preserve"> PAGE   \* MERGEFORMAT </w:instrText>
        </w:r>
        <w:r>
          <w:fldChar w:fldCharType="separate"/>
        </w:r>
        <w:r>
          <w:t>126</w:t>
        </w:r>
        <w:r>
          <w:fldChar w:fldCharType="end"/>
        </w:r>
      </w:p>
    </w:sdtContent>
  </w:sdt>
  <w:p w14:paraId="79122862" w14:textId="77777777" w:rsidR="00615E2D" w:rsidRDefault="00615E2D">
    <w:pPr>
      <w:pStyle w:val="FooterCouncil"/>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892A" w14:textId="77777777" w:rsidR="00615E2D" w:rsidRDefault="00615E2D">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132E0" w14:textId="77777777" w:rsidR="00615E2D" w:rsidRDefault="00615E2D">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538614"/>
      <w:docPartObj>
        <w:docPartGallery w:val="Page Numbers (Bottom of Page)"/>
        <w:docPartUnique/>
      </w:docPartObj>
    </w:sdtPr>
    <w:sdtEndPr>
      <w:rPr>
        <w:noProof/>
      </w:rPr>
    </w:sdtEndPr>
    <w:sdtContent>
      <w:p w14:paraId="4FAFF7D2" w14:textId="32BBEBCB" w:rsidR="00615E2D" w:rsidRDefault="00C83E46">
        <w:pPr>
          <w:pStyle w:val="Footer"/>
          <w:jc w:val="center"/>
        </w:pPr>
        <w:r>
          <w:fldChar w:fldCharType="begin"/>
        </w:r>
        <w:r>
          <w:instrText xml:space="preserve"> PAGE   \* MERGEFORMAT </w:instrText>
        </w:r>
        <w:r>
          <w:fldChar w:fldCharType="separate"/>
        </w:r>
        <w:r>
          <w:t>127</w:t>
        </w:r>
        <w:r>
          <w:fldChar w:fldCharType="end"/>
        </w:r>
      </w:p>
    </w:sdtContent>
  </w:sdt>
  <w:p w14:paraId="1CC11638" w14:textId="77777777" w:rsidR="00615E2D" w:rsidRDefault="00615E2D">
    <w:pPr>
      <w:pStyle w:val="FooterCouncil"/>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34FD" w14:textId="77777777" w:rsidR="00615E2D" w:rsidRDefault="00615E2D">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889F" w14:textId="77777777" w:rsidR="00615E2D" w:rsidRDefault="00615E2D">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006444"/>
      <w:docPartObj>
        <w:docPartGallery w:val="Page Numbers (Bottom of Page)"/>
        <w:docPartUnique/>
      </w:docPartObj>
    </w:sdtPr>
    <w:sdtEndPr>
      <w:rPr>
        <w:noProof/>
      </w:rPr>
    </w:sdtEndPr>
    <w:sdtContent>
      <w:p w14:paraId="666B6E3C" w14:textId="04DB8310" w:rsidR="00615E2D" w:rsidRDefault="00C83E46">
        <w:pPr>
          <w:pStyle w:val="Footer"/>
          <w:jc w:val="center"/>
        </w:pPr>
        <w:r>
          <w:fldChar w:fldCharType="begin"/>
        </w:r>
        <w:r>
          <w:instrText xml:space="preserve"> PAGE   \* MERGEFORMAT </w:instrText>
        </w:r>
        <w:r>
          <w:fldChar w:fldCharType="separate"/>
        </w:r>
        <w:r>
          <w:t>129</w:t>
        </w:r>
        <w:r>
          <w:fldChar w:fldCharType="end"/>
        </w:r>
      </w:p>
    </w:sdtContent>
  </w:sdt>
  <w:p w14:paraId="5C5D0F93" w14:textId="77777777" w:rsidR="00615E2D" w:rsidRDefault="00615E2D">
    <w:pPr>
      <w:pStyle w:val="FooterCouncil"/>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7ACD" w14:textId="77777777" w:rsidR="00615E2D" w:rsidRDefault="00615E2D">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D27C" w14:textId="77777777" w:rsidR="00615E2D" w:rsidRDefault="00615E2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27993"/>
      <w:docPartObj>
        <w:docPartGallery w:val="Page Numbers (Bottom of Page)"/>
        <w:docPartUnique/>
      </w:docPartObj>
    </w:sdtPr>
    <w:sdtEndPr>
      <w:rPr>
        <w:noProof/>
      </w:rPr>
    </w:sdtEndPr>
    <w:sdtContent>
      <w:p w14:paraId="4CC51BF4" w14:textId="2BE19F24" w:rsidR="00615E2D" w:rsidRDefault="00C83E46">
        <w:pPr>
          <w:pStyle w:val="Footer"/>
          <w:jc w:val="center"/>
        </w:pPr>
        <w:r>
          <w:fldChar w:fldCharType="begin"/>
        </w:r>
        <w:r>
          <w:instrText xml:space="preserve"> PAGE   \* MERGEFORMAT </w:instrText>
        </w:r>
        <w:r>
          <w:fldChar w:fldCharType="separate"/>
        </w:r>
        <w:r w:rsidR="000A701C">
          <w:rPr>
            <w:noProof/>
          </w:rPr>
          <w:t>10</w:t>
        </w:r>
        <w:r>
          <w:fldChar w:fldCharType="end"/>
        </w:r>
      </w:p>
    </w:sdtContent>
  </w:sdt>
  <w:p w14:paraId="218BCBA7" w14:textId="77777777" w:rsidR="00615E2D" w:rsidRDefault="00615E2D">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27022"/>
      <w:docPartObj>
        <w:docPartGallery w:val="Page Numbers (Bottom of Page)"/>
        <w:docPartUnique/>
      </w:docPartObj>
    </w:sdtPr>
    <w:sdtEndPr>
      <w:rPr>
        <w:noProof/>
      </w:rPr>
    </w:sdtEndPr>
    <w:sdtContent>
      <w:p w14:paraId="7CCEE4F1" w14:textId="04BFCBF2" w:rsidR="00615E2D" w:rsidRDefault="00C83E46">
        <w:pPr>
          <w:pStyle w:val="Footer"/>
          <w:jc w:val="center"/>
        </w:pPr>
        <w:r>
          <w:fldChar w:fldCharType="begin"/>
        </w:r>
        <w:r>
          <w:instrText xml:space="preserve"> PAGE   \* MERGEFORMAT </w:instrText>
        </w:r>
        <w:r>
          <w:fldChar w:fldCharType="separate"/>
        </w:r>
        <w:r>
          <w:t>131</w:t>
        </w:r>
        <w:r>
          <w:fldChar w:fldCharType="end"/>
        </w:r>
      </w:p>
    </w:sdtContent>
  </w:sdt>
  <w:p w14:paraId="1CBC56AA" w14:textId="77777777" w:rsidR="00615E2D" w:rsidRDefault="00615E2D">
    <w:pPr>
      <w:pStyle w:val="FooterCouncil"/>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82A5" w14:textId="77777777" w:rsidR="00615E2D" w:rsidRDefault="00615E2D">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DDAE3" w14:textId="77777777" w:rsidR="00615E2D" w:rsidRDefault="00615E2D">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880572"/>
      <w:docPartObj>
        <w:docPartGallery w:val="Page Numbers (Bottom of Page)"/>
        <w:docPartUnique/>
      </w:docPartObj>
    </w:sdtPr>
    <w:sdtEndPr>
      <w:rPr>
        <w:noProof/>
      </w:rPr>
    </w:sdtEndPr>
    <w:sdtContent>
      <w:p w14:paraId="783EE4FB" w14:textId="64CD8608" w:rsidR="00615E2D" w:rsidRDefault="00C83E46">
        <w:pPr>
          <w:pStyle w:val="Footer"/>
          <w:jc w:val="center"/>
        </w:pPr>
        <w:r>
          <w:fldChar w:fldCharType="begin"/>
        </w:r>
        <w:r>
          <w:instrText xml:space="preserve"> PAGE   \* MERGEFORMAT </w:instrText>
        </w:r>
        <w:r>
          <w:fldChar w:fldCharType="separate"/>
        </w:r>
        <w:r>
          <w:t>134</w:t>
        </w:r>
        <w:r>
          <w:fldChar w:fldCharType="end"/>
        </w:r>
      </w:p>
    </w:sdtContent>
  </w:sdt>
  <w:p w14:paraId="61A09314" w14:textId="77777777" w:rsidR="00615E2D" w:rsidRDefault="00615E2D">
    <w:pPr>
      <w:pStyle w:val="FooterCouncil"/>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02962" w14:textId="77777777" w:rsidR="00615E2D" w:rsidRDefault="00615E2D">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A26B9" w14:textId="77777777" w:rsidR="00615E2D" w:rsidRDefault="00615E2D">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721801"/>
      <w:docPartObj>
        <w:docPartGallery w:val="Page Numbers (Bottom of Page)"/>
        <w:docPartUnique/>
      </w:docPartObj>
    </w:sdtPr>
    <w:sdtEndPr>
      <w:rPr>
        <w:noProof/>
      </w:rPr>
    </w:sdtEndPr>
    <w:sdtContent>
      <w:p w14:paraId="061C2729" w14:textId="26C529D0" w:rsidR="00615E2D" w:rsidRDefault="00C83E46">
        <w:pPr>
          <w:pStyle w:val="Footer"/>
          <w:jc w:val="center"/>
        </w:pPr>
        <w:r>
          <w:fldChar w:fldCharType="begin"/>
        </w:r>
        <w:r>
          <w:instrText xml:space="preserve"> PAGE   \* MERGEFORMAT </w:instrText>
        </w:r>
        <w:r>
          <w:fldChar w:fldCharType="separate"/>
        </w:r>
        <w:r>
          <w:t>137</w:t>
        </w:r>
        <w:r>
          <w:fldChar w:fldCharType="end"/>
        </w:r>
      </w:p>
    </w:sdtContent>
  </w:sdt>
  <w:p w14:paraId="4D5202AA" w14:textId="77777777" w:rsidR="00615E2D" w:rsidRDefault="00615E2D">
    <w:pPr>
      <w:pStyle w:val="FooterCouncil"/>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2E2A" w14:textId="77777777" w:rsidR="00615E2D" w:rsidRDefault="00615E2D">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63131" w14:textId="77777777" w:rsidR="00615E2D" w:rsidRDefault="00615E2D">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847196"/>
      <w:docPartObj>
        <w:docPartGallery w:val="Page Numbers (Bottom of Page)"/>
        <w:docPartUnique/>
      </w:docPartObj>
    </w:sdtPr>
    <w:sdtEndPr>
      <w:rPr>
        <w:noProof/>
      </w:rPr>
    </w:sdtEndPr>
    <w:sdtContent>
      <w:p w14:paraId="263A9787" w14:textId="02DE39D1" w:rsidR="00615E2D" w:rsidRDefault="00C83E46">
        <w:pPr>
          <w:pStyle w:val="Footer"/>
          <w:jc w:val="center"/>
        </w:pPr>
        <w:r>
          <w:fldChar w:fldCharType="begin"/>
        </w:r>
        <w:r>
          <w:instrText xml:space="preserve"> PAGE   \* MERGEFORMAT </w:instrText>
        </w:r>
        <w:r>
          <w:fldChar w:fldCharType="separate"/>
        </w:r>
        <w:r>
          <w:t>141</w:t>
        </w:r>
        <w:r>
          <w:fldChar w:fldCharType="end"/>
        </w:r>
      </w:p>
    </w:sdtContent>
  </w:sdt>
  <w:p w14:paraId="3F5A94C9" w14:textId="77777777" w:rsidR="00615E2D" w:rsidRDefault="00615E2D">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0FFB" w14:textId="77777777" w:rsidR="00615E2D" w:rsidRDefault="00615E2D">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03E8" w14:textId="77777777" w:rsidR="00615E2D" w:rsidRDefault="00615E2D">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12E34" w14:textId="77777777" w:rsidR="00615E2D" w:rsidRDefault="00615E2D">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348754"/>
      <w:docPartObj>
        <w:docPartGallery w:val="Page Numbers (Bottom of Page)"/>
        <w:docPartUnique/>
      </w:docPartObj>
    </w:sdtPr>
    <w:sdtEndPr>
      <w:rPr>
        <w:noProof/>
      </w:rPr>
    </w:sdtEndPr>
    <w:sdtContent>
      <w:p w14:paraId="65BF422C" w14:textId="054C732A" w:rsidR="00615E2D" w:rsidRDefault="00C83E46">
        <w:pPr>
          <w:pStyle w:val="Footer"/>
          <w:jc w:val="center"/>
        </w:pPr>
        <w:r>
          <w:fldChar w:fldCharType="begin"/>
        </w:r>
        <w:r>
          <w:instrText xml:space="preserve"> PAGE   \* MERGEFORMAT </w:instrText>
        </w:r>
        <w:r>
          <w:fldChar w:fldCharType="separate"/>
        </w:r>
        <w:r>
          <w:t>150</w:t>
        </w:r>
        <w:r>
          <w:fldChar w:fldCharType="end"/>
        </w:r>
      </w:p>
    </w:sdtContent>
  </w:sdt>
  <w:p w14:paraId="56BCF089" w14:textId="77777777" w:rsidR="00615E2D" w:rsidRDefault="00615E2D">
    <w:pPr>
      <w:pStyle w:val="FooterCouncil"/>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FEDE" w14:textId="77777777" w:rsidR="00615E2D" w:rsidRDefault="00615E2D">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D29FA" w14:textId="77777777" w:rsidR="00615E2D" w:rsidRDefault="00615E2D">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719762"/>
      <w:docPartObj>
        <w:docPartGallery w:val="Page Numbers (Bottom of Page)"/>
        <w:docPartUnique/>
      </w:docPartObj>
    </w:sdtPr>
    <w:sdtEndPr>
      <w:rPr>
        <w:noProof/>
      </w:rPr>
    </w:sdtEndPr>
    <w:sdtContent>
      <w:p w14:paraId="60EC54B1" w14:textId="15F85136" w:rsidR="00615E2D" w:rsidRDefault="00C83E46">
        <w:pPr>
          <w:pStyle w:val="Footer"/>
          <w:jc w:val="center"/>
        </w:pPr>
        <w:r>
          <w:fldChar w:fldCharType="begin"/>
        </w:r>
        <w:r>
          <w:instrText xml:space="preserve"> PAGE   \* MERGEFORMAT </w:instrText>
        </w:r>
        <w:r>
          <w:fldChar w:fldCharType="separate"/>
        </w:r>
        <w:r>
          <w:t>152</w:t>
        </w:r>
        <w:r>
          <w:fldChar w:fldCharType="end"/>
        </w:r>
      </w:p>
    </w:sdtContent>
  </w:sdt>
  <w:p w14:paraId="5DD94853" w14:textId="77777777" w:rsidR="00615E2D" w:rsidRDefault="00615E2D">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8C19" w14:textId="77777777" w:rsidR="00615E2D" w:rsidRDefault="00615E2D">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F3AC" w14:textId="77777777" w:rsidR="00615E2D" w:rsidRDefault="00615E2D">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810811"/>
      <w:docPartObj>
        <w:docPartGallery w:val="Page Numbers (Bottom of Page)"/>
        <w:docPartUnique/>
      </w:docPartObj>
    </w:sdtPr>
    <w:sdtEndPr>
      <w:rPr>
        <w:noProof/>
      </w:rPr>
    </w:sdtEndPr>
    <w:sdtContent>
      <w:p w14:paraId="2F58D3A2" w14:textId="3C6939A9" w:rsidR="00615E2D" w:rsidRDefault="00C83E46">
        <w:pPr>
          <w:pStyle w:val="Footer"/>
          <w:jc w:val="center"/>
        </w:pPr>
        <w:r>
          <w:fldChar w:fldCharType="begin"/>
        </w:r>
        <w:r>
          <w:instrText xml:space="preserve"> PAGE   \* MERGEFORMAT </w:instrText>
        </w:r>
        <w:r>
          <w:fldChar w:fldCharType="separate"/>
        </w:r>
        <w:r>
          <w:t>155</w:t>
        </w:r>
        <w:r>
          <w:fldChar w:fldCharType="end"/>
        </w:r>
      </w:p>
    </w:sdtContent>
  </w:sdt>
  <w:p w14:paraId="58192B86" w14:textId="77777777" w:rsidR="00615E2D" w:rsidRDefault="00615E2D">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C0A3" w14:textId="77777777" w:rsidR="00615E2D" w:rsidRDefault="00615E2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71AE" w14:textId="77777777" w:rsidR="00615E2D" w:rsidRDefault="00615E2D">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F21E1" w14:textId="77777777" w:rsidR="00615E2D" w:rsidRDefault="00615E2D">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249235"/>
      <w:docPartObj>
        <w:docPartGallery w:val="Page Numbers (Bottom of Page)"/>
        <w:docPartUnique/>
      </w:docPartObj>
    </w:sdtPr>
    <w:sdtEndPr>
      <w:rPr>
        <w:noProof/>
      </w:rPr>
    </w:sdtEndPr>
    <w:sdtContent>
      <w:p w14:paraId="199AD85C" w14:textId="76726C6E" w:rsidR="00615E2D" w:rsidRDefault="00C83E46">
        <w:pPr>
          <w:pStyle w:val="Footer"/>
          <w:jc w:val="center"/>
        </w:pPr>
        <w:r>
          <w:fldChar w:fldCharType="begin"/>
        </w:r>
        <w:r>
          <w:instrText xml:space="preserve"> PAGE   \* MERGEFORMAT </w:instrText>
        </w:r>
        <w:r>
          <w:fldChar w:fldCharType="separate"/>
        </w:r>
        <w:r>
          <w:t>158</w:t>
        </w:r>
        <w:r>
          <w:fldChar w:fldCharType="end"/>
        </w:r>
      </w:p>
    </w:sdtContent>
  </w:sdt>
  <w:p w14:paraId="43DA99A1" w14:textId="77777777" w:rsidR="00615E2D" w:rsidRDefault="00615E2D">
    <w:pPr>
      <w:pStyle w:val="Footer"/>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1407C" w14:textId="77777777" w:rsidR="00615E2D" w:rsidRDefault="00615E2D">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28F03" w14:textId="77777777" w:rsidR="00615E2D" w:rsidRDefault="00615E2D">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485363"/>
      <w:docPartObj>
        <w:docPartGallery w:val="Page Numbers (Bottom of Page)"/>
        <w:docPartUnique/>
      </w:docPartObj>
    </w:sdtPr>
    <w:sdtEndPr>
      <w:rPr>
        <w:noProof/>
      </w:rPr>
    </w:sdtEndPr>
    <w:sdtContent>
      <w:p w14:paraId="3976D64C" w14:textId="688ACA91" w:rsidR="00615E2D" w:rsidRDefault="00C83E46">
        <w:pPr>
          <w:pStyle w:val="Footer"/>
          <w:jc w:val="center"/>
        </w:pPr>
        <w:r>
          <w:fldChar w:fldCharType="begin"/>
        </w:r>
        <w:r>
          <w:instrText xml:space="preserve"> PAGE   \* MERGEFORMAT </w:instrText>
        </w:r>
        <w:r>
          <w:fldChar w:fldCharType="separate"/>
        </w:r>
        <w:r>
          <w:t>161</w:t>
        </w:r>
        <w:r>
          <w:fldChar w:fldCharType="end"/>
        </w:r>
      </w:p>
    </w:sdtContent>
  </w:sdt>
  <w:p w14:paraId="10C3F6C1" w14:textId="77777777" w:rsidR="00615E2D" w:rsidRDefault="00615E2D">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CB1A4" w14:textId="77777777" w:rsidR="00615E2D" w:rsidRDefault="00615E2D">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E267" w14:textId="77777777" w:rsidR="00615E2D" w:rsidRDefault="00615E2D">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550970"/>
      <w:docPartObj>
        <w:docPartGallery w:val="Page Numbers (Bottom of Page)"/>
        <w:docPartUnique/>
      </w:docPartObj>
    </w:sdtPr>
    <w:sdtEndPr>
      <w:rPr>
        <w:noProof/>
      </w:rPr>
    </w:sdtEndPr>
    <w:sdtContent>
      <w:p w14:paraId="24B902EF" w14:textId="403ADCB5" w:rsidR="00615E2D" w:rsidRDefault="00C83E46">
        <w:pPr>
          <w:pStyle w:val="Footer"/>
          <w:jc w:val="center"/>
        </w:pPr>
        <w:r>
          <w:fldChar w:fldCharType="begin"/>
        </w:r>
        <w:r>
          <w:instrText xml:space="preserve"> PAGE   \* MERGEFORMAT </w:instrText>
        </w:r>
        <w:r>
          <w:fldChar w:fldCharType="separate"/>
        </w:r>
        <w:r>
          <w:t>163</w:t>
        </w:r>
        <w:r>
          <w:fldChar w:fldCharType="end"/>
        </w:r>
      </w:p>
    </w:sdtContent>
  </w:sdt>
  <w:p w14:paraId="0C3848E5" w14:textId="77777777" w:rsidR="00615E2D" w:rsidRDefault="00615E2D">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32CD7" w14:textId="77777777" w:rsidR="00615E2D" w:rsidRDefault="00615E2D">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CB45" w14:textId="77777777" w:rsidR="00615E2D" w:rsidRDefault="00615E2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576224"/>
      <w:docPartObj>
        <w:docPartGallery w:val="Page Numbers (Bottom of Page)"/>
        <w:docPartUnique/>
      </w:docPartObj>
    </w:sdtPr>
    <w:sdtEndPr>
      <w:rPr>
        <w:noProof/>
      </w:rPr>
    </w:sdtEndPr>
    <w:sdtContent>
      <w:p w14:paraId="07967CE3" w14:textId="3DCA0038" w:rsidR="00615E2D" w:rsidRDefault="00C83E46">
        <w:pPr>
          <w:pStyle w:val="Footer"/>
          <w:jc w:val="center"/>
        </w:pPr>
        <w:r>
          <w:fldChar w:fldCharType="begin"/>
        </w:r>
        <w:r>
          <w:instrText xml:space="preserve"> PAGE   \* MERGEFORMAT </w:instrText>
        </w:r>
        <w:r>
          <w:fldChar w:fldCharType="separate"/>
        </w:r>
        <w:r w:rsidR="000A701C">
          <w:rPr>
            <w:noProof/>
          </w:rPr>
          <w:t>12</w:t>
        </w:r>
        <w:r>
          <w:fldChar w:fldCharType="end"/>
        </w:r>
      </w:p>
    </w:sdtContent>
  </w:sdt>
  <w:p w14:paraId="74EEAD28" w14:textId="77777777" w:rsidR="00615E2D" w:rsidRDefault="00615E2D">
    <w:pPr>
      <w:pStyle w:val="FooterCouncil"/>
    </w:pP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257742"/>
      <w:docPartObj>
        <w:docPartGallery w:val="Page Numbers (Bottom of Page)"/>
        <w:docPartUnique/>
      </w:docPartObj>
    </w:sdtPr>
    <w:sdtEndPr>
      <w:rPr>
        <w:noProof/>
      </w:rPr>
    </w:sdtEndPr>
    <w:sdtContent>
      <w:p w14:paraId="1F7DF478" w14:textId="603C674A" w:rsidR="00615E2D" w:rsidRDefault="00C83E46">
        <w:pPr>
          <w:pStyle w:val="Footer"/>
          <w:jc w:val="center"/>
        </w:pPr>
        <w:r>
          <w:fldChar w:fldCharType="begin"/>
        </w:r>
        <w:r>
          <w:instrText xml:space="preserve"> PAGE   \* MERGEFORMAT </w:instrText>
        </w:r>
        <w:r>
          <w:fldChar w:fldCharType="separate"/>
        </w:r>
        <w:r>
          <w:t>169</w:t>
        </w:r>
        <w:r>
          <w:fldChar w:fldCharType="end"/>
        </w:r>
      </w:p>
    </w:sdtContent>
  </w:sdt>
  <w:p w14:paraId="6FC37E67" w14:textId="77777777" w:rsidR="00615E2D" w:rsidRDefault="00615E2D">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4905" w14:textId="77777777" w:rsidR="00615E2D" w:rsidRDefault="00615E2D">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218C" w14:textId="77777777" w:rsidR="00615E2D" w:rsidRDefault="00615E2D">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6103"/>
      <w:docPartObj>
        <w:docPartGallery w:val="Page Numbers (Bottom of Page)"/>
        <w:docPartUnique/>
      </w:docPartObj>
    </w:sdtPr>
    <w:sdtEndPr>
      <w:rPr>
        <w:noProof/>
      </w:rPr>
    </w:sdtEndPr>
    <w:sdtContent>
      <w:p w14:paraId="23855DAB" w14:textId="6627A783" w:rsidR="00615E2D" w:rsidRDefault="00C83E46">
        <w:pPr>
          <w:pStyle w:val="Footer"/>
          <w:jc w:val="center"/>
        </w:pPr>
        <w:r>
          <w:fldChar w:fldCharType="begin"/>
        </w:r>
        <w:r>
          <w:instrText xml:space="preserve"> PAGE   \* MERGEFORMAT </w:instrText>
        </w:r>
        <w:r>
          <w:fldChar w:fldCharType="separate"/>
        </w:r>
        <w:r>
          <w:t>171</w:t>
        </w:r>
        <w:r>
          <w:fldChar w:fldCharType="end"/>
        </w:r>
      </w:p>
    </w:sdtContent>
  </w:sdt>
  <w:p w14:paraId="2C513498" w14:textId="77777777" w:rsidR="00615E2D" w:rsidRDefault="00615E2D">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BEB96" w14:textId="77777777" w:rsidR="00615E2D" w:rsidRDefault="00615E2D">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54C1E" w14:textId="77777777" w:rsidR="00615E2D" w:rsidRDefault="00615E2D">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339640"/>
      <w:docPartObj>
        <w:docPartGallery w:val="Page Numbers (Bottom of Page)"/>
        <w:docPartUnique/>
      </w:docPartObj>
    </w:sdtPr>
    <w:sdtEndPr>
      <w:rPr>
        <w:noProof/>
      </w:rPr>
    </w:sdtEndPr>
    <w:sdtContent>
      <w:p w14:paraId="6B77A501" w14:textId="152F7113" w:rsidR="00615E2D" w:rsidRDefault="00C83E46">
        <w:pPr>
          <w:pStyle w:val="Footer"/>
          <w:jc w:val="center"/>
        </w:pPr>
        <w:r>
          <w:fldChar w:fldCharType="begin"/>
        </w:r>
        <w:r>
          <w:instrText xml:space="preserve"> PAGE   \* MERGEFORMAT </w:instrText>
        </w:r>
        <w:r>
          <w:fldChar w:fldCharType="separate"/>
        </w:r>
        <w:r>
          <w:t>174</w:t>
        </w:r>
        <w:r>
          <w:fldChar w:fldCharType="end"/>
        </w:r>
      </w:p>
    </w:sdtContent>
  </w:sdt>
  <w:p w14:paraId="776E6189" w14:textId="77777777" w:rsidR="00615E2D" w:rsidRDefault="00615E2D">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7106" w14:textId="77777777" w:rsidR="00615E2D" w:rsidRDefault="00615E2D">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F2BE" w14:textId="77777777" w:rsidR="00615E2D" w:rsidRDefault="00615E2D">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395615"/>
      <w:docPartObj>
        <w:docPartGallery w:val="Page Numbers (Bottom of Page)"/>
        <w:docPartUnique/>
      </w:docPartObj>
    </w:sdtPr>
    <w:sdtEndPr>
      <w:rPr>
        <w:noProof/>
      </w:rPr>
    </w:sdtEndPr>
    <w:sdtContent>
      <w:p w14:paraId="23262636" w14:textId="19E8CEE9" w:rsidR="00615E2D" w:rsidRDefault="00C83E46">
        <w:pPr>
          <w:pStyle w:val="Footer"/>
          <w:jc w:val="center"/>
        </w:pPr>
        <w:r>
          <w:fldChar w:fldCharType="begin"/>
        </w:r>
        <w:r>
          <w:instrText xml:space="preserve"> PAGE   \* MERGEFORMAT </w:instrText>
        </w:r>
        <w:r>
          <w:fldChar w:fldCharType="separate"/>
        </w:r>
        <w:r>
          <w:t>176</w:t>
        </w:r>
        <w:r>
          <w:fldChar w:fldCharType="end"/>
        </w:r>
      </w:p>
    </w:sdtContent>
  </w:sdt>
  <w:p w14:paraId="361BEAD4" w14:textId="77777777" w:rsidR="00615E2D" w:rsidRDefault="00615E2D">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D403" w14:textId="77777777" w:rsidR="00615E2D" w:rsidRDefault="00615E2D">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4B6B" w14:textId="77777777" w:rsidR="00615E2D" w:rsidRDefault="00615E2D">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9F0D7" w14:textId="77777777" w:rsidR="00615E2D" w:rsidRDefault="00615E2D">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381755"/>
      <w:docPartObj>
        <w:docPartGallery w:val="Page Numbers (Bottom of Page)"/>
        <w:docPartUnique/>
      </w:docPartObj>
    </w:sdtPr>
    <w:sdtEndPr>
      <w:rPr>
        <w:noProof/>
      </w:rPr>
    </w:sdtEndPr>
    <w:sdtContent>
      <w:p w14:paraId="5E6FDC03" w14:textId="1E45460B" w:rsidR="00615E2D" w:rsidRDefault="00C83E46">
        <w:pPr>
          <w:pStyle w:val="Footer"/>
          <w:jc w:val="center"/>
        </w:pPr>
        <w:r>
          <w:fldChar w:fldCharType="begin"/>
        </w:r>
        <w:r>
          <w:instrText xml:space="preserve"> PAGE   \* MERGEFORMAT </w:instrText>
        </w:r>
        <w:r>
          <w:fldChar w:fldCharType="separate"/>
        </w:r>
        <w:r>
          <w:t>178</w:t>
        </w:r>
        <w:r>
          <w:fldChar w:fldCharType="end"/>
        </w:r>
      </w:p>
    </w:sdtContent>
  </w:sdt>
  <w:p w14:paraId="2531390B" w14:textId="77777777" w:rsidR="00615E2D" w:rsidRDefault="00615E2D">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3E870" w14:textId="77777777" w:rsidR="00615E2D" w:rsidRDefault="00615E2D">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126A9" w14:textId="77777777" w:rsidR="00615E2D" w:rsidRDefault="00615E2D">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382557"/>
      <w:docPartObj>
        <w:docPartGallery w:val="Page Numbers (Bottom of Page)"/>
        <w:docPartUnique/>
      </w:docPartObj>
    </w:sdtPr>
    <w:sdtEndPr>
      <w:rPr>
        <w:noProof/>
      </w:rPr>
    </w:sdtEndPr>
    <w:sdtContent>
      <w:p w14:paraId="704F319E" w14:textId="05E793EB" w:rsidR="00615E2D" w:rsidRDefault="00C83E46">
        <w:pPr>
          <w:pStyle w:val="Footer"/>
          <w:jc w:val="center"/>
        </w:pPr>
        <w:r>
          <w:fldChar w:fldCharType="begin"/>
        </w:r>
        <w:r>
          <w:instrText xml:space="preserve"> PAGE   \* MERGEFORMAT </w:instrText>
        </w:r>
        <w:r>
          <w:fldChar w:fldCharType="separate"/>
        </w:r>
        <w:r>
          <w:t>179</w:t>
        </w:r>
        <w:r>
          <w:fldChar w:fldCharType="end"/>
        </w:r>
      </w:p>
    </w:sdtContent>
  </w:sdt>
  <w:p w14:paraId="7D0E2178" w14:textId="77777777" w:rsidR="00615E2D" w:rsidRDefault="00615E2D">
    <w:pPr>
      <w:pStyle w:val="FooterCouncil"/>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3155" w14:textId="77777777" w:rsidR="00615E2D" w:rsidRDefault="00615E2D">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4902" w14:textId="77777777" w:rsidR="00615E2D" w:rsidRDefault="00615E2D">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929516"/>
      <w:docPartObj>
        <w:docPartGallery w:val="Page Numbers (Bottom of Page)"/>
        <w:docPartUnique/>
      </w:docPartObj>
    </w:sdtPr>
    <w:sdtEndPr>
      <w:rPr>
        <w:noProof/>
      </w:rPr>
    </w:sdtEndPr>
    <w:sdtContent>
      <w:p w14:paraId="509C787F" w14:textId="2B7DD390" w:rsidR="00615E2D" w:rsidRDefault="00C83E46">
        <w:pPr>
          <w:pStyle w:val="Footer"/>
          <w:jc w:val="center"/>
        </w:pPr>
        <w:r>
          <w:fldChar w:fldCharType="begin"/>
        </w:r>
        <w:r>
          <w:instrText xml:space="preserve"> PAGE   \* MERGEFORMAT </w:instrText>
        </w:r>
        <w:r>
          <w:fldChar w:fldCharType="separate"/>
        </w:r>
        <w:r>
          <w:t>181</w:t>
        </w:r>
        <w:r>
          <w:fldChar w:fldCharType="end"/>
        </w:r>
      </w:p>
    </w:sdtContent>
  </w:sdt>
  <w:p w14:paraId="6A9E2E4C" w14:textId="77777777" w:rsidR="00615E2D" w:rsidRDefault="00615E2D">
    <w:pPr>
      <w:pStyle w:val="FooterCouncil"/>
    </w:pP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3BDF" w14:textId="77777777" w:rsidR="00615E2D" w:rsidRDefault="00615E2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4443" w14:textId="77777777" w:rsidR="00615E2D" w:rsidRDefault="00615E2D">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ADDA" w14:textId="77777777" w:rsidR="00615E2D" w:rsidRDefault="00615E2D">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490653"/>
      <w:docPartObj>
        <w:docPartGallery w:val="Page Numbers (Bottom of Page)"/>
        <w:docPartUnique/>
      </w:docPartObj>
    </w:sdtPr>
    <w:sdtEndPr>
      <w:rPr>
        <w:noProof/>
      </w:rPr>
    </w:sdtEndPr>
    <w:sdtContent>
      <w:p w14:paraId="6515B165" w14:textId="229C1BD6" w:rsidR="00615E2D" w:rsidRDefault="00C83E46">
        <w:pPr>
          <w:pStyle w:val="Footer"/>
          <w:jc w:val="center"/>
        </w:pPr>
        <w:r>
          <w:fldChar w:fldCharType="begin"/>
        </w:r>
        <w:r>
          <w:instrText xml:space="preserve"> PAGE   \* MERGEFORMAT </w:instrText>
        </w:r>
        <w:r>
          <w:fldChar w:fldCharType="separate"/>
        </w:r>
        <w:r>
          <w:t>184</w:t>
        </w:r>
        <w:r>
          <w:fldChar w:fldCharType="end"/>
        </w:r>
      </w:p>
    </w:sdtContent>
  </w:sdt>
  <w:p w14:paraId="6950F3DC" w14:textId="77777777" w:rsidR="00615E2D" w:rsidRDefault="00615E2D">
    <w:pPr>
      <w:pStyle w:val="FooterCouncil"/>
    </w:pP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D460" w14:textId="77777777" w:rsidR="00615E2D" w:rsidRDefault="00615E2D">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4635" w14:textId="77777777" w:rsidR="00615E2D" w:rsidRDefault="00615E2D">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958213"/>
      <w:docPartObj>
        <w:docPartGallery w:val="Page Numbers (Bottom of Page)"/>
        <w:docPartUnique/>
      </w:docPartObj>
    </w:sdtPr>
    <w:sdtEndPr>
      <w:rPr>
        <w:noProof/>
      </w:rPr>
    </w:sdtEndPr>
    <w:sdtContent>
      <w:p w14:paraId="1C0B7EC7" w14:textId="51ED863F" w:rsidR="00615E2D" w:rsidRDefault="00C83E46">
        <w:pPr>
          <w:pStyle w:val="Footer"/>
          <w:jc w:val="center"/>
        </w:pPr>
        <w:r>
          <w:fldChar w:fldCharType="begin"/>
        </w:r>
        <w:r>
          <w:instrText xml:space="preserve"> PAGE   \* MERGEFORMAT </w:instrText>
        </w:r>
        <w:r>
          <w:fldChar w:fldCharType="separate"/>
        </w:r>
        <w:r>
          <w:t>189</w:t>
        </w:r>
        <w:r>
          <w:fldChar w:fldCharType="end"/>
        </w:r>
      </w:p>
    </w:sdtContent>
  </w:sdt>
  <w:p w14:paraId="21A5D4CD" w14:textId="77777777" w:rsidR="00615E2D" w:rsidRDefault="00615E2D">
    <w:pPr>
      <w:pStyle w:val="FooterCouncil"/>
    </w:pPr>
  </w:p>
</w:ftr>
</file>

<file path=word/footer1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F3823" w14:textId="77777777" w:rsidR="00615E2D" w:rsidRDefault="00615E2D">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5348" w14:textId="77777777" w:rsidR="00615E2D" w:rsidRDefault="00615E2D">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89337"/>
      <w:docPartObj>
        <w:docPartGallery w:val="Page Numbers (Bottom of Page)"/>
        <w:docPartUnique/>
      </w:docPartObj>
    </w:sdtPr>
    <w:sdtEndPr>
      <w:rPr>
        <w:noProof/>
      </w:rPr>
    </w:sdtEndPr>
    <w:sdtContent>
      <w:p w14:paraId="524FCB16" w14:textId="6C908881" w:rsidR="00615E2D" w:rsidRDefault="00C83E46">
        <w:pPr>
          <w:pStyle w:val="Footer"/>
          <w:jc w:val="center"/>
        </w:pPr>
        <w:r>
          <w:fldChar w:fldCharType="begin"/>
        </w:r>
        <w:r>
          <w:instrText xml:space="preserve"> PAGE   \* MERGEFORMAT </w:instrText>
        </w:r>
        <w:r>
          <w:fldChar w:fldCharType="separate"/>
        </w:r>
        <w:r>
          <w:t>190</w:t>
        </w:r>
        <w:r>
          <w:fldChar w:fldCharType="end"/>
        </w:r>
      </w:p>
    </w:sdtContent>
  </w:sdt>
  <w:p w14:paraId="0439C22E" w14:textId="77777777" w:rsidR="00615E2D" w:rsidRDefault="00615E2D">
    <w:pPr>
      <w:pStyle w:val="FooterCouncil"/>
    </w:pPr>
  </w:p>
</w:ftr>
</file>

<file path=word/footer1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676FD" w14:textId="77777777" w:rsidR="00615E2D" w:rsidRDefault="00615E2D">
    <w:pPr>
      <w:pStyle w:val="Footer"/>
    </w:pPr>
  </w:p>
</w:ftr>
</file>

<file path=word/footer1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8ADCD" w14:textId="77777777" w:rsidR="00615E2D" w:rsidRDefault="00615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88BB" w14:textId="6231EA5F" w:rsidR="00C1101C" w:rsidRPr="009978F5" w:rsidRDefault="009978F5" w:rsidP="009978F5">
    <w:pPr>
      <w:pStyle w:val="FooterCoverPage"/>
      <w:rPr>
        <w:rFonts w:ascii="Arial" w:hAnsi="Arial" w:cs="Arial"/>
        <w:b/>
        <w:sz w:val="48"/>
      </w:rPr>
    </w:pPr>
    <w:r w:rsidRPr="009978F5">
      <w:rPr>
        <w:rFonts w:ascii="Arial" w:hAnsi="Arial" w:cs="Arial"/>
        <w:b/>
        <w:sz w:val="48"/>
      </w:rPr>
      <w:t>HR</w:t>
    </w:r>
    <w:r w:rsidRPr="009978F5">
      <w:rPr>
        <w:rFonts w:ascii="Arial" w:hAnsi="Arial" w:cs="Arial"/>
        <w:b/>
        <w:sz w:val="48"/>
      </w:rPr>
      <w:tab/>
    </w:r>
    <w:r w:rsidRPr="009978F5">
      <w:rPr>
        <w:rFonts w:ascii="Arial" w:hAnsi="Arial" w:cs="Arial"/>
        <w:b/>
        <w:sz w:val="48"/>
      </w:rPr>
      <w:tab/>
    </w:r>
    <w:r w:rsidRPr="009978F5">
      <w:tab/>
    </w:r>
    <w:r w:rsidRPr="009978F5">
      <w:rPr>
        <w:rFonts w:ascii="Arial" w:hAnsi="Arial" w:cs="Arial"/>
        <w:b/>
        <w:sz w:val="48"/>
      </w:rPr>
      <w:t>HR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2123"/>
      <w:docPartObj>
        <w:docPartGallery w:val="Page Numbers (Bottom of Page)"/>
        <w:docPartUnique/>
      </w:docPartObj>
    </w:sdtPr>
    <w:sdtEndPr>
      <w:rPr>
        <w:noProof/>
      </w:rPr>
    </w:sdtEndPr>
    <w:sdtContent>
      <w:p w14:paraId="3029EFB4" w14:textId="1EBD3DA3" w:rsidR="00615E2D" w:rsidRDefault="00C83E46">
        <w:pPr>
          <w:pStyle w:val="Footer"/>
          <w:jc w:val="center"/>
        </w:pPr>
        <w:r>
          <w:fldChar w:fldCharType="begin"/>
        </w:r>
        <w:r>
          <w:instrText xml:space="preserve"> PAGE   \* MERGEFORMAT </w:instrText>
        </w:r>
        <w:r>
          <w:fldChar w:fldCharType="separate"/>
        </w:r>
        <w:r w:rsidR="000A701C">
          <w:rPr>
            <w:noProof/>
          </w:rPr>
          <w:t>18</w:t>
        </w:r>
        <w:r>
          <w:fldChar w:fldCharType="end"/>
        </w:r>
      </w:p>
    </w:sdtContent>
  </w:sdt>
  <w:p w14:paraId="0C138EA0" w14:textId="77777777" w:rsidR="00615E2D" w:rsidRDefault="00615E2D">
    <w:pPr>
      <w:pStyle w:val="FooterCouncil"/>
    </w:pPr>
  </w:p>
</w:ftr>
</file>

<file path=word/footer2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120921"/>
      <w:docPartObj>
        <w:docPartGallery w:val="Page Numbers (Bottom of Page)"/>
        <w:docPartUnique/>
      </w:docPartObj>
    </w:sdtPr>
    <w:sdtEndPr>
      <w:rPr>
        <w:noProof/>
      </w:rPr>
    </w:sdtEndPr>
    <w:sdtContent>
      <w:p w14:paraId="6C01AAF7" w14:textId="676CA78B" w:rsidR="00615E2D" w:rsidRDefault="00C83E46">
        <w:pPr>
          <w:pStyle w:val="Footer"/>
          <w:jc w:val="center"/>
        </w:pPr>
        <w:r>
          <w:fldChar w:fldCharType="begin"/>
        </w:r>
        <w:r>
          <w:instrText xml:space="preserve"> PAGE   \* MERGEFORMAT </w:instrText>
        </w:r>
        <w:r>
          <w:fldChar w:fldCharType="separate"/>
        </w:r>
        <w:r>
          <w:t>192</w:t>
        </w:r>
        <w:r>
          <w:fldChar w:fldCharType="end"/>
        </w:r>
      </w:p>
    </w:sdtContent>
  </w:sdt>
  <w:p w14:paraId="0C0528A5" w14:textId="77777777" w:rsidR="00615E2D" w:rsidRDefault="00615E2D">
    <w:pPr>
      <w:pStyle w:val="FooterCouncil"/>
    </w:pPr>
  </w:p>
</w:ftr>
</file>

<file path=word/footer2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9DD64" w14:textId="77777777" w:rsidR="00615E2D" w:rsidRDefault="00615E2D">
    <w:pPr>
      <w:pStyle w:val="Footer"/>
    </w:pPr>
  </w:p>
</w:ftr>
</file>

<file path=word/footer2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5A6A1" w14:textId="77777777" w:rsidR="00615E2D" w:rsidRDefault="00615E2D">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840960"/>
      <w:docPartObj>
        <w:docPartGallery w:val="Page Numbers (Bottom of Page)"/>
        <w:docPartUnique/>
      </w:docPartObj>
    </w:sdtPr>
    <w:sdtEndPr>
      <w:rPr>
        <w:noProof/>
      </w:rPr>
    </w:sdtEndPr>
    <w:sdtContent>
      <w:p w14:paraId="282CDDA1" w14:textId="6AB4AB69" w:rsidR="00615E2D" w:rsidRDefault="00C83E46">
        <w:pPr>
          <w:pStyle w:val="Footer"/>
          <w:jc w:val="center"/>
        </w:pPr>
        <w:r>
          <w:fldChar w:fldCharType="begin"/>
        </w:r>
        <w:r>
          <w:instrText xml:space="preserve"> PAGE   \* MERGEFORMAT </w:instrText>
        </w:r>
        <w:r>
          <w:fldChar w:fldCharType="separate"/>
        </w:r>
        <w:r>
          <w:t>194</w:t>
        </w:r>
        <w:r>
          <w:fldChar w:fldCharType="end"/>
        </w:r>
      </w:p>
    </w:sdtContent>
  </w:sdt>
  <w:p w14:paraId="497D4D4F" w14:textId="77777777" w:rsidR="00615E2D" w:rsidRDefault="00615E2D">
    <w:pPr>
      <w:pStyle w:val="Footer"/>
    </w:pPr>
  </w:p>
</w:ftr>
</file>

<file path=word/footer2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A2422" w14:textId="77777777" w:rsidR="00615E2D" w:rsidRDefault="00615E2D">
    <w:pPr>
      <w:pStyle w:val="Footer"/>
    </w:pPr>
  </w:p>
</w:ftr>
</file>

<file path=word/footer2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3640" w14:textId="77777777" w:rsidR="00615E2D" w:rsidRDefault="00615E2D">
    <w:pPr>
      <w:pStyle w:val="Footer"/>
    </w:pPr>
  </w:p>
</w:ftr>
</file>

<file path=word/footer2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71568"/>
      <w:docPartObj>
        <w:docPartGallery w:val="Page Numbers (Bottom of Page)"/>
        <w:docPartUnique/>
      </w:docPartObj>
    </w:sdtPr>
    <w:sdtEndPr>
      <w:rPr>
        <w:noProof/>
      </w:rPr>
    </w:sdtEndPr>
    <w:sdtContent>
      <w:p w14:paraId="26F1B103" w14:textId="3075C28E" w:rsidR="00615E2D" w:rsidRDefault="00C83E46">
        <w:pPr>
          <w:pStyle w:val="Footer"/>
          <w:jc w:val="center"/>
        </w:pPr>
        <w:r>
          <w:fldChar w:fldCharType="begin"/>
        </w:r>
        <w:r>
          <w:instrText xml:space="preserve"> PAGE   \* MERGEFORMAT </w:instrText>
        </w:r>
        <w:r>
          <w:fldChar w:fldCharType="separate"/>
        </w:r>
        <w:r>
          <w:t>196</w:t>
        </w:r>
        <w:r>
          <w:fldChar w:fldCharType="end"/>
        </w:r>
      </w:p>
    </w:sdtContent>
  </w:sdt>
  <w:p w14:paraId="48321608" w14:textId="77777777" w:rsidR="00615E2D" w:rsidRDefault="00615E2D">
    <w:pPr>
      <w:pStyle w:val="FooterCouncil"/>
    </w:pPr>
  </w:p>
</w:ftr>
</file>

<file path=word/footer2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708B1" w14:textId="77777777" w:rsidR="00615E2D" w:rsidRDefault="00615E2D">
    <w:pPr>
      <w:pStyle w:val="Footer"/>
    </w:pPr>
  </w:p>
</w:ftr>
</file>

<file path=word/footer2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F9AC" w14:textId="77777777" w:rsidR="00615E2D" w:rsidRDefault="00615E2D">
    <w:pPr>
      <w:pStyle w:val="Footer"/>
    </w:pPr>
  </w:p>
</w:ftr>
</file>

<file path=word/footer2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38761"/>
      <w:docPartObj>
        <w:docPartGallery w:val="Page Numbers (Bottom of Page)"/>
        <w:docPartUnique/>
      </w:docPartObj>
    </w:sdtPr>
    <w:sdtEndPr>
      <w:rPr>
        <w:noProof/>
      </w:rPr>
    </w:sdtEndPr>
    <w:sdtContent>
      <w:p w14:paraId="15BADCF2" w14:textId="7053881B" w:rsidR="00615E2D" w:rsidRDefault="00C83E46">
        <w:pPr>
          <w:pStyle w:val="Footer"/>
          <w:jc w:val="center"/>
        </w:pPr>
        <w:r>
          <w:fldChar w:fldCharType="begin"/>
        </w:r>
        <w:r>
          <w:instrText xml:space="preserve"> PAGE   \* MERGEFORMAT </w:instrText>
        </w:r>
        <w:r>
          <w:fldChar w:fldCharType="separate"/>
        </w:r>
        <w:r>
          <w:t>199</w:t>
        </w:r>
        <w:r>
          <w:fldChar w:fldCharType="end"/>
        </w:r>
      </w:p>
    </w:sdtContent>
  </w:sdt>
  <w:p w14:paraId="5BB854AC" w14:textId="77777777" w:rsidR="00615E2D" w:rsidRDefault="00615E2D">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D0A4" w14:textId="77777777" w:rsidR="00615E2D" w:rsidRDefault="00615E2D">
    <w:pPr>
      <w:pStyle w:val="Footer"/>
    </w:pPr>
  </w:p>
</w:ftr>
</file>

<file path=word/footer2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2D5F" w14:textId="77777777" w:rsidR="00615E2D" w:rsidRDefault="00615E2D">
    <w:pPr>
      <w:pStyle w:val="Footer"/>
    </w:pPr>
  </w:p>
</w:ftr>
</file>

<file path=word/footer2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D2EA" w14:textId="77777777" w:rsidR="00615E2D" w:rsidRDefault="00615E2D">
    <w:pPr>
      <w:pStyle w:val="Footer"/>
    </w:pPr>
  </w:p>
</w:ftr>
</file>

<file path=word/footer2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114587"/>
      <w:docPartObj>
        <w:docPartGallery w:val="Page Numbers (Bottom of Page)"/>
        <w:docPartUnique/>
      </w:docPartObj>
    </w:sdtPr>
    <w:sdtEndPr>
      <w:rPr>
        <w:noProof/>
      </w:rPr>
    </w:sdtEndPr>
    <w:sdtContent>
      <w:p w14:paraId="7EE00A56" w14:textId="7F45B7BC" w:rsidR="00615E2D" w:rsidRDefault="00C83E46">
        <w:pPr>
          <w:pStyle w:val="Footer"/>
          <w:jc w:val="center"/>
        </w:pPr>
        <w:r>
          <w:fldChar w:fldCharType="begin"/>
        </w:r>
        <w:r>
          <w:instrText xml:space="preserve"> PAGE   \* MERGEFORMAT </w:instrText>
        </w:r>
        <w:r>
          <w:fldChar w:fldCharType="separate"/>
        </w:r>
        <w:r>
          <w:t>203</w:t>
        </w:r>
        <w:r>
          <w:fldChar w:fldCharType="end"/>
        </w:r>
      </w:p>
    </w:sdtContent>
  </w:sdt>
  <w:p w14:paraId="7CF68380" w14:textId="77777777" w:rsidR="00615E2D" w:rsidRDefault="00615E2D">
    <w:pPr>
      <w:pStyle w:val="FooterCouncil"/>
    </w:pPr>
  </w:p>
</w:ftr>
</file>

<file path=word/footer2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873E" w14:textId="77777777" w:rsidR="00615E2D" w:rsidRDefault="00615E2D">
    <w:pPr>
      <w:pStyle w:val="Footer"/>
    </w:pPr>
  </w:p>
</w:ftr>
</file>

<file path=word/footer2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4FF3C" w14:textId="77777777" w:rsidR="00615E2D" w:rsidRDefault="00615E2D">
    <w:pPr>
      <w:pStyle w:val="Footer"/>
    </w:pPr>
  </w:p>
</w:ftr>
</file>

<file path=word/footer2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346299"/>
      <w:docPartObj>
        <w:docPartGallery w:val="Page Numbers (Bottom of Page)"/>
        <w:docPartUnique/>
      </w:docPartObj>
    </w:sdtPr>
    <w:sdtEndPr>
      <w:rPr>
        <w:noProof/>
      </w:rPr>
    </w:sdtEndPr>
    <w:sdtContent>
      <w:p w14:paraId="45A30B0B" w14:textId="6F63468C" w:rsidR="00615E2D" w:rsidRDefault="00C83E46">
        <w:pPr>
          <w:pStyle w:val="Footer"/>
          <w:jc w:val="center"/>
        </w:pPr>
        <w:r>
          <w:fldChar w:fldCharType="begin"/>
        </w:r>
        <w:r>
          <w:instrText xml:space="preserve"> PAGE   \* MERGEFORMAT </w:instrText>
        </w:r>
        <w:r>
          <w:fldChar w:fldCharType="separate"/>
        </w:r>
        <w:r>
          <w:t>207</w:t>
        </w:r>
        <w:r>
          <w:fldChar w:fldCharType="end"/>
        </w:r>
      </w:p>
    </w:sdtContent>
  </w:sdt>
  <w:p w14:paraId="5B673CD9" w14:textId="77777777" w:rsidR="00615E2D" w:rsidRDefault="00615E2D">
    <w:pPr>
      <w:pStyle w:val="Footer"/>
    </w:pPr>
  </w:p>
</w:ftr>
</file>

<file path=word/footer2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C740" w14:textId="77777777" w:rsidR="00615E2D" w:rsidRDefault="00615E2D">
    <w:pPr>
      <w:pStyle w:val="Footer"/>
    </w:pPr>
  </w:p>
</w:ftr>
</file>

<file path=word/footer2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0A874" w14:textId="77777777" w:rsidR="00615E2D" w:rsidRDefault="00615E2D">
    <w:pPr>
      <w:pStyle w:val="Footer"/>
    </w:pPr>
  </w:p>
</w:ftr>
</file>

<file path=word/footer2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78476"/>
      <w:docPartObj>
        <w:docPartGallery w:val="Page Numbers (Bottom of Page)"/>
        <w:docPartUnique/>
      </w:docPartObj>
    </w:sdtPr>
    <w:sdtEndPr>
      <w:rPr>
        <w:noProof/>
      </w:rPr>
    </w:sdtEndPr>
    <w:sdtContent>
      <w:p w14:paraId="0A64BBBC" w14:textId="5A13B8C1" w:rsidR="00615E2D" w:rsidRDefault="00C83E46">
        <w:pPr>
          <w:pStyle w:val="Footer"/>
          <w:jc w:val="center"/>
        </w:pPr>
        <w:r>
          <w:fldChar w:fldCharType="begin"/>
        </w:r>
        <w:r>
          <w:instrText xml:space="preserve"> PAGE   \* MERGEFORMAT </w:instrText>
        </w:r>
        <w:r>
          <w:fldChar w:fldCharType="separate"/>
        </w:r>
        <w:r>
          <w:t>212</w:t>
        </w:r>
        <w:r>
          <w:fldChar w:fldCharType="end"/>
        </w:r>
      </w:p>
    </w:sdtContent>
  </w:sdt>
  <w:p w14:paraId="341ABE77" w14:textId="77777777" w:rsidR="00615E2D" w:rsidRDefault="00615E2D">
    <w:pPr>
      <w:pStyle w:val="Footer"/>
    </w:pPr>
  </w:p>
</w:ftr>
</file>

<file path=word/footer2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C6A3" w14:textId="77777777" w:rsidR="00615E2D" w:rsidRDefault="00615E2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BBF8" w14:textId="77777777" w:rsidR="00615E2D" w:rsidRDefault="00615E2D">
    <w:pPr>
      <w:pStyle w:val="Footer"/>
    </w:pPr>
  </w:p>
</w:ftr>
</file>

<file path=word/footer2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22BA4" w14:textId="77777777" w:rsidR="00615E2D" w:rsidRDefault="00615E2D">
    <w:pPr>
      <w:pStyle w:val="Footer"/>
    </w:pPr>
  </w:p>
</w:ftr>
</file>

<file path=word/footer2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734914"/>
      <w:docPartObj>
        <w:docPartGallery w:val="Page Numbers (Bottom of Page)"/>
        <w:docPartUnique/>
      </w:docPartObj>
    </w:sdtPr>
    <w:sdtEndPr>
      <w:rPr>
        <w:noProof/>
      </w:rPr>
    </w:sdtEndPr>
    <w:sdtContent>
      <w:p w14:paraId="70AEAD3F" w14:textId="71C7A66E" w:rsidR="00615E2D" w:rsidRDefault="00C83E46">
        <w:pPr>
          <w:pStyle w:val="Footer"/>
          <w:jc w:val="center"/>
        </w:pPr>
        <w:r>
          <w:fldChar w:fldCharType="begin"/>
        </w:r>
        <w:r>
          <w:instrText xml:space="preserve"> PAGE   \* MERGEFORMAT </w:instrText>
        </w:r>
        <w:r>
          <w:fldChar w:fldCharType="separate"/>
        </w:r>
        <w:r>
          <w:t>214</w:t>
        </w:r>
        <w:r>
          <w:fldChar w:fldCharType="end"/>
        </w:r>
      </w:p>
    </w:sdtContent>
  </w:sdt>
  <w:p w14:paraId="112D9EA3" w14:textId="77777777" w:rsidR="00615E2D" w:rsidRDefault="00615E2D">
    <w:pPr>
      <w:pStyle w:val="Footer"/>
    </w:pPr>
  </w:p>
</w:ftr>
</file>

<file path=word/footer2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FCF4" w14:textId="77777777" w:rsidR="00615E2D" w:rsidRDefault="00615E2D">
    <w:pPr>
      <w:pStyle w:val="Footer"/>
    </w:pPr>
  </w:p>
</w:ftr>
</file>

<file path=word/footer2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FAA56" w14:textId="77777777" w:rsidR="00615E2D" w:rsidRDefault="00615E2D">
    <w:pPr>
      <w:pStyle w:val="Footer"/>
    </w:pPr>
  </w:p>
</w:ftr>
</file>

<file path=word/footer2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120838"/>
      <w:docPartObj>
        <w:docPartGallery w:val="Page Numbers (Bottom of Page)"/>
        <w:docPartUnique/>
      </w:docPartObj>
    </w:sdtPr>
    <w:sdtEndPr>
      <w:rPr>
        <w:noProof/>
      </w:rPr>
    </w:sdtEndPr>
    <w:sdtContent>
      <w:p w14:paraId="2D8DCD3E" w14:textId="72D78353" w:rsidR="00615E2D" w:rsidRDefault="00C83E46">
        <w:pPr>
          <w:pStyle w:val="Footer"/>
          <w:jc w:val="center"/>
        </w:pPr>
        <w:r>
          <w:fldChar w:fldCharType="begin"/>
        </w:r>
        <w:r>
          <w:instrText xml:space="preserve"> PAGE   \* MERGEFORMAT </w:instrText>
        </w:r>
        <w:r>
          <w:fldChar w:fldCharType="separate"/>
        </w:r>
        <w:r>
          <w:t>219</w:t>
        </w:r>
        <w:r>
          <w:fldChar w:fldCharType="end"/>
        </w:r>
      </w:p>
    </w:sdtContent>
  </w:sdt>
  <w:p w14:paraId="5ED59FD4" w14:textId="77777777" w:rsidR="00615E2D" w:rsidRDefault="00615E2D">
    <w:pPr>
      <w:pStyle w:val="Footer"/>
    </w:pPr>
  </w:p>
</w:ftr>
</file>

<file path=word/footer2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E51E" w14:textId="77777777" w:rsidR="00615E2D" w:rsidRDefault="00615E2D">
    <w:pPr>
      <w:pStyle w:val="Footer"/>
    </w:pPr>
  </w:p>
</w:ftr>
</file>

<file path=word/footer2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6AE31" w14:textId="77777777" w:rsidR="00615E2D" w:rsidRDefault="00615E2D">
    <w:pPr>
      <w:pStyle w:val="Footer"/>
    </w:pPr>
  </w:p>
</w:ftr>
</file>

<file path=word/footer2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00413"/>
      <w:docPartObj>
        <w:docPartGallery w:val="Page Numbers (Bottom of Page)"/>
        <w:docPartUnique/>
      </w:docPartObj>
    </w:sdtPr>
    <w:sdtEndPr>
      <w:rPr>
        <w:noProof/>
      </w:rPr>
    </w:sdtEndPr>
    <w:sdtContent>
      <w:p w14:paraId="7B805351" w14:textId="0862B88F" w:rsidR="00615E2D" w:rsidRDefault="00C83E46">
        <w:pPr>
          <w:pStyle w:val="Footer"/>
          <w:jc w:val="center"/>
        </w:pPr>
        <w:r>
          <w:fldChar w:fldCharType="begin"/>
        </w:r>
        <w:r>
          <w:instrText xml:space="preserve"> PAGE   \* MERGEFORMAT </w:instrText>
        </w:r>
        <w:r>
          <w:fldChar w:fldCharType="separate"/>
        </w:r>
        <w:r>
          <w:t>221</w:t>
        </w:r>
        <w:r>
          <w:fldChar w:fldCharType="end"/>
        </w:r>
      </w:p>
    </w:sdtContent>
  </w:sdt>
  <w:p w14:paraId="52BB1D8B" w14:textId="77777777" w:rsidR="00615E2D" w:rsidRDefault="00615E2D">
    <w:pPr>
      <w:pStyle w:val="Footer"/>
    </w:pPr>
  </w:p>
</w:ftr>
</file>

<file path=word/footer2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1265" w14:textId="77777777" w:rsidR="00615E2D" w:rsidRDefault="00615E2D">
    <w:pPr>
      <w:pStyle w:val="Footer"/>
    </w:pPr>
  </w:p>
</w:ftr>
</file>

<file path=word/footer2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BEAF" w14:textId="77777777" w:rsidR="00615E2D" w:rsidRDefault="00615E2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668470"/>
      <w:docPartObj>
        <w:docPartGallery w:val="Page Numbers (Bottom of Page)"/>
        <w:docPartUnique/>
      </w:docPartObj>
    </w:sdtPr>
    <w:sdtEndPr>
      <w:rPr>
        <w:noProof/>
      </w:rPr>
    </w:sdtEndPr>
    <w:sdtContent>
      <w:p w14:paraId="4791E693" w14:textId="2191EE67" w:rsidR="00615E2D" w:rsidRDefault="00C83E46">
        <w:pPr>
          <w:pStyle w:val="Footer"/>
          <w:jc w:val="center"/>
        </w:pPr>
        <w:r>
          <w:fldChar w:fldCharType="begin"/>
        </w:r>
        <w:r>
          <w:instrText xml:space="preserve"> PAGE   \* MERGEFORMAT </w:instrText>
        </w:r>
        <w:r>
          <w:fldChar w:fldCharType="separate"/>
        </w:r>
        <w:r w:rsidR="000A701C">
          <w:rPr>
            <w:noProof/>
          </w:rPr>
          <w:t>19</w:t>
        </w:r>
        <w:r>
          <w:fldChar w:fldCharType="end"/>
        </w:r>
      </w:p>
    </w:sdtContent>
  </w:sdt>
  <w:p w14:paraId="144B058A" w14:textId="77777777" w:rsidR="00615E2D" w:rsidRDefault="00615E2D">
    <w:pPr>
      <w:pStyle w:val="FooterCouncil"/>
    </w:pPr>
  </w:p>
</w:ftr>
</file>

<file path=word/footer2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201487"/>
      <w:docPartObj>
        <w:docPartGallery w:val="Page Numbers (Bottom of Page)"/>
        <w:docPartUnique/>
      </w:docPartObj>
    </w:sdtPr>
    <w:sdtEndPr>
      <w:rPr>
        <w:noProof/>
      </w:rPr>
    </w:sdtEndPr>
    <w:sdtContent>
      <w:p w14:paraId="48B98825" w14:textId="6039DB52" w:rsidR="00615E2D" w:rsidRDefault="00C83E46">
        <w:pPr>
          <w:pStyle w:val="Footer"/>
          <w:jc w:val="center"/>
        </w:pPr>
        <w:r>
          <w:fldChar w:fldCharType="begin"/>
        </w:r>
        <w:r>
          <w:instrText xml:space="preserve"> PAGE   \* MERGEFORMAT </w:instrText>
        </w:r>
        <w:r>
          <w:fldChar w:fldCharType="separate"/>
        </w:r>
        <w:r>
          <w:t>223</w:t>
        </w:r>
        <w:r>
          <w:fldChar w:fldCharType="end"/>
        </w:r>
      </w:p>
    </w:sdtContent>
  </w:sdt>
  <w:p w14:paraId="3BB9281E" w14:textId="77777777" w:rsidR="00615E2D" w:rsidRDefault="00615E2D">
    <w:pPr>
      <w:pStyle w:val="Footer"/>
    </w:pPr>
  </w:p>
</w:ftr>
</file>

<file path=word/footer2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31889" w14:textId="77777777" w:rsidR="00615E2D" w:rsidRDefault="00615E2D">
    <w:pPr>
      <w:pStyle w:val="Footer"/>
    </w:pPr>
  </w:p>
</w:ftr>
</file>

<file path=word/footer2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0EA4E" w14:textId="77777777" w:rsidR="00615E2D" w:rsidRDefault="00615E2D">
    <w:pPr>
      <w:pStyle w:val="Footer"/>
    </w:pPr>
  </w:p>
</w:ftr>
</file>

<file path=word/footer2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290468"/>
      <w:docPartObj>
        <w:docPartGallery w:val="Page Numbers (Bottom of Page)"/>
        <w:docPartUnique/>
      </w:docPartObj>
    </w:sdtPr>
    <w:sdtEndPr>
      <w:rPr>
        <w:noProof/>
      </w:rPr>
    </w:sdtEndPr>
    <w:sdtContent>
      <w:p w14:paraId="49B72FB6" w14:textId="51998B4E" w:rsidR="00615E2D" w:rsidRDefault="00C83E46">
        <w:pPr>
          <w:pStyle w:val="Footer"/>
          <w:jc w:val="center"/>
        </w:pPr>
        <w:r>
          <w:fldChar w:fldCharType="begin"/>
        </w:r>
        <w:r>
          <w:instrText xml:space="preserve"> PAGE   \* MERGEFORMAT </w:instrText>
        </w:r>
        <w:r>
          <w:fldChar w:fldCharType="separate"/>
        </w:r>
        <w:r>
          <w:t>224</w:t>
        </w:r>
        <w:r>
          <w:fldChar w:fldCharType="end"/>
        </w:r>
      </w:p>
    </w:sdtContent>
  </w:sdt>
  <w:p w14:paraId="669FE613" w14:textId="77777777" w:rsidR="00615E2D" w:rsidRDefault="00615E2D">
    <w:pPr>
      <w:pStyle w:val="Footer"/>
    </w:pPr>
  </w:p>
</w:ftr>
</file>

<file path=word/footer2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9A12" w14:textId="77777777" w:rsidR="00615E2D" w:rsidRDefault="00615E2D">
    <w:pPr>
      <w:pStyle w:val="Footer"/>
    </w:pPr>
  </w:p>
</w:ftr>
</file>

<file path=word/footer2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AD99" w14:textId="77777777" w:rsidR="00615E2D" w:rsidRDefault="00615E2D">
    <w:pPr>
      <w:pStyle w:val="Footer"/>
    </w:pPr>
  </w:p>
</w:ftr>
</file>

<file path=word/footer2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172502"/>
      <w:docPartObj>
        <w:docPartGallery w:val="Page Numbers (Bottom of Page)"/>
        <w:docPartUnique/>
      </w:docPartObj>
    </w:sdtPr>
    <w:sdtEndPr>
      <w:rPr>
        <w:noProof/>
      </w:rPr>
    </w:sdtEndPr>
    <w:sdtContent>
      <w:p w14:paraId="495798F3" w14:textId="52FAE42E" w:rsidR="00615E2D" w:rsidRDefault="00C83E46">
        <w:pPr>
          <w:pStyle w:val="Footer"/>
          <w:jc w:val="center"/>
        </w:pPr>
        <w:r>
          <w:fldChar w:fldCharType="begin"/>
        </w:r>
        <w:r>
          <w:instrText xml:space="preserve"> PAGE   \* MERGEFORMAT </w:instrText>
        </w:r>
        <w:r>
          <w:fldChar w:fldCharType="separate"/>
        </w:r>
        <w:r>
          <w:t>226</w:t>
        </w:r>
        <w:r>
          <w:fldChar w:fldCharType="end"/>
        </w:r>
      </w:p>
    </w:sdtContent>
  </w:sdt>
  <w:p w14:paraId="4C2C0078" w14:textId="77777777" w:rsidR="00615E2D" w:rsidRDefault="00615E2D">
    <w:pPr>
      <w:pStyle w:val="Footer"/>
    </w:pPr>
  </w:p>
</w:ftr>
</file>

<file path=word/footer2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BA03" w14:textId="77777777" w:rsidR="00615E2D" w:rsidRDefault="00615E2D">
    <w:pPr>
      <w:pStyle w:val="Footer"/>
    </w:pPr>
  </w:p>
</w:ftr>
</file>

<file path=word/footer2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3EF5" w14:textId="77777777" w:rsidR="00615E2D" w:rsidRDefault="00615E2D">
    <w:pPr>
      <w:pStyle w:val="Footer"/>
    </w:pPr>
  </w:p>
</w:ftr>
</file>

<file path=word/footer2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539900"/>
      <w:docPartObj>
        <w:docPartGallery w:val="Page Numbers (Bottom of Page)"/>
        <w:docPartUnique/>
      </w:docPartObj>
    </w:sdtPr>
    <w:sdtEndPr>
      <w:rPr>
        <w:noProof/>
      </w:rPr>
    </w:sdtEndPr>
    <w:sdtContent>
      <w:p w14:paraId="7FECEFC2" w14:textId="06D3B20F" w:rsidR="00615E2D" w:rsidRDefault="00C83E46">
        <w:pPr>
          <w:pStyle w:val="Footer"/>
          <w:jc w:val="center"/>
        </w:pPr>
        <w:r>
          <w:fldChar w:fldCharType="begin"/>
        </w:r>
        <w:r>
          <w:instrText xml:space="preserve"> PAGE   \* MERGEFORMAT </w:instrText>
        </w:r>
        <w:r>
          <w:fldChar w:fldCharType="separate"/>
        </w:r>
        <w:r>
          <w:t>229</w:t>
        </w:r>
        <w:r>
          <w:fldChar w:fldCharType="end"/>
        </w:r>
      </w:p>
    </w:sdtContent>
  </w:sdt>
  <w:p w14:paraId="48A097C1" w14:textId="77777777" w:rsidR="00615E2D" w:rsidRDefault="00615E2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4A47C" w14:textId="77777777" w:rsidR="00615E2D" w:rsidRDefault="00615E2D">
    <w:pPr>
      <w:pStyle w:val="Footer"/>
    </w:pPr>
  </w:p>
</w:ftr>
</file>

<file path=word/footer2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6B949" w14:textId="77777777" w:rsidR="00615E2D" w:rsidRDefault="00615E2D">
    <w:pPr>
      <w:pStyle w:val="Footer"/>
    </w:pPr>
  </w:p>
</w:ftr>
</file>

<file path=word/footer2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3AFD0" w14:textId="77777777" w:rsidR="00615E2D" w:rsidRDefault="00615E2D">
    <w:pPr>
      <w:pStyle w:val="Footer"/>
    </w:pPr>
  </w:p>
</w:ftr>
</file>

<file path=word/footer2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339357"/>
      <w:docPartObj>
        <w:docPartGallery w:val="Page Numbers (Bottom of Page)"/>
        <w:docPartUnique/>
      </w:docPartObj>
    </w:sdtPr>
    <w:sdtEndPr>
      <w:rPr>
        <w:noProof/>
      </w:rPr>
    </w:sdtEndPr>
    <w:sdtContent>
      <w:p w14:paraId="53C60AFB" w14:textId="3B750F17" w:rsidR="00615E2D" w:rsidRDefault="00C83E46">
        <w:pPr>
          <w:pStyle w:val="Footer"/>
          <w:jc w:val="center"/>
        </w:pPr>
        <w:r>
          <w:fldChar w:fldCharType="begin"/>
        </w:r>
        <w:r>
          <w:instrText xml:space="preserve"> PAGE   \* MERGEFORMAT </w:instrText>
        </w:r>
        <w:r>
          <w:fldChar w:fldCharType="separate"/>
        </w:r>
        <w:r>
          <w:t>234</w:t>
        </w:r>
        <w:r>
          <w:fldChar w:fldCharType="end"/>
        </w:r>
      </w:p>
    </w:sdtContent>
  </w:sdt>
  <w:p w14:paraId="583D7E0E" w14:textId="77777777" w:rsidR="00615E2D" w:rsidRDefault="00615E2D">
    <w:pPr>
      <w:pStyle w:val="Footer"/>
    </w:pPr>
  </w:p>
</w:ftr>
</file>

<file path=word/footer2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C793D" w14:textId="77777777" w:rsidR="00615E2D" w:rsidRDefault="00615E2D">
    <w:pPr>
      <w:pStyle w:val="Footer"/>
    </w:pPr>
  </w:p>
</w:ftr>
</file>

<file path=word/footer2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682B" w14:textId="77777777" w:rsidR="00615E2D" w:rsidRDefault="00615E2D">
    <w:pPr>
      <w:pStyle w:val="Footer"/>
    </w:pPr>
  </w:p>
</w:ftr>
</file>

<file path=word/footer2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232595"/>
      <w:docPartObj>
        <w:docPartGallery w:val="Page Numbers (Bottom of Page)"/>
        <w:docPartUnique/>
      </w:docPartObj>
    </w:sdtPr>
    <w:sdtEndPr>
      <w:rPr>
        <w:noProof/>
      </w:rPr>
    </w:sdtEndPr>
    <w:sdtContent>
      <w:p w14:paraId="5B0C25C8" w14:textId="72398377" w:rsidR="00615E2D" w:rsidRDefault="00C83E46">
        <w:pPr>
          <w:pStyle w:val="Footer"/>
          <w:jc w:val="center"/>
        </w:pPr>
        <w:r>
          <w:fldChar w:fldCharType="begin"/>
        </w:r>
        <w:r>
          <w:instrText xml:space="preserve"> PAGE   \* MERGEFORMAT </w:instrText>
        </w:r>
        <w:r>
          <w:fldChar w:fldCharType="separate"/>
        </w:r>
        <w:r>
          <w:t>235</w:t>
        </w:r>
        <w:r>
          <w:fldChar w:fldCharType="end"/>
        </w:r>
      </w:p>
    </w:sdtContent>
  </w:sdt>
  <w:p w14:paraId="7DCA154F" w14:textId="77777777" w:rsidR="00615E2D" w:rsidRDefault="00615E2D">
    <w:pPr>
      <w:pStyle w:val="Footer"/>
    </w:pPr>
  </w:p>
</w:ftr>
</file>

<file path=word/footer2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E7588" w14:textId="77777777" w:rsidR="00615E2D" w:rsidRDefault="00615E2D">
    <w:pPr>
      <w:pStyle w:val="Footer"/>
    </w:pPr>
  </w:p>
</w:ftr>
</file>

<file path=word/footer2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18F2" w14:textId="77777777" w:rsidR="00615E2D" w:rsidRDefault="00615E2D">
    <w:pPr>
      <w:pStyle w:val="Footer"/>
    </w:pPr>
  </w:p>
</w:ftr>
</file>

<file path=word/footer2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626841"/>
      <w:docPartObj>
        <w:docPartGallery w:val="Page Numbers (Bottom of Page)"/>
        <w:docPartUnique/>
      </w:docPartObj>
    </w:sdtPr>
    <w:sdtEndPr>
      <w:rPr>
        <w:noProof/>
      </w:rPr>
    </w:sdtEndPr>
    <w:sdtContent>
      <w:p w14:paraId="23407933" w14:textId="16E0850E" w:rsidR="00615E2D" w:rsidRDefault="00C83E46">
        <w:pPr>
          <w:pStyle w:val="Footer"/>
          <w:jc w:val="center"/>
        </w:pPr>
        <w:r>
          <w:fldChar w:fldCharType="begin"/>
        </w:r>
        <w:r>
          <w:instrText xml:space="preserve"> PAGE   \* MERGEFORMAT </w:instrText>
        </w:r>
        <w:r>
          <w:fldChar w:fldCharType="separate"/>
        </w:r>
        <w:r>
          <w:t>236</w:t>
        </w:r>
        <w:r>
          <w:fldChar w:fldCharType="end"/>
        </w:r>
      </w:p>
    </w:sdtContent>
  </w:sdt>
  <w:p w14:paraId="60B63127" w14:textId="77777777" w:rsidR="00615E2D" w:rsidRDefault="00615E2D">
    <w:pPr>
      <w:pStyle w:val="Footer"/>
    </w:pPr>
  </w:p>
</w:ftr>
</file>

<file path=word/footer2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4EDD" w14:textId="77777777" w:rsidR="00615E2D" w:rsidRDefault="00615E2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26" w14:textId="77777777" w:rsidR="00615E2D" w:rsidRDefault="00615E2D">
    <w:pPr>
      <w:pStyle w:val="Footer"/>
    </w:pPr>
  </w:p>
</w:ftr>
</file>

<file path=word/footer2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4316B" w14:textId="77777777" w:rsidR="00615E2D" w:rsidRDefault="00615E2D">
    <w:pPr>
      <w:pStyle w:val="Footer"/>
    </w:pPr>
  </w:p>
</w:ftr>
</file>

<file path=word/footer2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537938"/>
      <w:docPartObj>
        <w:docPartGallery w:val="Page Numbers (Bottom of Page)"/>
        <w:docPartUnique/>
      </w:docPartObj>
    </w:sdtPr>
    <w:sdtEndPr>
      <w:rPr>
        <w:noProof/>
      </w:rPr>
    </w:sdtEndPr>
    <w:sdtContent>
      <w:p w14:paraId="6EB49D3F" w14:textId="4BD2869A" w:rsidR="00615E2D" w:rsidRDefault="00C83E46">
        <w:pPr>
          <w:pStyle w:val="Footer"/>
          <w:jc w:val="center"/>
        </w:pPr>
        <w:r>
          <w:fldChar w:fldCharType="begin"/>
        </w:r>
        <w:r>
          <w:instrText xml:space="preserve"> PAGE   \* MERGEFORMAT </w:instrText>
        </w:r>
        <w:r>
          <w:fldChar w:fldCharType="separate"/>
        </w:r>
        <w:r>
          <w:t>238</w:t>
        </w:r>
        <w:r>
          <w:fldChar w:fldCharType="end"/>
        </w:r>
      </w:p>
    </w:sdtContent>
  </w:sdt>
  <w:p w14:paraId="6E1C74BD" w14:textId="77777777" w:rsidR="00615E2D" w:rsidRDefault="00615E2D">
    <w:pPr>
      <w:pStyle w:val="Footer"/>
    </w:pPr>
  </w:p>
</w:ftr>
</file>

<file path=word/footer2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9DF1" w14:textId="77777777" w:rsidR="00615E2D" w:rsidRDefault="00615E2D">
    <w:pPr>
      <w:pStyle w:val="Footer"/>
    </w:pPr>
  </w:p>
</w:ftr>
</file>

<file path=word/footer2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92C34" w14:textId="77777777" w:rsidR="00615E2D" w:rsidRDefault="00615E2D">
    <w:pPr>
      <w:pStyle w:val="Footer"/>
    </w:pPr>
  </w:p>
</w:ftr>
</file>

<file path=word/footer2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865684"/>
      <w:docPartObj>
        <w:docPartGallery w:val="Page Numbers (Bottom of Page)"/>
        <w:docPartUnique/>
      </w:docPartObj>
    </w:sdtPr>
    <w:sdtEndPr>
      <w:rPr>
        <w:noProof/>
      </w:rPr>
    </w:sdtEndPr>
    <w:sdtContent>
      <w:p w14:paraId="5BFA255B" w14:textId="48D58CD1" w:rsidR="00615E2D" w:rsidRDefault="00C83E46">
        <w:pPr>
          <w:pStyle w:val="Footer"/>
          <w:jc w:val="center"/>
        </w:pPr>
        <w:r>
          <w:fldChar w:fldCharType="begin"/>
        </w:r>
        <w:r>
          <w:instrText xml:space="preserve"> PAGE   \* MERGEFORMAT </w:instrText>
        </w:r>
        <w:r>
          <w:fldChar w:fldCharType="separate"/>
        </w:r>
        <w:r>
          <w:t>242</w:t>
        </w:r>
        <w:r>
          <w:fldChar w:fldCharType="end"/>
        </w:r>
      </w:p>
    </w:sdtContent>
  </w:sdt>
  <w:p w14:paraId="32111950" w14:textId="77777777" w:rsidR="00615E2D" w:rsidRDefault="00615E2D">
    <w:pPr>
      <w:pStyle w:val="Footer"/>
    </w:pPr>
  </w:p>
</w:ftr>
</file>

<file path=word/footer2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9767" w14:textId="77777777" w:rsidR="00615E2D" w:rsidRDefault="00615E2D">
    <w:pPr>
      <w:pStyle w:val="Footer"/>
    </w:pPr>
  </w:p>
</w:ftr>
</file>

<file path=word/footer2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9B0C" w14:textId="77777777" w:rsidR="00615E2D" w:rsidRDefault="00615E2D">
    <w:pPr>
      <w:pStyle w:val="Footer"/>
    </w:pPr>
  </w:p>
</w:ftr>
</file>

<file path=word/footer2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922921"/>
      <w:docPartObj>
        <w:docPartGallery w:val="Page Numbers (Bottom of Page)"/>
        <w:docPartUnique/>
      </w:docPartObj>
    </w:sdtPr>
    <w:sdtEndPr>
      <w:rPr>
        <w:noProof/>
      </w:rPr>
    </w:sdtEndPr>
    <w:sdtContent>
      <w:p w14:paraId="3E39CE48" w14:textId="1389424D" w:rsidR="00615E2D" w:rsidRDefault="00C83E46">
        <w:pPr>
          <w:pStyle w:val="Footer"/>
          <w:jc w:val="center"/>
        </w:pPr>
        <w:r>
          <w:fldChar w:fldCharType="begin"/>
        </w:r>
        <w:r>
          <w:instrText xml:space="preserve"> PAGE   \* MERGEFORMAT </w:instrText>
        </w:r>
        <w:r>
          <w:fldChar w:fldCharType="separate"/>
        </w:r>
        <w:r>
          <w:t>259</w:t>
        </w:r>
        <w:r>
          <w:fldChar w:fldCharType="end"/>
        </w:r>
      </w:p>
    </w:sdtContent>
  </w:sdt>
  <w:p w14:paraId="4B7FBFD6" w14:textId="77777777" w:rsidR="00615E2D" w:rsidRDefault="00615E2D">
    <w:pPr>
      <w:pStyle w:val="FooterCouncil"/>
    </w:pPr>
  </w:p>
</w:ftr>
</file>

<file path=word/footer2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5BFE" w14:textId="77777777" w:rsidR="00615E2D" w:rsidRDefault="00615E2D">
    <w:pPr>
      <w:pStyle w:val="Footer"/>
    </w:pPr>
  </w:p>
</w:ftr>
</file>

<file path=word/footer2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95B5" w14:textId="77777777" w:rsidR="00615E2D" w:rsidRDefault="00615E2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333210"/>
      <w:docPartObj>
        <w:docPartGallery w:val="Page Numbers (Bottom of Page)"/>
        <w:docPartUnique/>
      </w:docPartObj>
    </w:sdtPr>
    <w:sdtEndPr>
      <w:rPr>
        <w:noProof/>
      </w:rPr>
    </w:sdtEndPr>
    <w:sdtContent>
      <w:p w14:paraId="58AD863B" w14:textId="64302ADF" w:rsidR="00615E2D" w:rsidRDefault="00C83E46">
        <w:pPr>
          <w:pStyle w:val="Footer"/>
          <w:jc w:val="center"/>
        </w:pPr>
        <w:r>
          <w:fldChar w:fldCharType="begin"/>
        </w:r>
        <w:r>
          <w:instrText xml:space="preserve"> PAGE   \* MERGEFORMAT </w:instrText>
        </w:r>
        <w:r>
          <w:fldChar w:fldCharType="separate"/>
        </w:r>
        <w:r w:rsidR="000A701C">
          <w:rPr>
            <w:noProof/>
          </w:rPr>
          <w:t>20</w:t>
        </w:r>
        <w:r>
          <w:fldChar w:fldCharType="end"/>
        </w:r>
      </w:p>
    </w:sdtContent>
  </w:sdt>
  <w:p w14:paraId="1A21B86A" w14:textId="77777777" w:rsidR="00615E2D" w:rsidRDefault="00615E2D">
    <w:pPr>
      <w:pStyle w:val="FooterCouncil"/>
    </w:pPr>
  </w:p>
</w:ftr>
</file>

<file path=word/footer2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309932"/>
      <w:docPartObj>
        <w:docPartGallery w:val="Page Numbers (Bottom of Page)"/>
        <w:docPartUnique/>
      </w:docPartObj>
    </w:sdtPr>
    <w:sdtEndPr>
      <w:rPr>
        <w:noProof/>
      </w:rPr>
    </w:sdtEndPr>
    <w:sdtContent>
      <w:p w14:paraId="3656F7CA" w14:textId="3CCEAC05" w:rsidR="00615E2D" w:rsidRDefault="00C83E46">
        <w:pPr>
          <w:pStyle w:val="Footer"/>
          <w:jc w:val="center"/>
        </w:pPr>
        <w:r>
          <w:fldChar w:fldCharType="begin"/>
        </w:r>
        <w:r>
          <w:instrText xml:space="preserve"> PAGE   \* MERGEFORMAT </w:instrText>
        </w:r>
        <w:r>
          <w:fldChar w:fldCharType="separate"/>
        </w:r>
        <w:r>
          <w:t>272</w:t>
        </w:r>
        <w:r>
          <w:fldChar w:fldCharType="end"/>
        </w:r>
      </w:p>
    </w:sdtContent>
  </w:sdt>
  <w:p w14:paraId="6FD82C52" w14:textId="77777777" w:rsidR="00615E2D" w:rsidRDefault="00615E2D">
    <w:pPr>
      <w:pStyle w:val="FooterCouncil"/>
    </w:pPr>
  </w:p>
</w:ftr>
</file>

<file path=word/footer2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89913" w14:textId="77777777" w:rsidR="00615E2D" w:rsidRDefault="00615E2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BC96" w14:textId="77777777" w:rsidR="00615E2D" w:rsidRDefault="00615E2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A427" w14:textId="77777777" w:rsidR="00615E2D" w:rsidRDefault="00615E2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507139"/>
      <w:docPartObj>
        <w:docPartGallery w:val="Page Numbers (Bottom of Page)"/>
        <w:docPartUnique/>
      </w:docPartObj>
    </w:sdtPr>
    <w:sdtEndPr>
      <w:rPr>
        <w:noProof/>
      </w:rPr>
    </w:sdtEndPr>
    <w:sdtContent>
      <w:p w14:paraId="14EF0460" w14:textId="43ECC79D" w:rsidR="00615E2D" w:rsidRDefault="00C83E46">
        <w:pPr>
          <w:pStyle w:val="Footer"/>
          <w:jc w:val="center"/>
        </w:pPr>
        <w:r>
          <w:fldChar w:fldCharType="begin"/>
        </w:r>
        <w:r>
          <w:instrText xml:space="preserve"> PAGE   \* MERGEFORMAT </w:instrText>
        </w:r>
        <w:r>
          <w:fldChar w:fldCharType="separate"/>
        </w:r>
        <w:r w:rsidR="000A701C">
          <w:rPr>
            <w:noProof/>
          </w:rPr>
          <w:t>24</w:t>
        </w:r>
        <w:r>
          <w:fldChar w:fldCharType="end"/>
        </w:r>
      </w:p>
    </w:sdtContent>
  </w:sdt>
  <w:p w14:paraId="75F4885B" w14:textId="77777777" w:rsidR="00615E2D" w:rsidRDefault="00615E2D">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DE122" w14:textId="77777777" w:rsidR="009978F5" w:rsidRPr="009978F5" w:rsidRDefault="009978F5" w:rsidP="009978F5">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B358" w14:textId="77777777" w:rsidR="00615E2D" w:rsidRDefault="00615E2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7F99" w14:textId="77777777" w:rsidR="00615E2D" w:rsidRDefault="00615E2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177407"/>
      <w:docPartObj>
        <w:docPartGallery w:val="Page Numbers (Bottom of Page)"/>
        <w:docPartUnique/>
      </w:docPartObj>
    </w:sdtPr>
    <w:sdtEndPr>
      <w:rPr>
        <w:noProof/>
      </w:rPr>
    </w:sdtEndPr>
    <w:sdtContent>
      <w:p w14:paraId="2E7B2C4B" w14:textId="2375B4B7" w:rsidR="00615E2D" w:rsidRDefault="00C83E46">
        <w:pPr>
          <w:pStyle w:val="Footer"/>
          <w:jc w:val="center"/>
        </w:pPr>
        <w:r>
          <w:fldChar w:fldCharType="begin"/>
        </w:r>
        <w:r>
          <w:instrText xml:space="preserve"> PAGE   \* MERGEFORMAT </w:instrText>
        </w:r>
        <w:r>
          <w:fldChar w:fldCharType="separate"/>
        </w:r>
        <w:r w:rsidR="000A701C">
          <w:rPr>
            <w:noProof/>
          </w:rPr>
          <w:t>27</w:t>
        </w:r>
        <w:r>
          <w:fldChar w:fldCharType="end"/>
        </w:r>
      </w:p>
    </w:sdtContent>
  </w:sdt>
  <w:p w14:paraId="10DD59A4" w14:textId="77777777" w:rsidR="00615E2D" w:rsidRDefault="00615E2D">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EA25" w14:textId="77777777" w:rsidR="00615E2D" w:rsidRDefault="00615E2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0F42" w14:textId="77777777" w:rsidR="00615E2D" w:rsidRDefault="00615E2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408171"/>
      <w:docPartObj>
        <w:docPartGallery w:val="Page Numbers (Bottom of Page)"/>
        <w:docPartUnique/>
      </w:docPartObj>
    </w:sdtPr>
    <w:sdtEndPr>
      <w:rPr>
        <w:noProof/>
      </w:rPr>
    </w:sdtEndPr>
    <w:sdtContent>
      <w:p w14:paraId="02089A11" w14:textId="5DBAAE96" w:rsidR="00615E2D" w:rsidRDefault="00C83E46">
        <w:pPr>
          <w:pStyle w:val="Footer"/>
          <w:jc w:val="center"/>
        </w:pPr>
        <w:r>
          <w:fldChar w:fldCharType="begin"/>
        </w:r>
        <w:r>
          <w:instrText xml:space="preserve"> PAGE   \* MERGEFORMAT </w:instrText>
        </w:r>
        <w:r>
          <w:fldChar w:fldCharType="separate"/>
        </w:r>
        <w:r>
          <w:t>36</w:t>
        </w:r>
        <w:r>
          <w:fldChar w:fldCharType="end"/>
        </w:r>
      </w:p>
    </w:sdtContent>
  </w:sdt>
  <w:p w14:paraId="6DB54ECC" w14:textId="77777777" w:rsidR="00615E2D" w:rsidRDefault="00615E2D">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77B7D" w14:textId="77777777" w:rsidR="00615E2D" w:rsidRDefault="00615E2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87A8" w14:textId="77777777" w:rsidR="00615E2D" w:rsidRDefault="00615E2D">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724926"/>
      <w:docPartObj>
        <w:docPartGallery w:val="Page Numbers (Bottom of Page)"/>
        <w:docPartUnique/>
      </w:docPartObj>
    </w:sdtPr>
    <w:sdtEndPr>
      <w:rPr>
        <w:noProof/>
      </w:rPr>
    </w:sdtEndPr>
    <w:sdtContent>
      <w:p w14:paraId="0B137988" w14:textId="551E5A1C" w:rsidR="00615E2D" w:rsidRDefault="00C83E46">
        <w:pPr>
          <w:pStyle w:val="Footer"/>
          <w:jc w:val="center"/>
        </w:pPr>
        <w:r>
          <w:fldChar w:fldCharType="begin"/>
        </w:r>
        <w:r>
          <w:instrText xml:space="preserve"> PAGE   \* MERGEFORMAT </w:instrText>
        </w:r>
        <w:r>
          <w:fldChar w:fldCharType="separate"/>
        </w:r>
        <w:r>
          <w:t>40</w:t>
        </w:r>
        <w:r>
          <w:fldChar w:fldCharType="end"/>
        </w:r>
      </w:p>
    </w:sdtContent>
  </w:sdt>
  <w:p w14:paraId="2C67A35F" w14:textId="77777777" w:rsidR="00615E2D" w:rsidRDefault="00615E2D">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048C" w14:textId="77777777" w:rsidR="00615E2D" w:rsidRDefault="00615E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0C747" w14:textId="77777777" w:rsidR="00615E2D" w:rsidRDefault="00615E2D">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AE53F" w14:textId="77777777" w:rsidR="00615E2D" w:rsidRDefault="00615E2D">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907566"/>
      <w:docPartObj>
        <w:docPartGallery w:val="Page Numbers (Bottom of Page)"/>
        <w:docPartUnique/>
      </w:docPartObj>
    </w:sdtPr>
    <w:sdtEndPr>
      <w:rPr>
        <w:noProof/>
      </w:rPr>
    </w:sdtEndPr>
    <w:sdtContent>
      <w:p w14:paraId="6C36ECB3" w14:textId="6FC72727" w:rsidR="00615E2D" w:rsidRDefault="00C83E46">
        <w:pPr>
          <w:pStyle w:val="Footer"/>
          <w:jc w:val="center"/>
        </w:pPr>
        <w:r>
          <w:fldChar w:fldCharType="begin"/>
        </w:r>
        <w:r>
          <w:instrText xml:space="preserve"> PAGE   \* MERGEFORMAT </w:instrText>
        </w:r>
        <w:r>
          <w:fldChar w:fldCharType="separate"/>
        </w:r>
        <w:r>
          <w:t>43</w:t>
        </w:r>
        <w:r>
          <w:fldChar w:fldCharType="end"/>
        </w:r>
      </w:p>
    </w:sdtContent>
  </w:sdt>
  <w:p w14:paraId="6638A3D7" w14:textId="77777777" w:rsidR="00615E2D" w:rsidRDefault="00615E2D">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07C6" w14:textId="77777777" w:rsidR="00615E2D" w:rsidRDefault="00615E2D">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DE8E9" w14:textId="77777777" w:rsidR="00615E2D" w:rsidRDefault="00615E2D">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872834"/>
      <w:docPartObj>
        <w:docPartGallery w:val="Page Numbers (Bottom of Page)"/>
        <w:docPartUnique/>
      </w:docPartObj>
    </w:sdtPr>
    <w:sdtEndPr>
      <w:rPr>
        <w:noProof/>
      </w:rPr>
    </w:sdtEndPr>
    <w:sdtContent>
      <w:p w14:paraId="10803678" w14:textId="7F3DEE45" w:rsidR="00615E2D" w:rsidRDefault="00C83E46">
        <w:pPr>
          <w:pStyle w:val="Footer"/>
          <w:jc w:val="center"/>
        </w:pPr>
        <w:r>
          <w:fldChar w:fldCharType="begin"/>
        </w:r>
        <w:r>
          <w:instrText xml:space="preserve"> PAGE   \* MERGEFORMAT </w:instrText>
        </w:r>
        <w:r>
          <w:fldChar w:fldCharType="separate"/>
        </w:r>
        <w:r>
          <w:t>44</w:t>
        </w:r>
        <w:r>
          <w:fldChar w:fldCharType="end"/>
        </w:r>
      </w:p>
    </w:sdtContent>
  </w:sdt>
  <w:p w14:paraId="33EFC74B" w14:textId="77777777" w:rsidR="00615E2D" w:rsidRDefault="00615E2D">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3323B" w14:textId="77777777" w:rsidR="00615E2D" w:rsidRDefault="00615E2D">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95405" w14:textId="77777777" w:rsidR="00615E2D" w:rsidRDefault="00615E2D">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178609"/>
      <w:docPartObj>
        <w:docPartGallery w:val="Page Numbers (Bottom of Page)"/>
        <w:docPartUnique/>
      </w:docPartObj>
    </w:sdtPr>
    <w:sdtEndPr>
      <w:rPr>
        <w:noProof/>
      </w:rPr>
    </w:sdtEndPr>
    <w:sdtContent>
      <w:p w14:paraId="702838D8" w14:textId="00CEA1FC" w:rsidR="00615E2D" w:rsidRDefault="00C83E46">
        <w:pPr>
          <w:pStyle w:val="Footer"/>
          <w:jc w:val="center"/>
        </w:pPr>
        <w:r>
          <w:fldChar w:fldCharType="begin"/>
        </w:r>
        <w:r>
          <w:instrText xml:space="preserve"> PAGE   \* MERGEFORMAT </w:instrText>
        </w:r>
        <w:r>
          <w:fldChar w:fldCharType="separate"/>
        </w:r>
        <w:r>
          <w:t>46</w:t>
        </w:r>
        <w:r>
          <w:fldChar w:fldCharType="end"/>
        </w:r>
      </w:p>
    </w:sdtContent>
  </w:sdt>
  <w:p w14:paraId="4CDB74AA" w14:textId="77777777" w:rsidR="00615E2D" w:rsidRDefault="00615E2D">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0033" w14:textId="77777777" w:rsidR="00615E2D" w:rsidRDefault="00615E2D">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683A0" w14:textId="77777777" w:rsidR="00615E2D" w:rsidRDefault="00615E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211281"/>
      <w:docPartObj>
        <w:docPartGallery w:val="Page Numbers (Bottom of Page)"/>
        <w:docPartUnique/>
      </w:docPartObj>
    </w:sdtPr>
    <w:sdtEndPr>
      <w:rPr>
        <w:noProof/>
      </w:rPr>
    </w:sdtEndPr>
    <w:sdtContent>
      <w:p w14:paraId="0F20F9DE" w14:textId="5D1947DD" w:rsidR="00615E2D" w:rsidRDefault="00C83E46">
        <w:pPr>
          <w:pStyle w:val="Footer"/>
          <w:jc w:val="center"/>
        </w:pPr>
        <w:r>
          <w:fldChar w:fldCharType="begin"/>
        </w:r>
        <w:r>
          <w:instrText xml:space="preserve"> PAGE   \* MERGEFORMAT </w:instrText>
        </w:r>
        <w:r>
          <w:fldChar w:fldCharType="separate"/>
        </w:r>
        <w:r w:rsidR="009978F5">
          <w:rPr>
            <w:noProof/>
          </w:rPr>
          <w:t>1</w:t>
        </w:r>
        <w:r>
          <w:fldChar w:fldCharType="end"/>
        </w:r>
      </w:p>
    </w:sdtContent>
  </w:sdt>
  <w:p w14:paraId="66D11FE0" w14:textId="77777777" w:rsidR="00615E2D" w:rsidRDefault="00615E2D">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933638"/>
      <w:docPartObj>
        <w:docPartGallery w:val="Page Numbers (Bottom of Page)"/>
        <w:docPartUnique/>
      </w:docPartObj>
    </w:sdtPr>
    <w:sdtEndPr>
      <w:rPr>
        <w:noProof/>
      </w:rPr>
    </w:sdtEndPr>
    <w:sdtContent>
      <w:p w14:paraId="2075D5E7" w14:textId="345341BA" w:rsidR="00615E2D" w:rsidRDefault="00C83E46">
        <w:pPr>
          <w:pStyle w:val="Footer"/>
          <w:jc w:val="center"/>
        </w:pPr>
        <w:r>
          <w:fldChar w:fldCharType="begin"/>
        </w:r>
        <w:r>
          <w:instrText xml:space="preserve"> PAGE   \* MERGEFORMAT </w:instrText>
        </w:r>
        <w:r>
          <w:fldChar w:fldCharType="separate"/>
        </w:r>
        <w:r>
          <w:t>48</w:t>
        </w:r>
        <w:r>
          <w:fldChar w:fldCharType="end"/>
        </w:r>
      </w:p>
    </w:sdtContent>
  </w:sdt>
  <w:p w14:paraId="4CC2E4BD" w14:textId="77777777" w:rsidR="00615E2D" w:rsidRDefault="00615E2D">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1AA69" w14:textId="77777777" w:rsidR="00615E2D" w:rsidRDefault="00615E2D">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971B" w14:textId="77777777" w:rsidR="00615E2D" w:rsidRDefault="00615E2D">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086833"/>
      <w:docPartObj>
        <w:docPartGallery w:val="Page Numbers (Bottom of Page)"/>
        <w:docPartUnique/>
      </w:docPartObj>
    </w:sdtPr>
    <w:sdtEndPr>
      <w:rPr>
        <w:noProof/>
      </w:rPr>
    </w:sdtEndPr>
    <w:sdtContent>
      <w:p w14:paraId="578216B4" w14:textId="7A50B726" w:rsidR="00615E2D" w:rsidRDefault="00C83E46">
        <w:pPr>
          <w:pStyle w:val="Footer"/>
          <w:jc w:val="center"/>
        </w:pPr>
        <w:r>
          <w:fldChar w:fldCharType="begin"/>
        </w:r>
        <w:r>
          <w:instrText xml:space="preserve"> PAGE   \* MERGEFORMAT </w:instrText>
        </w:r>
        <w:r>
          <w:fldChar w:fldCharType="separate"/>
        </w:r>
        <w:r>
          <w:t>49</w:t>
        </w:r>
        <w:r>
          <w:fldChar w:fldCharType="end"/>
        </w:r>
      </w:p>
    </w:sdtContent>
  </w:sdt>
  <w:p w14:paraId="36A8EB77" w14:textId="77777777" w:rsidR="00615E2D" w:rsidRDefault="00615E2D">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D17A6" w14:textId="77777777" w:rsidR="00615E2D" w:rsidRDefault="00615E2D">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00F9" w14:textId="77777777" w:rsidR="00615E2D" w:rsidRDefault="00615E2D">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081170"/>
      <w:docPartObj>
        <w:docPartGallery w:val="Page Numbers (Bottom of Page)"/>
        <w:docPartUnique/>
      </w:docPartObj>
    </w:sdtPr>
    <w:sdtEndPr>
      <w:rPr>
        <w:noProof/>
      </w:rPr>
    </w:sdtEndPr>
    <w:sdtContent>
      <w:p w14:paraId="610CFA07" w14:textId="3F232382" w:rsidR="00615E2D" w:rsidRDefault="00C83E46">
        <w:pPr>
          <w:pStyle w:val="Footer"/>
          <w:jc w:val="center"/>
        </w:pPr>
        <w:r>
          <w:fldChar w:fldCharType="begin"/>
        </w:r>
        <w:r>
          <w:instrText xml:space="preserve"> PAGE   \* MERGEFORMAT </w:instrText>
        </w:r>
        <w:r>
          <w:fldChar w:fldCharType="separate"/>
        </w:r>
        <w:r>
          <w:t>50</w:t>
        </w:r>
        <w:r>
          <w:fldChar w:fldCharType="end"/>
        </w:r>
      </w:p>
    </w:sdtContent>
  </w:sdt>
  <w:p w14:paraId="05254029" w14:textId="77777777" w:rsidR="00615E2D" w:rsidRDefault="00615E2D">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47DD8" w14:textId="77777777" w:rsidR="00615E2D" w:rsidRDefault="00615E2D">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47FB" w14:textId="77777777" w:rsidR="00615E2D" w:rsidRDefault="00615E2D">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661037"/>
      <w:docPartObj>
        <w:docPartGallery w:val="Page Numbers (Bottom of Page)"/>
        <w:docPartUnique/>
      </w:docPartObj>
    </w:sdtPr>
    <w:sdtEndPr>
      <w:rPr>
        <w:noProof/>
      </w:rPr>
    </w:sdtEndPr>
    <w:sdtContent>
      <w:p w14:paraId="131E3374" w14:textId="70AF1373" w:rsidR="00615E2D" w:rsidRDefault="00C83E46">
        <w:pPr>
          <w:pStyle w:val="Footer"/>
          <w:jc w:val="center"/>
        </w:pPr>
        <w:r>
          <w:fldChar w:fldCharType="begin"/>
        </w:r>
        <w:r>
          <w:instrText xml:space="preserve"> PAGE   \* MERGEFORMAT </w:instrText>
        </w:r>
        <w:r>
          <w:fldChar w:fldCharType="separate"/>
        </w:r>
        <w:r>
          <w:t>52</w:t>
        </w:r>
        <w:r>
          <w:fldChar w:fldCharType="end"/>
        </w:r>
      </w:p>
    </w:sdtContent>
  </w:sdt>
  <w:p w14:paraId="5E7D8C33" w14:textId="77777777" w:rsidR="00615E2D" w:rsidRDefault="00615E2D">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9B5C" w14:textId="77777777" w:rsidR="00615E2D" w:rsidRDefault="00615E2D">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6FD7" w14:textId="77777777" w:rsidR="00615E2D" w:rsidRDefault="00615E2D">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CA6F" w14:textId="77777777" w:rsidR="00615E2D" w:rsidRDefault="00615E2D">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27308"/>
      <w:docPartObj>
        <w:docPartGallery w:val="Page Numbers (Bottom of Page)"/>
        <w:docPartUnique/>
      </w:docPartObj>
    </w:sdtPr>
    <w:sdtEndPr>
      <w:rPr>
        <w:noProof/>
      </w:rPr>
    </w:sdtEndPr>
    <w:sdtContent>
      <w:p w14:paraId="7DB35CAF" w14:textId="00883550" w:rsidR="00615E2D" w:rsidRDefault="00C83E46">
        <w:pPr>
          <w:pStyle w:val="Footer"/>
          <w:jc w:val="center"/>
        </w:pPr>
        <w:r>
          <w:fldChar w:fldCharType="begin"/>
        </w:r>
        <w:r>
          <w:instrText xml:space="preserve"> PAGE   \* MERGEFORMAT </w:instrText>
        </w:r>
        <w:r>
          <w:fldChar w:fldCharType="separate"/>
        </w:r>
        <w:r>
          <w:t>54</w:t>
        </w:r>
        <w:r>
          <w:fldChar w:fldCharType="end"/>
        </w:r>
      </w:p>
    </w:sdtContent>
  </w:sdt>
  <w:p w14:paraId="221E4614" w14:textId="77777777" w:rsidR="00615E2D" w:rsidRDefault="00615E2D">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8D51" w14:textId="77777777" w:rsidR="00615E2D" w:rsidRDefault="00615E2D">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936E" w14:textId="77777777" w:rsidR="00615E2D" w:rsidRDefault="00615E2D">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357470"/>
      <w:docPartObj>
        <w:docPartGallery w:val="Page Numbers (Bottom of Page)"/>
        <w:docPartUnique/>
      </w:docPartObj>
    </w:sdtPr>
    <w:sdtEndPr>
      <w:rPr>
        <w:noProof/>
      </w:rPr>
    </w:sdtEndPr>
    <w:sdtContent>
      <w:p w14:paraId="5BFC553E" w14:textId="6D000D7A" w:rsidR="00615E2D" w:rsidRDefault="00C83E46">
        <w:pPr>
          <w:pStyle w:val="Footer"/>
          <w:jc w:val="center"/>
        </w:pPr>
        <w:r>
          <w:fldChar w:fldCharType="begin"/>
        </w:r>
        <w:r>
          <w:instrText xml:space="preserve"> PAGE   \* MERGEFORMAT </w:instrText>
        </w:r>
        <w:r>
          <w:fldChar w:fldCharType="separate"/>
        </w:r>
        <w:r>
          <w:t>56</w:t>
        </w:r>
        <w:r>
          <w:fldChar w:fldCharType="end"/>
        </w:r>
      </w:p>
    </w:sdtContent>
  </w:sdt>
  <w:p w14:paraId="6AB00A70" w14:textId="77777777" w:rsidR="00615E2D" w:rsidRDefault="00615E2D">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2E8F4" w14:textId="77777777" w:rsidR="00615E2D" w:rsidRDefault="00615E2D">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9307" w14:textId="77777777" w:rsidR="00615E2D" w:rsidRDefault="00615E2D">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657104"/>
      <w:docPartObj>
        <w:docPartGallery w:val="Page Numbers (Bottom of Page)"/>
        <w:docPartUnique/>
      </w:docPartObj>
    </w:sdtPr>
    <w:sdtEndPr>
      <w:rPr>
        <w:noProof/>
      </w:rPr>
    </w:sdtEndPr>
    <w:sdtContent>
      <w:p w14:paraId="64D946E3" w14:textId="5573F578" w:rsidR="00615E2D" w:rsidRDefault="00C83E46">
        <w:pPr>
          <w:pStyle w:val="Footer"/>
          <w:jc w:val="center"/>
        </w:pPr>
        <w:r>
          <w:fldChar w:fldCharType="begin"/>
        </w:r>
        <w:r>
          <w:instrText xml:space="preserve"> PAGE   \* MERGEFORMAT </w:instrText>
        </w:r>
        <w:r>
          <w:fldChar w:fldCharType="separate"/>
        </w:r>
        <w:r>
          <w:t>58</w:t>
        </w:r>
        <w:r>
          <w:fldChar w:fldCharType="end"/>
        </w:r>
      </w:p>
    </w:sdtContent>
  </w:sdt>
  <w:p w14:paraId="2CE83E63" w14:textId="77777777" w:rsidR="00615E2D" w:rsidRDefault="00615E2D">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C313B" w14:textId="77777777" w:rsidR="00615E2D" w:rsidRDefault="00615E2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E5A2" w14:textId="77777777" w:rsidR="00615E2D" w:rsidRDefault="00615E2D">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2371" w14:textId="77777777" w:rsidR="00615E2D" w:rsidRDefault="00615E2D">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824047"/>
      <w:docPartObj>
        <w:docPartGallery w:val="Page Numbers (Bottom of Page)"/>
        <w:docPartUnique/>
      </w:docPartObj>
    </w:sdtPr>
    <w:sdtEndPr>
      <w:rPr>
        <w:noProof/>
      </w:rPr>
    </w:sdtEndPr>
    <w:sdtContent>
      <w:p w14:paraId="4C78DA55" w14:textId="15A11134" w:rsidR="00615E2D" w:rsidRDefault="00C83E46">
        <w:pPr>
          <w:pStyle w:val="Footer"/>
          <w:jc w:val="center"/>
        </w:pPr>
        <w:r>
          <w:fldChar w:fldCharType="begin"/>
        </w:r>
        <w:r>
          <w:instrText xml:space="preserve"> PAGE   \* MERGEFORMAT </w:instrText>
        </w:r>
        <w:r>
          <w:fldChar w:fldCharType="separate"/>
        </w:r>
        <w:r>
          <w:t>61</w:t>
        </w:r>
        <w:r>
          <w:fldChar w:fldCharType="end"/>
        </w:r>
      </w:p>
    </w:sdtContent>
  </w:sdt>
  <w:p w14:paraId="6E3C7DDC" w14:textId="77777777" w:rsidR="00615E2D" w:rsidRDefault="00615E2D">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E078" w14:textId="77777777" w:rsidR="00615E2D" w:rsidRDefault="00615E2D">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63EA" w14:textId="77777777" w:rsidR="00615E2D" w:rsidRDefault="00615E2D">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929907"/>
      <w:docPartObj>
        <w:docPartGallery w:val="Page Numbers (Bottom of Page)"/>
        <w:docPartUnique/>
      </w:docPartObj>
    </w:sdtPr>
    <w:sdtEndPr>
      <w:rPr>
        <w:noProof/>
      </w:rPr>
    </w:sdtEndPr>
    <w:sdtContent>
      <w:p w14:paraId="7B353596" w14:textId="4D185F70" w:rsidR="00615E2D" w:rsidRDefault="00C83E46">
        <w:pPr>
          <w:pStyle w:val="Footer"/>
          <w:jc w:val="center"/>
        </w:pPr>
        <w:r>
          <w:fldChar w:fldCharType="begin"/>
        </w:r>
        <w:r>
          <w:instrText xml:space="preserve"> PAGE   \* MERGEFORMAT </w:instrText>
        </w:r>
        <w:r>
          <w:fldChar w:fldCharType="separate"/>
        </w:r>
        <w:r>
          <w:t>67</w:t>
        </w:r>
        <w:r>
          <w:fldChar w:fldCharType="end"/>
        </w:r>
      </w:p>
    </w:sdtContent>
  </w:sdt>
  <w:p w14:paraId="5C0D3BCB" w14:textId="77777777" w:rsidR="00615E2D" w:rsidRDefault="00615E2D">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5E25" w14:textId="77777777" w:rsidR="00615E2D" w:rsidRDefault="00615E2D">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B61E" w14:textId="77777777" w:rsidR="00615E2D" w:rsidRDefault="00615E2D">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148314"/>
      <w:docPartObj>
        <w:docPartGallery w:val="Page Numbers (Bottom of Page)"/>
        <w:docPartUnique/>
      </w:docPartObj>
    </w:sdtPr>
    <w:sdtEndPr>
      <w:rPr>
        <w:noProof/>
      </w:rPr>
    </w:sdtEndPr>
    <w:sdtContent>
      <w:p w14:paraId="1EA223BB" w14:textId="612438FD" w:rsidR="00615E2D" w:rsidRDefault="00C83E46">
        <w:pPr>
          <w:pStyle w:val="Footer"/>
          <w:jc w:val="center"/>
        </w:pPr>
        <w:r>
          <w:fldChar w:fldCharType="begin"/>
        </w:r>
        <w:r>
          <w:instrText xml:space="preserve"> PAGE   \* MERGEFORMAT </w:instrText>
        </w:r>
        <w:r>
          <w:fldChar w:fldCharType="separate"/>
        </w:r>
        <w:r>
          <w:t>69</w:t>
        </w:r>
        <w:r>
          <w:fldChar w:fldCharType="end"/>
        </w:r>
      </w:p>
    </w:sdtContent>
  </w:sdt>
  <w:p w14:paraId="669B3DCB" w14:textId="77777777" w:rsidR="00615E2D" w:rsidRDefault="00615E2D">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E7468" w14:textId="77777777" w:rsidR="00615E2D" w:rsidRDefault="00615E2D">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97BC" w14:textId="77777777" w:rsidR="00615E2D" w:rsidRDefault="00615E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525987"/>
      <w:docPartObj>
        <w:docPartGallery w:val="Page Numbers (Bottom of Page)"/>
        <w:docPartUnique/>
      </w:docPartObj>
    </w:sdtPr>
    <w:sdtEndPr>
      <w:rPr>
        <w:noProof/>
      </w:rPr>
    </w:sdtEndPr>
    <w:sdtContent>
      <w:p w14:paraId="28E35FF5" w14:textId="7E836534" w:rsidR="00615E2D" w:rsidRDefault="00C83E46">
        <w:pPr>
          <w:pStyle w:val="Footer"/>
          <w:jc w:val="center"/>
        </w:pPr>
        <w:r>
          <w:fldChar w:fldCharType="begin"/>
        </w:r>
        <w:r>
          <w:instrText xml:space="preserve"> PAGE   \* MERGEFORMAT </w:instrText>
        </w:r>
        <w:r>
          <w:fldChar w:fldCharType="separate"/>
        </w:r>
        <w:r w:rsidR="009978F5">
          <w:rPr>
            <w:noProof/>
          </w:rPr>
          <w:t>8</w:t>
        </w:r>
        <w:r>
          <w:fldChar w:fldCharType="end"/>
        </w:r>
      </w:p>
    </w:sdtContent>
  </w:sdt>
  <w:p w14:paraId="54C8A837" w14:textId="77777777" w:rsidR="00615E2D" w:rsidRDefault="00615E2D">
    <w:pPr>
      <w:pStyle w:val="FooterCouncil"/>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780495"/>
      <w:docPartObj>
        <w:docPartGallery w:val="Page Numbers (Bottom of Page)"/>
        <w:docPartUnique/>
      </w:docPartObj>
    </w:sdtPr>
    <w:sdtEndPr>
      <w:rPr>
        <w:noProof/>
      </w:rPr>
    </w:sdtEndPr>
    <w:sdtContent>
      <w:p w14:paraId="6364D966" w14:textId="0D7822AD" w:rsidR="00615E2D" w:rsidRDefault="00C83E46">
        <w:pPr>
          <w:pStyle w:val="Footer"/>
          <w:jc w:val="center"/>
        </w:pPr>
        <w:r>
          <w:fldChar w:fldCharType="begin"/>
        </w:r>
        <w:r>
          <w:instrText xml:space="preserve"> PAGE   \* MERGEFORMAT </w:instrText>
        </w:r>
        <w:r>
          <w:fldChar w:fldCharType="separate"/>
        </w:r>
        <w:r>
          <w:t>73</w:t>
        </w:r>
        <w:r>
          <w:fldChar w:fldCharType="end"/>
        </w:r>
      </w:p>
    </w:sdtContent>
  </w:sdt>
  <w:p w14:paraId="55B37821" w14:textId="77777777" w:rsidR="00615E2D" w:rsidRDefault="00615E2D">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567A" w14:textId="77777777" w:rsidR="00615E2D" w:rsidRDefault="00615E2D">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02F2" w14:textId="77777777" w:rsidR="00615E2D" w:rsidRDefault="00615E2D">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884597"/>
      <w:docPartObj>
        <w:docPartGallery w:val="Page Numbers (Bottom of Page)"/>
        <w:docPartUnique/>
      </w:docPartObj>
    </w:sdtPr>
    <w:sdtEndPr>
      <w:rPr>
        <w:noProof/>
      </w:rPr>
    </w:sdtEndPr>
    <w:sdtContent>
      <w:p w14:paraId="1D194B4A" w14:textId="70B55F97" w:rsidR="00615E2D" w:rsidRDefault="00C83E46">
        <w:pPr>
          <w:pStyle w:val="Footer"/>
          <w:jc w:val="center"/>
        </w:pPr>
        <w:r>
          <w:fldChar w:fldCharType="begin"/>
        </w:r>
        <w:r>
          <w:instrText xml:space="preserve"> PAGE   \* MERGEFORMAT </w:instrText>
        </w:r>
        <w:r>
          <w:fldChar w:fldCharType="separate"/>
        </w:r>
        <w:r>
          <w:t>75</w:t>
        </w:r>
        <w:r>
          <w:fldChar w:fldCharType="end"/>
        </w:r>
      </w:p>
    </w:sdtContent>
  </w:sdt>
  <w:p w14:paraId="23E4F5D7" w14:textId="77777777" w:rsidR="00615E2D" w:rsidRDefault="00615E2D">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E2AE" w14:textId="77777777" w:rsidR="00615E2D" w:rsidRDefault="00615E2D">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97C19" w14:textId="77777777" w:rsidR="00615E2D" w:rsidRDefault="00615E2D">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221520"/>
      <w:docPartObj>
        <w:docPartGallery w:val="Page Numbers (Bottom of Page)"/>
        <w:docPartUnique/>
      </w:docPartObj>
    </w:sdtPr>
    <w:sdtEndPr>
      <w:rPr>
        <w:noProof/>
      </w:rPr>
    </w:sdtEndPr>
    <w:sdtContent>
      <w:p w14:paraId="3121B433" w14:textId="712C8728" w:rsidR="00615E2D" w:rsidRDefault="00C83E46">
        <w:pPr>
          <w:pStyle w:val="Footer"/>
          <w:jc w:val="center"/>
        </w:pPr>
        <w:r>
          <w:fldChar w:fldCharType="begin"/>
        </w:r>
        <w:r>
          <w:instrText xml:space="preserve"> PAGE   \* MERGEFORMAT </w:instrText>
        </w:r>
        <w:r>
          <w:fldChar w:fldCharType="separate"/>
        </w:r>
        <w:r>
          <w:t>77</w:t>
        </w:r>
        <w:r>
          <w:fldChar w:fldCharType="end"/>
        </w:r>
      </w:p>
    </w:sdtContent>
  </w:sdt>
  <w:p w14:paraId="1A77753A" w14:textId="77777777" w:rsidR="00615E2D" w:rsidRDefault="00615E2D">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25B66" w14:textId="77777777" w:rsidR="00615E2D" w:rsidRDefault="00615E2D">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C05B" w14:textId="77777777" w:rsidR="00615E2D" w:rsidRDefault="00615E2D">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377511"/>
      <w:docPartObj>
        <w:docPartGallery w:val="Page Numbers (Bottom of Page)"/>
        <w:docPartUnique/>
      </w:docPartObj>
    </w:sdtPr>
    <w:sdtEndPr>
      <w:rPr>
        <w:noProof/>
      </w:rPr>
    </w:sdtEndPr>
    <w:sdtContent>
      <w:p w14:paraId="7DB9DFCD" w14:textId="0F1BC592" w:rsidR="00615E2D" w:rsidRDefault="00C83E46">
        <w:pPr>
          <w:pStyle w:val="Footer"/>
          <w:jc w:val="center"/>
        </w:pPr>
        <w:r>
          <w:fldChar w:fldCharType="begin"/>
        </w:r>
        <w:r>
          <w:instrText xml:space="preserve"> PAGE   \* MERGEFORMAT </w:instrText>
        </w:r>
        <w:r>
          <w:fldChar w:fldCharType="separate"/>
        </w:r>
        <w:r>
          <w:t>79</w:t>
        </w:r>
        <w:r>
          <w:fldChar w:fldCharType="end"/>
        </w:r>
      </w:p>
    </w:sdtContent>
  </w:sdt>
  <w:p w14:paraId="063BA81B" w14:textId="77777777" w:rsidR="00615E2D" w:rsidRDefault="00615E2D">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020AB" w14:textId="77777777" w:rsidR="00615E2D" w:rsidRDefault="00615E2D">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0D5C" w14:textId="77777777" w:rsidR="00615E2D" w:rsidRDefault="00615E2D">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954C" w14:textId="77777777" w:rsidR="00615E2D" w:rsidRDefault="00615E2D">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095012"/>
      <w:docPartObj>
        <w:docPartGallery w:val="Page Numbers (Bottom of Page)"/>
        <w:docPartUnique/>
      </w:docPartObj>
    </w:sdtPr>
    <w:sdtEndPr>
      <w:rPr>
        <w:noProof/>
      </w:rPr>
    </w:sdtEndPr>
    <w:sdtContent>
      <w:p w14:paraId="3FFF09E0" w14:textId="5A344FAF" w:rsidR="00615E2D" w:rsidRDefault="00C83E46">
        <w:pPr>
          <w:pStyle w:val="Footer"/>
          <w:jc w:val="center"/>
        </w:pPr>
        <w:r>
          <w:fldChar w:fldCharType="begin"/>
        </w:r>
        <w:r>
          <w:instrText xml:space="preserve"> PAGE   \* MERGEFORMAT </w:instrText>
        </w:r>
        <w:r>
          <w:fldChar w:fldCharType="separate"/>
        </w:r>
        <w:r>
          <w:t>81</w:t>
        </w:r>
        <w:r>
          <w:fldChar w:fldCharType="end"/>
        </w:r>
      </w:p>
    </w:sdtContent>
  </w:sdt>
  <w:p w14:paraId="042803D7" w14:textId="77777777" w:rsidR="00615E2D" w:rsidRDefault="00615E2D">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E599" w14:textId="77777777" w:rsidR="00615E2D" w:rsidRDefault="00615E2D">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97D8C" w14:textId="77777777" w:rsidR="00615E2D" w:rsidRDefault="00615E2D">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954417"/>
      <w:docPartObj>
        <w:docPartGallery w:val="Page Numbers (Bottom of Page)"/>
        <w:docPartUnique/>
      </w:docPartObj>
    </w:sdtPr>
    <w:sdtEndPr>
      <w:rPr>
        <w:noProof/>
      </w:rPr>
    </w:sdtEndPr>
    <w:sdtContent>
      <w:p w14:paraId="232A8922" w14:textId="7F83C876" w:rsidR="00615E2D" w:rsidRDefault="00C83E46">
        <w:pPr>
          <w:pStyle w:val="Footer"/>
          <w:jc w:val="center"/>
        </w:pPr>
        <w:r>
          <w:fldChar w:fldCharType="begin"/>
        </w:r>
        <w:r>
          <w:instrText xml:space="preserve"> PAGE   \* MERGEFORMAT </w:instrText>
        </w:r>
        <w:r>
          <w:fldChar w:fldCharType="separate"/>
        </w:r>
        <w:r>
          <w:t>85</w:t>
        </w:r>
        <w:r>
          <w:fldChar w:fldCharType="end"/>
        </w:r>
      </w:p>
    </w:sdtContent>
  </w:sdt>
  <w:p w14:paraId="0A21E1D5" w14:textId="77777777" w:rsidR="00615E2D" w:rsidRDefault="00615E2D">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4507" w14:textId="77777777" w:rsidR="00615E2D" w:rsidRDefault="00615E2D">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4836A" w14:textId="77777777" w:rsidR="00615E2D" w:rsidRDefault="00615E2D">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432272"/>
      <w:docPartObj>
        <w:docPartGallery w:val="Page Numbers (Bottom of Page)"/>
        <w:docPartUnique/>
      </w:docPartObj>
    </w:sdtPr>
    <w:sdtEndPr>
      <w:rPr>
        <w:noProof/>
      </w:rPr>
    </w:sdtEndPr>
    <w:sdtContent>
      <w:p w14:paraId="62196D0E" w14:textId="26E66C95" w:rsidR="00615E2D" w:rsidRDefault="00C83E46">
        <w:pPr>
          <w:pStyle w:val="Footer"/>
          <w:jc w:val="center"/>
        </w:pPr>
        <w:r>
          <w:fldChar w:fldCharType="begin"/>
        </w:r>
        <w:r>
          <w:instrText xml:space="preserve"> PAGE   \* MERGEFORMAT </w:instrText>
        </w:r>
        <w:r>
          <w:fldChar w:fldCharType="separate"/>
        </w:r>
        <w:r>
          <w:t>88</w:t>
        </w:r>
        <w:r>
          <w:fldChar w:fldCharType="end"/>
        </w:r>
      </w:p>
    </w:sdtContent>
  </w:sdt>
  <w:p w14:paraId="1E2D4A2E" w14:textId="77777777" w:rsidR="00615E2D" w:rsidRDefault="00615E2D">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5BE05" w14:textId="77777777" w:rsidR="00615E2D" w:rsidRDefault="00615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635F" w14:textId="77777777" w:rsidR="00615E2D" w:rsidRDefault="00C83E46">
      <w:pPr>
        <w:spacing w:before="0" w:after="0" w:line="240" w:lineRule="auto"/>
      </w:pPr>
      <w:r>
        <w:separator/>
      </w:r>
    </w:p>
  </w:footnote>
  <w:footnote w:type="continuationSeparator" w:id="0">
    <w:p w14:paraId="327832FE" w14:textId="77777777" w:rsidR="00615E2D" w:rsidRDefault="00C83E46">
      <w:pPr>
        <w:spacing w:before="0" w:after="0" w:line="240" w:lineRule="auto"/>
      </w:pPr>
      <w:r>
        <w:continuationSeparator/>
      </w:r>
    </w:p>
  </w:footnote>
  <w:footnote w:type="continuationNotice" w:id="1">
    <w:p w14:paraId="339BB07B" w14:textId="77777777" w:rsidR="00615E2D" w:rsidRDefault="00615E2D">
      <w:pPr>
        <w:spacing w:before="0" w:after="0" w:line="240" w:lineRule="auto"/>
      </w:pPr>
    </w:p>
  </w:footnote>
  <w:footnote w:id="2">
    <w:p w14:paraId="197A31E8" w14:textId="0671317D" w:rsidR="00615E2D" w:rsidRDefault="00C83E46">
      <w:pPr>
        <w:pStyle w:val="FootnoteText"/>
        <w:ind w:left="0" w:firstLine="0"/>
        <w:jc w:val="both"/>
        <w:rPr>
          <w:sz w:val="20"/>
        </w:rPr>
      </w:pPr>
      <w:r>
        <w:rPr>
          <w:rStyle w:val="FootnoteReference"/>
          <w:sz w:val="20"/>
        </w:rPr>
        <w:footnoteRef/>
      </w:r>
      <w:r>
        <w:rPr>
          <w:sz w:val="20"/>
        </w:rPr>
        <w:t xml:space="preserve"> Mjerom se posebno zahtijeva da gospodarski subjekti koji provode građevinske radove osiguraju da se najmanje 70 % (masenog udjela) neopasnog građevinskog otpada i otpada od rušenja (osim prirodnog materijala iz kategorije 17 05 04 Europskog popisa otpada utvrđenog Odlukom 2000/532/EZ od 3. svibnja 2000. koja zamjenjuje Odluku 94/3/EZ o popisu otpada u skladu s člankom 1. točkom (a) Direktive Vijeća 75/442/EEZ o otpadu i Odluku Vijeća 94/904/EZ o utvrđivanju popisa opasnog otpada u skladu s člankom 1. stavkom 4. Direktive Vijeća 91/689/EEZ o opasnom otpadu (priopćeno pod brojem dokumenta C(2000) 1147)) pripremi za ponovnu uporabu, recikliranje i drugi postupci oporabe materijala, uključujući postupke nasipavanja u kojima se otpad upotrebljava kao zamjena za druge materijale, u skladu s hijerarhijom otpada i Protokolom EU-a za gospodarenje građevinskim otpadom i otpadom od rušenja.</w:t>
      </w:r>
    </w:p>
  </w:footnote>
  <w:footnote w:id="3">
    <w:p w14:paraId="7449EE9B" w14:textId="0166D0DB" w:rsidR="00615E2D" w:rsidRDefault="00C83E46">
      <w:pPr>
        <w:pBdr>
          <w:top w:val="nil"/>
          <w:left w:val="nil"/>
          <w:bottom w:val="nil"/>
          <w:right w:val="nil"/>
          <w:between w:val="nil"/>
        </w:pBdr>
        <w:spacing w:after="0" w:line="240" w:lineRule="auto"/>
        <w:jc w:val="both"/>
        <w:rPr>
          <w:color w:val="000000"/>
          <w:sz w:val="20"/>
        </w:rPr>
      </w:pPr>
      <w:r>
        <w:rPr>
          <w:rStyle w:val="FootnoteReference"/>
          <w:b w:val="0"/>
          <w:sz w:val="20"/>
        </w:rPr>
        <w:footnoteRef/>
      </w:r>
      <w:r>
        <w:rPr>
          <w:color w:val="000000"/>
          <w:sz w:val="20"/>
        </w:rPr>
        <w:t xml:space="preserve"> Donesena na temelju Preporuke Komisije 2020/1307 o zajedničkom paketu instrumenata Unije za smanjenje troškova postavljanja mreža vrlo velikog kapaciteta i osiguravanje pravodobnog pristupa radiofrekvencijskom spektru za 5G koji pogoduje ulaganjima kako bi se potaknula povezivost kao potpora gospodarskom oporavku od krize uzrokovane bolešću COVID-19 u Uniji.</w:t>
      </w:r>
    </w:p>
  </w:footnote>
  <w:footnote w:id="4">
    <w:p w14:paraId="58F62D33" w14:textId="77777777" w:rsidR="00615E2D" w:rsidRDefault="00C83E46">
      <w:pPr>
        <w:pStyle w:val="FootnoteText"/>
      </w:pPr>
      <w:r>
        <w:rPr>
          <w:rStyle w:val="FootnoteReference"/>
        </w:rPr>
        <w:footnoteRef/>
      </w:r>
      <w:r>
        <w:t xml:space="preserve"> </w:t>
      </w:r>
      <w:r>
        <w:tab/>
      </w:r>
      <w:r>
        <w:rPr>
          <w:rFonts w:eastAsia="Times New Roman"/>
        </w:rPr>
        <w:t>Osim projekata u okviru ove mjere u području proizvodnje električne energije i/ili topline te povezane infrastrukture za prijenos i distribuciju, u kojima se upotrebljava prirodni plin, koji su u skladu s uvjetima iz Priloga III. Tehničkim smjernicama o nenanošenju bitne štete (2021/C58/01).</w:t>
      </w:r>
    </w:p>
  </w:footnote>
  <w:footnote w:id="5">
    <w:p w14:paraId="7730E12E" w14:textId="77777777" w:rsidR="00615E2D" w:rsidRDefault="00C83E46">
      <w:pPr>
        <w:pStyle w:val="FootnoteText"/>
      </w:pPr>
      <w:r>
        <w:rPr>
          <w:rStyle w:val="FootnoteReference"/>
        </w:rPr>
        <w:footnoteRef/>
      </w:r>
      <w:r>
        <w:t xml:space="preserve"> </w:t>
      </w:r>
      <w:r>
        <w:tab/>
      </w:r>
      <w:r>
        <w:rPr>
          <w:rFonts w:eastAsia="Times New Roman"/>
        </w:rPr>
        <w:t>Ako se aktivnostima koje se podupiru postižu predviđene emisije stakleničkih plinova koje nisu znatno niže od relevantnih referentnih vrijednosti, potrebno je objasniti razloge zašto to nije moguće. Referentne vrijednosti za besplatnu dodjelu emisijskih jedinica za aktivnosti obuhvaćene područjem primjene sustava trgovanja emisijama, kako je utvrđeno u Provedbenoj uredbi Komisije (EU) 2021/447.</w:t>
      </w:r>
    </w:p>
  </w:footnote>
  <w:footnote w:id="6">
    <w:p w14:paraId="293B91E1" w14:textId="77777777" w:rsidR="00615E2D" w:rsidRDefault="00C83E46">
      <w:pPr>
        <w:pStyle w:val="FootnoteText"/>
      </w:pPr>
      <w:r>
        <w:rPr>
          <w:rStyle w:val="FootnoteReference"/>
        </w:rPr>
        <w:footnoteRef/>
      </w:r>
      <w:r>
        <w:t xml:space="preserve"> </w:t>
      </w:r>
      <w:r>
        <w:tab/>
      </w:r>
      <w:r>
        <w:rPr>
          <w:rFonts w:eastAsia="Times New Roman"/>
        </w:rPr>
        <w:t>To se izuzeće ne primjenjuje na mjere u okviru ove mjere u postrojenjima koja su namijenjena isključivo obradi opasnog otpada koji se ne može reciklirati i postojećim postrojenjima, u kojima su mjere u okviru ove mjere namijenjene povećanju energetske učinkovitosti, hvatanju ispušnih plinova za skladištenje ili uporabu ili oporabi materijala iz pepela za spaljivanje, pod uvjetom da takve radnje u okviru ove mjere ne dovode do povećanja kapaciteta postrojenja za obradu otpada ili produljenja životnog vijeka postrojenja; za koje postoje dokazi na razini postrojenja.</w:t>
      </w:r>
    </w:p>
  </w:footnote>
  <w:footnote w:id="7">
    <w:p w14:paraId="6D583B6E" w14:textId="77777777" w:rsidR="00615E2D" w:rsidRDefault="00C83E46">
      <w:pPr>
        <w:pStyle w:val="FootnoteText"/>
      </w:pPr>
      <w:r>
        <w:rPr>
          <w:rStyle w:val="FootnoteReference"/>
        </w:rPr>
        <w:footnoteRef/>
      </w:r>
      <w:r>
        <w:t xml:space="preserve"> </w:t>
      </w:r>
      <w:r>
        <w:tab/>
      </w:r>
      <w:r>
        <w:rPr>
          <w:rFonts w:eastAsia="Times New Roman"/>
        </w:rPr>
        <w:t>To se izuzeće ne primjenjuje na mjere u okviru ove mjere u postojećim postrojenjima za mehaničko-biološku obradu, ako su mjere u okviru ove mjere namijenjene povećanju energetske učinkovitosti ili naknadnoj ugradnji u postupke recikliranja odvojenog otpada radi kompostiranja biootpada i anaerobne razgradnje biološkog otpada, pod uvjetom da takve mjere u okviru ove mjere ne dovode do povećanja kapaciteta postrojenja za obradu otpada ili produljenja životnog vijeka postrojenja; za koje postoje dokazi na razini postrojenja.</w:t>
      </w:r>
    </w:p>
  </w:footnote>
  <w:footnote w:id="8">
    <w:p w14:paraId="551F6AE0" w14:textId="0D93DED4" w:rsidR="00615E2D" w:rsidRDefault="00C83E46">
      <w:pPr>
        <w:pStyle w:val="FootnoteText"/>
        <w:ind w:left="142" w:hanging="142"/>
        <w:jc w:val="both"/>
      </w:pPr>
      <w:r>
        <w:rPr>
          <w:rStyle w:val="FootnoteReference"/>
        </w:rPr>
        <w:footnoteRef/>
      </w:r>
      <w:r>
        <w:t xml:space="preserve"> </w:t>
      </w:r>
      <w:r>
        <w:rPr>
          <w:rFonts w:eastAsia="Times New Roman"/>
          <w:sz w:val="20"/>
        </w:rPr>
        <w:t>Za strateška ulaganja, tj. ulaganja u obrambene tehnologije i proizvode utvrđene u godišnjem programu rada za Europski fond za obranu; ulaganja u svemir u atomske satove, strateške lansirne sustave; i svemirski proizvodi;  te ulaganja usmjerena isključivo na razvoj i uvođenje alata i rješenja za kibersigurnost, među ostalim kada su oni dio uvođenja ili nadogradnje digitalnih mreža i podatkovne infrastrukture; krajnji korisnici ne smiju biti pod kontrolom treće zemlje ili subjekata iz treće zemlje i imaju izvršnu upravu u Uniji, osim za ulaganja manja od 10 000 000 EUR. Ako je krajnji korisnik uključen u strateško ulaganje u području 5G povezivosti, mjere i planovi za ublažavanje rizika u skladu s paketom instrumenata za kibersigurnost 5G mreža primjenjuju se i na njegove dobavljače. Riječ je osobito o dobavljačima telekomunikacijske opreme i proizvoda i ostalim trećim dobavljačima, kao što su pružatelji infrastrukture oblaka, pružatelji upravljanih usluga, integratori sustava, pružatelji sigurnosnih usluga i usluga održavanja te proizvođači prijenosne opreme. Ako je krajnji korisnik uključen u strateško ulaganje u području obrane, to se ograničenje primjenjuje i na njegove dobavljače i podugovaratelje. Ograničenja koja se odnose na nepostojanje kontrole od strane prethodno navedene treće zemlje ili subjekta iz treće zemlje ne primjenjuju se na određenu operaciju financiranja i ulaganja ako krajnji korisnik može dokazati da je riječ o pravnom subjektu za koji je država članica u kojoj ima poslovni nastan odobrila jamstvo za predmetno posebno djelovanje u skladu s načelima koja se odnose na prihvatljive subjekte utvrđenima u relevantnim odredbama Uredbe o Europskom fondu za obranu („ERF”) – ili na izuzeće Komisije odobreno u skladu s načelima koja se odnose na prihvatljive subjekte utvrđenima u relevantnim odredbama Uredbe o svemiru. Partner u provedbi mora obavijestiti vladu o svim odstupanjima odobrenima za ograničenja.</w:t>
      </w:r>
    </w:p>
  </w:footnote>
  <w:footnote w:id="9">
    <w:p w14:paraId="577C8C23" w14:textId="77777777" w:rsidR="00615E2D" w:rsidRDefault="00C83E46">
      <w:pPr>
        <w:pStyle w:val="FootnoteText"/>
        <w:ind w:left="142" w:hanging="142"/>
        <w:jc w:val="both"/>
        <w:rPr>
          <w:rFonts w:eastAsia="Times New Roman"/>
        </w:rPr>
      </w:pPr>
      <w:r>
        <w:rPr>
          <w:rStyle w:val="FootnoteReference"/>
        </w:rPr>
        <w:footnoteRef/>
      </w:r>
      <w:r>
        <w:t xml:space="preserve"> </w:t>
      </w:r>
      <w:r>
        <w:rPr>
          <w:rFonts w:eastAsia="Times New Roman"/>
          <w:sz w:val="20"/>
        </w:rPr>
        <w:t>Smatra se da je krajnji korisnik „znatno usmjeren” na sektor ili poslovnu djelatnost ako se takav sektor ili djelatnost smatra ključnim dijelom poslovne djelatnosti krajnjeg korisnika u odnosu na bruto prihode, dobit ili bazu klijenata krajnjeg korisnika. Bruto prihod ostvaren od ograničenog sektora ili djelatnosti ni u kojem slučaju ne smije premašiti 50 % bruto prihoda.</w:t>
      </w:r>
    </w:p>
  </w:footnote>
  <w:footnote w:id="10">
    <w:p w14:paraId="6018F800" w14:textId="77777777" w:rsidR="00615E2D" w:rsidRDefault="00C83E46">
      <w:pPr>
        <w:spacing w:after="0" w:line="240" w:lineRule="auto"/>
        <w:jc w:val="both"/>
        <w:rPr>
          <w:rFonts w:eastAsia="Times New Roman"/>
          <w:sz w:val="20"/>
        </w:rPr>
      </w:pPr>
      <w:r>
        <w:rPr>
          <w:rStyle w:val="FootnoteReference"/>
          <w:sz w:val="20"/>
        </w:rPr>
        <w:footnoteRef/>
      </w:r>
      <w:r>
        <w:rPr>
          <w:sz w:val="20"/>
        </w:rPr>
        <w:t xml:space="preserve"> </w:t>
      </w:r>
      <w:r>
        <w:rPr>
          <w:rFonts w:eastAsia="Times New Roman"/>
          <w:sz w:val="20"/>
        </w:rPr>
        <w:t>Osim (a) imovine i djelatnosti proizvodnje električne i/ili toplinske energije, kao i povezane infrastrukture za prijenos i distribuciju prirodnog plina, koji su u skladu s uvjetima utvrđenima u Prilogu III. Tehničkim smjernicama o nenanošenju bitne štete (2021/C58/01) i (b) aktivnosti i imovina iz točke ii. za koje je uporaba fosilnih goriva privremena i tehnički neizbježna za pravodoban prelazak na rad bez fosilnih goriva.</w:t>
      </w:r>
    </w:p>
  </w:footnote>
  <w:footnote w:id="11">
    <w:p w14:paraId="38EEF74F" w14:textId="77777777" w:rsidR="00615E2D" w:rsidRDefault="00C83E46">
      <w:pPr>
        <w:spacing w:after="0" w:line="240" w:lineRule="auto"/>
        <w:jc w:val="both"/>
        <w:rPr>
          <w:rFonts w:eastAsia="Times New Roman"/>
          <w:sz w:val="20"/>
        </w:rPr>
      </w:pPr>
      <w:r>
        <w:rPr>
          <w:rStyle w:val="FootnoteReference"/>
          <w:sz w:val="20"/>
        </w:rPr>
        <w:footnoteRef/>
      </w:r>
      <w:r>
        <w:rPr>
          <w:sz w:val="20"/>
        </w:rPr>
        <w:t xml:space="preserve"> </w:t>
      </w:r>
      <w:r>
        <w:rPr>
          <w:rFonts w:eastAsia="Times New Roman"/>
          <w:sz w:val="20"/>
        </w:rPr>
        <w:t>Uključujući aktivnosti i imovinu u okviru sustava EU-a za trgovanje emisijama (ETS) kojima se postižu predviđene emisije stakleničkih plinova koje nisu niže od relevantnih referentnih vrijednosti. Ako se djelatnošću koja se podupire postižu predviđene emisije stakleničkih plinova koje nisu znatno niže od relevantnih referentnih vrijednosti, dostavlja se objašnjenje razloga zbog kojih to nije moguće. Referentne vrijednosti za besplatnu dodjelu emisijskih jedinica za aktivnosti obuhvaćene područjem primjene sustava trgovanja emisijama, kako je utvrđeno u Provedbenoj uredbi Komisije (EU) 2021/447.</w:t>
      </w:r>
    </w:p>
  </w:footnote>
  <w:footnote w:id="12">
    <w:p w14:paraId="42926D56" w14:textId="77777777" w:rsidR="00615E2D" w:rsidRDefault="00C83E46">
      <w:pPr>
        <w:spacing w:after="0" w:line="240" w:lineRule="auto"/>
        <w:jc w:val="both"/>
        <w:rPr>
          <w:rFonts w:eastAsia="Times New Roman"/>
          <w:sz w:val="20"/>
        </w:rPr>
      </w:pPr>
      <w:r>
        <w:rPr>
          <w:rStyle w:val="FootnoteReference"/>
          <w:sz w:val="20"/>
        </w:rPr>
        <w:footnoteRef/>
      </w:r>
      <w:r>
        <w:rPr>
          <w:sz w:val="20"/>
        </w:rPr>
        <w:t xml:space="preserve"> </w:t>
      </w:r>
      <w:r>
        <w:rPr>
          <w:rFonts w:eastAsia="Times New Roman"/>
          <w:sz w:val="20"/>
        </w:rPr>
        <w:t>Vozila koja onečišćuju definiraju se kao vozila bez emisija.</w:t>
      </w:r>
    </w:p>
  </w:footnote>
  <w:footnote w:id="13">
    <w:p w14:paraId="06795BB4" w14:textId="4458FD10" w:rsidR="00615E2D" w:rsidRDefault="00C83E46">
      <w:pPr>
        <w:pStyle w:val="FootnoteText"/>
        <w:ind w:left="142" w:hanging="153"/>
        <w:jc w:val="both"/>
        <w:rPr>
          <w:rFonts w:eastAsia="Times New Roman"/>
        </w:rPr>
      </w:pPr>
      <w:r>
        <w:rPr>
          <w:rStyle w:val="FootnoteReference"/>
          <w:b w:val="0"/>
        </w:rPr>
        <w:footnoteRef/>
      </w:r>
      <w:r>
        <w:rPr>
          <w:b/>
        </w:rPr>
        <w:t xml:space="preserve"> </w:t>
      </w:r>
      <w:r>
        <w:rPr>
          <w:rFonts w:eastAsia="Times New Roman"/>
          <w:sz w:val="20"/>
        </w:rPr>
        <w:t>To se izuzeće ne primjenjuje na djelovanja u postrojenjima koja su namijenjena isključivo obradi opasnog otpada koji se ne može reciklirati ni na postojeća postrojenja u kojima su mjere u okviru ove mjere namijenjene povećanju energetske učinkovitosti, hvatanju ispušnih plinova za skladištenje ili uporabu ili oporabi materijala iz pepela za spaljivanje, pod uvjetom da takve mjere u okviru ove mjere ne dovode do povećanja kapaciteta postrojenja za preradu otpada ili produljenja životnog vijeka postrojenja; za koje postoje dokazi na razini postrojenja.</w:t>
      </w:r>
    </w:p>
  </w:footnote>
  <w:footnote w:id="14">
    <w:p w14:paraId="4BB55216" w14:textId="73C08CF6" w:rsidR="00615E2D" w:rsidRDefault="00C83E46">
      <w:pPr>
        <w:spacing w:before="0" w:after="0"/>
        <w:jc w:val="both"/>
        <w:rPr>
          <w:sz w:val="20"/>
        </w:rPr>
      </w:pPr>
      <w:r>
        <w:rPr>
          <w:rStyle w:val="FootnoteReference"/>
          <w:sz w:val="20"/>
        </w:rPr>
        <w:footnoteRef/>
      </w:r>
      <w:r>
        <w:rPr>
          <w:rFonts w:eastAsia="Times New Roman"/>
          <w:sz w:val="20"/>
        </w:rPr>
        <w:t>U skladu s člankom 12. Direktive 2008/98/EZ kako je izmijenjena Direktivom (EU) 2018/851.</w:t>
      </w:r>
    </w:p>
  </w:footnote>
  <w:footnote w:id="15">
    <w:p w14:paraId="061B0005" w14:textId="52070E68" w:rsidR="00615E2D" w:rsidRDefault="00C83E46">
      <w:pPr>
        <w:pStyle w:val="FootnoteText"/>
        <w:rPr>
          <w:sz w:val="20"/>
        </w:rPr>
      </w:pPr>
      <w:r>
        <w:rPr>
          <w:rStyle w:val="FootnoteReference"/>
          <w:sz w:val="20"/>
        </w:rPr>
        <w:footnoteRef/>
      </w:r>
      <w:r>
        <w:rPr>
          <w:sz w:val="20"/>
        </w:rPr>
        <w:t xml:space="preserve"> U skladu s Direktivom 1999/31/EZ kako je izmijenjena Direktivom (EU) 2018/850.</w:t>
      </w:r>
    </w:p>
  </w:footnote>
  <w:footnote w:id="16">
    <w:p w14:paraId="699646B6" w14:textId="77777777" w:rsidR="00615E2D" w:rsidRDefault="00C83E46">
      <w:pPr>
        <w:pStyle w:val="FootnoteText"/>
        <w:jc w:val="both"/>
        <w:rPr>
          <w:rFonts w:eastAsia="Times New Roman"/>
        </w:rPr>
      </w:pPr>
      <w:r>
        <w:rPr>
          <w:rStyle w:val="FootnoteReference"/>
        </w:rPr>
        <w:footnoteRef/>
      </w:r>
      <w:r>
        <w:t xml:space="preserve"> </w:t>
      </w:r>
      <w:r>
        <w:rPr>
          <w:rFonts w:eastAsia="Times New Roman"/>
        </w:rPr>
        <w:t>Osim (a) imovine i djelatnosti proizvodnje električne i/ili toplinske energije, kao i povezane infrastrukture za prijenos i distribuciju prirodnog plina, koji su u skladu s uvjetima utvrđenima u Prilogu III. Tehničkim smjernicama o nenanošenju bitne štete (2021/C58/01) i (b) aktivnosti i imovina iz točke ii. za koje je uporaba fosilnih goriva privremena i tehnički neizbježna za pravodoban prelazak na rad bez fosilnih goriva.</w:t>
      </w:r>
    </w:p>
  </w:footnote>
  <w:footnote w:id="17">
    <w:p w14:paraId="4523B37F" w14:textId="77777777" w:rsidR="00615E2D" w:rsidRDefault="00C83E46">
      <w:pPr>
        <w:pStyle w:val="FootnoteText"/>
        <w:jc w:val="both"/>
        <w:rPr>
          <w:rFonts w:eastAsia="EC Square Sans Pro"/>
        </w:rPr>
      </w:pPr>
      <w:r>
        <w:rPr>
          <w:rStyle w:val="FootnoteReference"/>
        </w:rPr>
        <w:footnoteRef/>
      </w:r>
      <w:r>
        <w:t xml:space="preserve"> </w:t>
      </w:r>
      <w:r>
        <w:rPr>
          <w:rFonts w:eastAsia="EC Square Sans Pro"/>
        </w:rPr>
        <w:t xml:space="preserve">Ako se djelatnošću koja se podupire postižu predviđene emisije stakleničkih plinova koje nisu znatno niže od relevantnih referentnih vrijednosti, dostavlja se objašnjenje razloga zbog kojih to nije moguće. Referentne vrijednosti za besplatnu dodjelu emisijskih jedinica za aktivnosti obuhvaćene područjem primjene sustava trgovanja emisijama, kako je utvrđeno u Provedbenoj uredbi Komisije (EU) 2021/447. </w:t>
      </w:r>
    </w:p>
  </w:footnote>
  <w:footnote w:id="18">
    <w:p w14:paraId="5D3F9CDF" w14:textId="77777777" w:rsidR="00615E2D" w:rsidRDefault="00C83E46">
      <w:pPr>
        <w:pStyle w:val="FootnoteText"/>
        <w:jc w:val="both"/>
        <w:rPr>
          <w:rFonts w:eastAsia="Times New Roman"/>
        </w:rPr>
      </w:pPr>
      <w:r>
        <w:rPr>
          <w:rStyle w:val="FootnoteReference"/>
        </w:rPr>
        <w:footnoteRef/>
      </w:r>
      <w:r>
        <w:t xml:space="preserve"> </w:t>
      </w:r>
      <w:r>
        <w:rPr>
          <w:rFonts w:eastAsia="Times New Roman"/>
        </w:rPr>
        <w:t>Osim (a) imovine i djelatnosti proizvodnje električne i/ili toplinske energije, kao i povezane infrastrukture za prijenos i distribuciju prirodnog plina, koji su u skladu s uvjetima utvrđenima u Prilogu III. Tehničkim smjernicama o nenanošenju bitne štete (2021/C58/01) i (b) aktivnosti i imovina iz točke ii. za koje je uporaba fosilnih goriva privremena i tehnički neizbježna za pravodoban prelazak na rad bez fosilnih goriva.</w:t>
      </w:r>
    </w:p>
  </w:footnote>
  <w:footnote w:id="19">
    <w:p w14:paraId="6C720CB9" w14:textId="77777777" w:rsidR="00615E2D" w:rsidRDefault="00C83E46">
      <w:pPr>
        <w:pStyle w:val="FootnoteText"/>
        <w:jc w:val="both"/>
        <w:rPr>
          <w:rFonts w:eastAsia="EC Square Sans Pro"/>
        </w:rPr>
      </w:pPr>
      <w:r>
        <w:rPr>
          <w:rStyle w:val="FootnoteReference"/>
        </w:rPr>
        <w:footnoteRef/>
      </w:r>
      <w:r>
        <w:t xml:space="preserve"> </w:t>
      </w:r>
      <w:r>
        <w:rPr>
          <w:rFonts w:eastAsia="EC Square Sans Pro"/>
        </w:rPr>
        <w:t xml:space="preserve">Ako se djelatnošću koja se podupire postižu predviđene emisije stakleničkih plinova koje nisu znatno niže od relevantnih referentnih vrijednosti, dostavlja se objašnjenje razloga zbog kojih to nije moguće. Referentne vrijednosti za besplatnu dodjelu emisijskih jedinica za aktivnosti obuhvaćene područjem primjene sustava trgovanja emisijama, kako je utvrđeno u Provedbenoj uredbi Komisije (EU) 2021/447. </w:t>
      </w:r>
    </w:p>
  </w:footnote>
  <w:footnote w:id="20">
    <w:p w14:paraId="505486FA" w14:textId="77777777" w:rsidR="00615E2D" w:rsidRDefault="00C83E46">
      <w:pPr>
        <w:pStyle w:val="FootnoteText"/>
        <w:jc w:val="both"/>
        <w:rPr>
          <w:rFonts w:eastAsia="Times New Roman"/>
        </w:rPr>
      </w:pPr>
      <w:r>
        <w:rPr>
          <w:rStyle w:val="FootnoteReference"/>
        </w:rPr>
        <w:footnoteRef/>
      </w:r>
      <w:r>
        <w:t xml:space="preserve"> </w:t>
      </w:r>
      <w:r>
        <w:rPr>
          <w:rFonts w:eastAsia="Times New Roman"/>
        </w:rPr>
        <w:t>Osim (a) imovine i djelatnosti proizvodnje električne i/ili toplinske energije, kao i povezane infrastrukture za prijenos i distribuciju prirodnog plina, koji su u skladu s uvjetima utvrđenima u Prilogu III. Tehničkim smjernicama o nenanošenju bitne štete (2021/C58/01) i (b) aktivnosti i imovina iz točke ii. za koje je uporaba fosilnih goriva privremena i tehnički neizbježna za pravodoban prelazak na rad bez fosilnih goriva.</w:t>
      </w:r>
    </w:p>
  </w:footnote>
  <w:footnote w:id="21">
    <w:p w14:paraId="55CB05B4" w14:textId="77777777" w:rsidR="00615E2D" w:rsidRDefault="00C83E46">
      <w:pPr>
        <w:pStyle w:val="FootnoteText"/>
        <w:jc w:val="both"/>
        <w:rPr>
          <w:rFonts w:eastAsia="EC Square Sans Pro"/>
        </w:rPr>
      </w:pPr>
      <w:r>
        <w:rPr>
          <w:rStyle w:val="FootnoteReference"/>
        </w:rPr>
        <w:footnoteRef/>
      </w:r>
      <w:r>
        <w:t xml:space="preserve"> </w:t>
      </w:r>
      <w:r>
        <w:rPr>
          <w:rFonts w:eastAsia="EC Square Sans Pro"/>
        </w:rPr>
        <w:t xml:space="preserve">Ako se djelatnošću koja se podupire postižu predviđene emisije stakleničkih plinova koje nisu znatno niže od relevantnih referentnih vrijednosti, dostavlja se objašnjenje razloga zbog kojih to nije moguće. Referentne vrijednosti za besplatnu dodjelu emisijskih jedinica za aktivnosti obuhvaćene područjem primjene sustava trgovanja emisijama, kako je utvrđeno u Provedbenoj uredbi Komisije (EU) 2021/447. </w:t>
      </w:r>
    </w:p>
  </w:footnote>
  <w:footnote w:id="22">
    <w:p w14:paraId="54DC741E" w14:textId="60670958" w:rsidR="00615E2D" w:rsidRDefault="00C83E46">
      <w:pPr>
        <w:spacing w:after="0" w:line="257" w:lineRule="auto"/>
        <w:jc w:val="both"/>
        <w:rPr>
          <w:sz w:val="20"/>
        </w:rPr>
      </w:pPr>
      <w:r>
        <w:rPr>
          <w:rStyle w:val="FootnoteReference"/>
          <w:sz w:val="20"/>
        </w:rPr>
        <w:footnoteRef/>
      </w:r>
      <w:r>
        <w:rPr>
          <w:sz w:val="20"/>
        </w:rPr>
        <w:t xml:space="preserve"> </w:t>
      </w:r>
      <w:r>
        <w:rPr>
          <w:rFonts w:eastAsia="Times New Roman"/>
          <w:sz w:val="20"/>
        </w:rPr>
        <w:t>Osim projekata u okviru ove mjere u području proizvodnje električne i/ili toplinske energije te povezane infrastrukture za prijenos i distribuciju prirodnog plina, koji su u skladu s uvjetima iz Priloga III. Tehničkim smjernicama o nenanošenju bitne štete (2021/C58/01).</w:t>
      </w:r>
    </w:p>
  </w:footnote>
  <w:footnote w:id="23">
    <w:p w14:paraId="285F747F" w14:textId="77777777" w:rsidR="00615E2D" w:rsidRDefault="00C83E46">
      <w:pPr>
        <w:spacing w:after="0" w:line="257" w:lineRule="auto"/>
        <w:jc w:val="both"/>
        <w:rPr>
          <w:sz w:val="20"/>
        </w:rPr>
      </w:pPr>
      <w:r>
        <w:rPr>
          <w:rStyle w:val="FootnoteReference"/>
          <w:sz w:val="20"/>
        </w:rPr>
        <w:footnoteRef/>
      </w:r>
      <w:r>
        <w:rPr>
          <w:sz w:val="20"/>
        </w:rPr>
        <w:t xml:space="preserve"> </w:t>
      </w:r>
      <w:r>
        <w:rPr>
          <w:rFonts w:eastAsia="Times New Roman"/>
          <w:sz w:val="20"/>
        </w:rPr>
        <w:t>Ako se aktivnostima koje se podupiru postižu predviđene emisije stakleničkih plinova koje nisu znatno niže od relevantnih referentnih vrijednosti, potrebno je objasniti razloge zašto to nije moguće. Referentne vrijednosti za besplatnu dodjelu emisijskih jedinica za aktivnosti obuhvaćene područjem primjene sustava trgovanja emisijama, kako je utvrđeno u Provedbenoj uredbi Komisije (EU) 2021/447.</w:t>
      </w:r>
    </w:p>
  </w:footnote>
  <w:footnote w:id="24">
    <w:p w14:paraId="7104FE8E" w14:textId="77777777" w:rsidR="00615E2D" w:rsidRDefault="00C83E46">
      <w:pPr>
        <w:spacing w:after="0" w:line="257" w:lineRule="auto"/>
        <w:jc w:val="both"/>
        <w:rPr>
          <w:sz w:val="20"/>
        </w:rPr>
      </w:pPr>
      <w:r>
        <w:rPr>
          <w:rStyle w:val="FootnoteReference"/>
          <w:sz w:val="20"/>
        </w:rPr>
        <w:footnoteRef/>
      </w:r>
      <w:r>
        <w:rPr>
          <w:sz w:val="20"/>
        </w:rPr>
        <w:t xml:space="preserve"> </w:t>
      </w:r>
      <w:r>
        <w:rPr>
          <w:rFonts w:eastAsia="Times New Roman"/>
          <w:sz w:val="20"/>
        </w:rPr>
        <w:t>To se izuzeće ne primjenjuje na mjere u okviru ove mjere u postrojenjima koja su namijenjena isključivo obradi opasnog otpada koji se ne može reciklirati i postojećim postrojenjima, u kojima su mjere u okviru ove mjere namijenjene povećanju energetske učinkovitosti, hvatanju ispušnih plinova za skladištenje ili uporabu ili oporabi materijala iz pepela za spaljivanje, pod uvjetom da takve radnje u okviru ove mjere ne dovode do povećanja kapaciteta postrojenja za obradu otpada ili produljenja životnog vijeka postrojenja; za koje postoje dokazi na razini postrojenja.</w:t>
      </w:r>
    </w:p>
  </w:footnote>
  <w:footnote w:id="25">
    <w:p w14:paraId="67A6864B" w14:textId="77777777" w:rsidR="00615E2D" w:rsidRDefault="00C83E46">
      <w:pPr>
        <w:spacing w:after="0" w:line="257" w:lineRule="auto"/>
        <w:jc w:val="both"/>
        <w:rPr>
          <w:sz w:val="20"/>
        </w:rPr>
      </w:pPr>
      <w:r>
        <w:rPr>
          <w:rStyle w:val="FootnoteReference"/>
          <w:sz w:val="20"/>
        </w:rPr>
        <w:footnoteRef/>
      </w:r>
      <w:r>
        <w:rPr>
          <w:sz w:val="20"/>
        </w:rPr>
        <w:t xml:space="preserve"> </w:t>
      </w:r>
      <w:r>
        <w:rPr>
          <w:rFonts w:eastAsia="Times New Roman"/>
          <w:sz w:val="20"/>
        </w:rPr>
        <w:t>To se izuzeće ne primjenjuje na mjere u okviru ove mjere u postojećim postrojenjima za mehaničko-biološku obradu, ako su mjere u okviru ove mjere namijenjene povećanju energetske učinkovitosti ili naknadnoj ugradnji u postupke recikliranja odvojenog otpada radi kompostiranja biootpada i anaerobne razgradnje biološkog otpada, pod uvjetom da takve mjere u okviru ove mjere ne dovode do povećanja kapaciteta postrojenja za obradu otpada ili produljenja životnog vijeka postrojenja; za koje postoje dokazi na razini postrojenja.</w:t>
      </w:r>
    </w:p>
    <w:p w14:paraId="7A7ADD0F" w14:textId="77777777" w:rsidR="00615E2D" w:rsidRDefault="00615E2D">
      <w:pPr>
        <w:pStyle w:val="FootnoteText"/>
        <w:rPr>
          <w:sz w:val="20"/>
        </w:rPr>
      </w:pPr>
    </w:p>
  </w:footnote>
  <w:footnote w:id="26">
    <w:p w14:paraId="567F8547" w14:textId="77777777" w:rsidR="00615E2D" w:rsidRDefault="00C83E46">
      <w:pPr>
        <w:pStyle w:val="FootnoteText"/>
        <w:rPr>
          <w:sz w:val="20"/>
        </w:rPr>
      </w:pPr>
      <w:r>
        <w:rPr>
          <w:rStyle w:val="FootnoteReference"/>
          <w:sz w:val="20"/>
        </w:rPr>
        <w:footnoteRef/>
      </w:r>
      <w:r>
        <w:rPr>
          <w:sz w:val="20"/>
        </w:rPr>
        <w:t xml:space="preserve"> https://ec.europa.eu/health/sites/default/files/non_communicable_diseases/docs/eu_cancer-plan_en.pdf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31F40" w14:textId="77777777" w:rsidR="009978F5" w:rsidRPr="009978F5" w:rsidRDefault="009978F5" w:rsidP="009978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8FB8C" w14:textId="77777777" w:rsidR="00615E2D" w:rsidRDefault="00615E2D">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D8CD3" w14:textId="77777777" w:rsidR="00615E2D" w:rsidRDefault="00615E2D">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4FCD" w14:textId="77777777" w:rsidR="00615E2D" w:rsidRDefault="00615E2D">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2DC83" w14:textId="77777777" w:rsidR="00615E2D" w:rsidRDefault="00615E2D">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A05C7" w14:textId="77777777" w:rsidR="00615E2D" w:rsidRDefault="00615E2D">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A828" w14:textId="77777777" w:rsidR="00615E2D" w:rsidRDefault="00615E2D">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1922" w14:textId="77777777" w:rsidR="00615E2D" w:rsidRDefault="00615E2D">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F16C" w14:textId="77777777" w:rsidR="00615E2D" w:rsidRDefault="00615E2D">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C530D" w14:textId="77777777" w:rsidR="00615E2D" w:rsidRDefault="00615E2D">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1FBAB" w14:textId="77777777" w:rsidR="00615E2D" w:rsidRDefault="00615E2D">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6053" w14:textId="77777777" w:rsidR="00615E2D" w:rsidRDefault="00615E2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64BEA" w14:textId="77777777" w:rsidR="00615E2D" w:rsidRDefault="00615E2D">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DECD" w14:textId="77777777" w:rsidR="00615E2D" w:rsidRDefault="00615E2D">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CF58" w14:textId="77777777" w:rsidR="00615E2D" w:rsidRDefault="00615E2D">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5C3B" w14:textId="77777777" w:rsidR="00615E2D" w:rsidRDefault="00615E2D">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FA5C" w14:textId="77777777" w:rsidR="00615E2D" w:rsidRDefault="00615E2D">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CC4B" w14:textId="77777777" w:rsidR="00615E2D" w:rsidRDefault="00615E2D">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6758" w14:textId="77777777" w:rsidR="00615E2D" w:rsidRDefault="00615E2D">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404E" w14:textId="77777777" w:rsidR="00615E2D" w:rsidRDefault="00615E2D">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CECAA" w14:textId="77777777" w:rsidR="00615E2D" w:rsidRDefault="00615E2D">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0201" w14:textId="77777777" w:rsidR="00615E2D" w:rsidRDefault="00615E2D">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413D" w14:textId="77777777" w:rsidR="00615E2D" w:rsidRDefault="00615E2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6528E" w14:textId="77777777" w:rsidR="00615E2D" w:rsidRDefault="00615E2D">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E9E8" w14:textId="77777777" w:rsidR="00615E2D" w:rsidRDefault="00615E2D">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B504" w14:textId="77777777" w:rsidR="00615E2D" w:rsidRDefault="00615E2D">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DF35" w14:textId="77777777" w:rsidR="00615E2D" w:rsidRDefault="00615E2D">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22AC" w14:textId="77777777" w:rsidR="00615E2D" w:rsidRDefault="00615E2D">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6E0A" w14:textId="77777777" w:rsidR="00615E2D" w:rsidRDefault="00615E2D">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73B" w14:textId="77777777" w:rsidR="00615E2D" w:rsidRDefault="00615E2D">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60C1A" w14:textId="77777777" w:rsidR="00615E2D" w:rsidRDefault="00615E2D">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1EB7B" w14:textId="77777777" w:rsidR="00615E2D" w:rsidRDefault="00615E2D">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262C" w14:textId="77777777" w:rsidR="00615E2D" w:rsidRDefault="00615E2D">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4188" w14:textId="77777777" w:rsidR="00615E2D" w:rsidRDefault="00615E2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6634" w14:textId="77777777" w:rsidR="00615E2D" w:rsidRDefault="00615E2D">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E039F" w14:textId="77777777" w:rsidR="00615E2D" w:rsidRDefault="00615E2D">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F9B8" w14:textId="77777777" w:rsidR="00615E2D" w:rsidRDefault="00615E2D">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85D5" w14:textId="77777777" w:rsidR="00615E2D" w:rsidRDefault="00615E2D">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C1CB9" w14:textId="77777777" w:rsidR="00615E2D" w:rsidRDefault="00615E2D">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F842" w14:textId="77777777" w:rsidR="00615E2D" w:rsidRDefault="00615E2D">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CAA6" w14:textId="77777777" w:rsidR="00615E2D" w:rsidRDefault="00615E2D">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C0E7" w14:textId="77777777" w:rsidR="00615E2D" w:rsidRDefault="00615E2D">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4288" w14:textId="77777777" w:rsidR="00615E2D" w:rsidRDefault="00615E2D">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0DD9" w14:textId="77777777" w:rsidR="00615E2D" w:rsidRDefault="00615E2D">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81B4" w14:textId="77777777" w:rsidR="00615E2D" w:rsidRDefault="00615E2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E48B" w14:textId="77777777" w:rsidR="00615E2D" w:rsidRDefault="00615E2D">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CEF6" w14:textId="77777777" w:rsidR="00615E2D" w:rsidRDefault="00615E2D">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1FD56" w14:textId="77777777" w:rsidR="00615E2D" w:rsidRDefault="00615E2D">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80B88" w14:textId="77777777" w:rsidR="00615E2D" w:rsidRDefault="00615E2D">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3D1F9" w14:textId="77777777" w:rsidR="00615E2D" w:rsidRDefault="00615E2D">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F1163" w14:textId="77777777" w:rsidR="00615E2D" w:rsidRDefault="00615E2D">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C56A" w14:textId="77777777" w:rsidR="00615E2D" w:rsidRDefault="00615E2D">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CAF6" w14:textId="77777777" w:rsidR="00615E2D" w:rsidRDefault="00615E2D">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EF27" w14:textId="77777777" w:rsidR="00615E2D" w:rsidRDefault="00615E2D">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C8A0" w14:textId="77777777" w:rsidR="00615E2D" w:rsidRDefault="00615E2D">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FCAC1" w14:textId="77777777" w:rsidR="00615E2D" w:rsidRDefault="00615E2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7CBCC" w14:textId="77777777" w:rsidR="00615E2D" w:rsidRDefault="00615E2D">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6D7A0" w14:textId="77777777" w:rsidR="00615E2D" w:rsidRDefault="00615E2D">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40A2F" w14:textId="77777777" w:rsidR="00615E2D" w:rsidRDefault="00615E2D">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5BC40" w14:textId="77777777" w:rsidR="00615E2D" w:rsidRDefault="00615E2D">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7AB2" w14:textId="77777777" w:rsidR="00615E2D" w:rsidRDefault="00615E2D">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EB6D" w14:textId="77777777" w:rsidR="00615E2D" w:rsidRDefault="00615E2D">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C9E5" w14:textId="77777777" w:rsidR="00615E2D" w:rsidRDefault="00615E2D">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AF64C" w14:textId="77777777" w:rsidR="00615E2D" w:rsidRDefault="00615E2D">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CDD86" w14:textId="77777777" w:rsidR="00615E2D" w:rsidRDefault="00615E2D">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B6B4F" w14:textId="77777777" w:rsidR="00615E2D" w:rsidRDefault="00615E2D">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E56F" w14:textId="77777777" w:rsidR="00615E2D" w:rsidRDefault="00615E2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F8DD" w14:textId="77777777" w:rsidR="00615E2D" w:rsidRDefault="00615E2D">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1AB8D" w14:textId="77777777" w:rsidR="00615E2D" w:rsidRDefault="00615E2D">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4048" w14:textId="77777777" w:rsidR="00615E2D" w:rsidRDefault="00615E2D">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78C8" w14:textId="77777777" w:rsidR="00615E2D" w:rsidRDefault="00615E2D">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3450" w14:textId="77777777" w:rsidR="00615E2D" w:rsidRDefault="00615E2D">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B2CA" w14:textId="77777777" w:rsidR="00615E2D" w:rsidRDefault="00615E2D">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5B1F" w14:textId="77777777" w:rsidR="00615E2D" w:rsidRDefault="00615E2D">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45B29" w14:textId="77777777" w:rsidR="00615E2D" w:rsidRDefault="00615E2D">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0913A" w14:textId="77777777" w:rsidR="00615E2D" w:rsidRDefault="00615E2D">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FC" w14:textId="77777777" w:rsidR="00615E2D" w:rsidRDefault="00615E2D">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77FD7" w14:textId="77777777" w:rsidR="00615E2D" w:rsidRDefault="00615E2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37CC2" w14:textId="77777777" w:rsidR="00615E2D" w:rsidRDefault="00615E2D">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04884" w14:textId="77777777" w:rsidR="00615E2D" w:rsidRDefault="00615E2D">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B8B9D" w14:textId="77777777" w:rsidR="00615E2D" w:rsidRDefault="00615E2D">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06650" w14:textId="77777777" w:rsidR="00615E2D" w:rsidRDefault="00615E2D">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B489" w14:textId="77777777" w:rsidR="00615E2D" w:rsidRDefault="00615E2D">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B66E" w14:textId="77777777" w:rsidR="00615E2D" w:rsidRDefault="00615E2D">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1F53" w14:textId="77777777" w:rsidR="00615E2D" w:rsidRDefault="00615E2D">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0D2A3" w14:textId="77777777" w:rsidR="00615E2D" w:rsidRDefault="00615E2D">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59B2" w14:textId="77777777" w:rsidR="00615E2D" w:rsidRDefault="00615E2D">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EFAA" w14:textId="77777777" w:rsidR="00615E2D" w:rsidRDefault="00615E2D">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98A3" w14:textId="77777777" w:rsidR="00615E2D" w:rsidRDefault="00615E2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48842" w14:textId="77777777" w:rsidR="00615E2D" w:rsidRDefault="00615E2D">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ED5E" w14:textId="77777777" w:rsidR="00615E2D" w:rsidRDefault="00615E2D">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89217" w14:textId="77777777" w:rsidR="00615E2D" w:rsidRDefault="00615E2D">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940C" w14:textId="77777777" w:rsidR="00615E2D" w:rsidRDefault="00615E2D">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0C8E" w14:textId="77777777" w:rsidR="00615E2D" w:rsidRDefault="00615E2D">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552F" w14:textId="77777777" w:rsidR="00615E2D" w:rsidRDefault="00615E2D">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09E1A" w14:textId="77777777" w:rsidR="00615E2D" w:rsidRDefault="00615E2D">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1AC7" w14:textId="77777777" w:rsidR="00615E2D" w:rsidRDefault="00615E2D">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0BBC" w14:textId="77777777" w:rsidR="00615E2D" w:rsidRDefault="00615E2D">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26EE" w14:textId="77777777" w:rsidR="00615E2D" w:rsidRDefault="00615E2D">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5D0A" w14:textId="77777777" w:rsidR="00615E2D" w:rsidRDefault="00615E2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B4FF5" w14:textId="77777777" w:rsidR="00615E2D" w:rsidRDefault="00615E2D">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E54A" w14:textId="77777777" w:rsidR="00615E2D" w:rsidRDefault="00615E2D">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9CA1" w14:textId="77777777" w:rsidR="00615E2D" w:rsidRDefault="00615E2D">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B433" w14:textId="77777777" w:rsidR="00615E2D" w:rsidRDefault="00615E2D">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C8B2" w14:textId="77777777" w:rsidR="00615E2D" w:rsidRDefault="00615E2D">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66477" w14:textId="77777777" w:rsidR="00615E2D" w:rsidRDefault="00615E2D">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997F" w14:textId="77777777" w:rsidR="00615E2D" w:rsidRDefault="00615E2D">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184DC" w14:textId="77777777" w:rsidR="00615E2D" w:rsidRDefault="00615E2D">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80544" w14:textId="77777777" w:rsidR="00615E2D" w:rsidRDefault="00615E2D">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9B0E2" w14:textId="77777777" w:rsidR="00615E2D" w:rsidRDefault="00615E2D">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7DE8" w14:textId="77777777" w:rsidR="00615E2D" w:rsidRDefault="00615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0FED" w14:textId="77777777" w:rsidR="009978F5" w:rsidRPr="009978F5" w:rsidRDefault="009978F5" w:rsidP="009978F5">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F816" w14:textId="77777777" w:rsidR="00615E2D" w:rsidRDefault="00615E2D">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82A3" w14:textId="77777777" w:rsidR="00615E2D" w:rsidRDefault="00615E2D">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681F3" w14:textId="77777777" w:rsidR="00615E2D" w:rsidRDefault="00615E2D">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6D93D" w14:textId="77777777" w:rsidR="00615E2D" w:rsidRDefault="00615E2D">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BA19" w14:textId="77777777" w:rsidR="00615E2D" w:rsidRDefault="00615E2D">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C8666" w14:textId="77777777" w:rsidR="00615E2D" w:rsidRDefault="00615E2D">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AA060" w14:textId="77777777" w:rsidR="00615E2D" w:rsidRDefault="00615E2D">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DF3C8" w14:textId="77777777" w:rsidR="00615E2D" w:rsidRDefault="00615E2D">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D707" w14:textId="77777777" w:rsidR="00615E2D" w:rsidRDefault="00615E2D">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1002" w14:textId="77777777" w:rsidR="00615E2D" w:rsidRDefault="00615E2D">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B7B6B" w14:textId="77777777" w:rsidR="00615E2D" w:rsidRDefault="00615E2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BAE4" w14:textId="77777777" w:rsidR="00615E2D" w:rsidRDefault="00615E2D">
    <w:pPr>
      <w:pStyle w:val="Header"/>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F4B5E" w14:textId="77777777" w:rsidR="00615E2D" w:rsidRDefault="00615E2D">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A37E" w14:textId="77777777" w:rsidR="00615E2D" w:rsidRDefault="00615E2D">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F712" w14:textId="77777777" w:rsidR="00615E2D" w:rsidRDefault="00615E2D">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CCD1A" w14:textId="77777777" w:rsidR="00615E2D" w:rsidRDefault="00615E2D">
    <w:pPr>
      <w:pStyle w:val="Header"/>
    </w:pPr>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9838" w14:textId="77777777" w:rsidR="00615E2D" w:rsidRDefault="00615E2D">
    <w:pPr>
      <w:pStyle w:val="Header"/>
    </w:pPr>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0865D" w14:textId="77777777" w:rsidR="00615E2D" w:rsidRDefault="00615E2D">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8F2F" w14:textId="77777777" w:rsidR="00615E2D" w:rsidRDefault="00615E2D">
    <w:pPr>
      <w:pStyle w:val="Header"/>
    </w:pPr>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ECAC" w14:textId="77777777" w:rsidR="00615E2D" w:rsidRDefault="00615E2D">
    <w:pPr>
      <w:pStyle w:val="Header"/>
    </w:pPr>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A0CA2" w14:textId="77777777" w:rsidR="00615E2D" w:rsidRDefault="00615E2D">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3748" w14:textId="77777777" w:rsidR="00615E2D" w:rsidRDefault="00615E2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3170" w14:textId="77777777" w:rsidR="00615E2D" w:rsidRDefault="00615E2D">
    <w:pPr>
      <w:pStyle w:val="Header"/>
    </w:pPr>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CF94" w14:textId="77777777" w:rsidR="00615E2D" w:rsidRDefault="00615E2D">
    <w:pPr>
      <w:pStyle w:val="Header"/>
    </w:pPr>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F53C" w14:textId="77777777" w:rsidR="00615E2D" w:rsidRDefault="00615E2D">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03870" w14:textId="77777777" w:rsidR="00615E2D" w:rsidRDefault="00615E2D">
    <w:pPr>
      <w:pStyle w:val="Header"/>
    </w:pPr>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2618" w14:textId="77777777" w:rsidR="00615E2D" w:rsidRDefault="00615E2D">
    <w:pPr>
      <w:pStyle w:val="Header"/>
    </w:pPr>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DCA5" w14:textId="77777777" w:rsidR="00615E2D" w:rsidRDefault="00615E2D">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FCABE" w14:textId="77777777" w:rsidR="00615E2D" w:rsidRDefault="00615E2D">
    <w:pPr>
      <w:pStyle w:val="Header"/>
    </w:pPr>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8162" w14:textId="77777777" w:rsidR="00615E2D" w:rsidRDefault="00615E2D">
    <w:pPr>
      <w:pStyle w:val="Header"/>
    </w:pPr>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5BCC9" w14:textId="77777777" w:rsidR="00615E2D" w:rsidRDefault="00615E2D">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CC9B5" w14:textId="77777777" w:rsidR="00615E2D" w:rsidRDefault="00615E2D">
    <w:pPr>
      <w:pStyle w:val="Header"/>
    </w:pPr>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4CAFB" w14:textId="77777777" w:rsidR="00615E2D" w:rsidRDefault="00615E2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A315" w14:textId="77777777" w:rsidR="00615E2D" w:rsidRDefault="00615E2D">
    <w:pPr>
      <w:pStyle w:val="Header"/>
    </w:pPr>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976B" w14:textId="77777777" w:rsidR="00615E2D" w:rsidRDefault="00615E2D">
    <w:pPr>
      <w:pStyle w:val="Header"/>
    </w:pP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7F7F" w14:textId="77777777" w:rsidR="00615E2D" w:rsidRDefault="00615E2D">
    <w:pPr>
      <w:pStyle w:val="Header"/>
    </w:pPr>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E27A1" w14:textId="77777777" w:rsidR="00615E2D" w:rsidRDefault="00615E2D">
    <w:pPr>
      <w:pStyle w:val="Header"/>
    </w:pPr>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8EBC" w14:textId="77777777" w:rsidR="00615E2D" w:rsidRDefault="00615E2D">
    <w:pPr>
      <w:pStyle w:val="Header"/>
    </w:pP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3C29" w14:textId="77777777" w:rsidR="00615E2D" w:rsidRDefault="00615E2D">
    <w:pPr>
      <w:pStyle w:val="Header"/>
    </w:pPr>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271B" w14:textId="77777777" w:rsidR="00615E2D" w:rsidRDefault="00615E2D">
    <w:pPr>
      <w:pStyle w:val="Header"/>
    </w:pPr>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EA4A" w14:textId="77777777" w:rsidR="00615E2D" w:rsidRDefault="00615E2D">
    <w:pPr>
      <w:pStyle w:val="Header"/>
    </w:pPr>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5BAF" w14:textId="77777777" w:rsidR="00615E2D" w:rsidRDefault="00615E2D">
    <w:pPr>
      <w:pStyle w:val="Header"/>
    </w:pPr>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85247" w14:textId="77777777" w:rsidR="00615E2D" w:rsidRDefault="00615E2D">
    <w:pPr>
      <w:pStyle w:val="Header"/>
    </w:pPr>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E248D" w14:textId="77777777" w:rsidR="00615E2D" w:rsidRDefault="00615E2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3197F" w14:textId="77777777" w:rsidR="00615E2D" w:rsidRDefault="00615E2D">
    <w:pPr>
      <w:pStyle w:val="Header"/>
    </w:pPr>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906A" w14:textId="77777777" w:rsidR="00615E2D" w:rsidRDefault="00615E2D">
    <w:pPr>
      <w:pStyle w:val="Header"/>
    </w:pPr>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2FB62" w14:textId="77777777" w:rsidR="00615E2D" w:rsidRDefault="00615E2D">
    <w:pPr>
      <w:pStyle w:val="Header"/>
    </w:pPr>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C083" w14:textId="77777777" w:rsidR="00615E2D" w:rsidRDefault="00615E2D">
    <w:pPr>
      <w:pStyle w:val="Header"/>
    </w:pP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E61D1" w14:textId="77777777" w:rsidR="00615E2D" w:rsidRDefault="00615E2D">
    <w:pPr>
      <w:pStyle w:val="Header"/>
    </w:pPr>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0AE36" w14:textId="77777777" w:rsidR="00615E2D" w:rsidRDefault="00615E2D">
    <w:pPr>
      <w:pStyle w:val="Header"/>
    </w:pPr>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C6EA" w14:textId="77777777" w:rsidR="00615E2D" w:rsidRDefault="00615E2D">
    <w:pPr>
      <w:pStyle w:val="Header"/>
    </w:pPr>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C301" w14:textId="77777777" w:rsidR="00615E2D" w:rsidRDefault="00615E2D">
    <w:pPr>
      <w:pStyle w:val="Header"/>
    </w:pPr>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C434" w14:textId="77777777" w:rsidR="00615E2D" w:rsidRDefault="00615E2D">
    <w:pPr>
      <w:pStyle w:val="Header"/>
    </w:pPr>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7F56" w14:textId="77777777" w:rsidR="00615E2D" w:rsidRDefault="00615E2D">
    <w:pPr>
      <w:pStyle w:val="Header"/>
    </w:pP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E258" w14:textId="77777777" w:rsidR="00615E2D" w:rsidRDefault="00615E2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ECC5" w14:textId="77777777" w:rsidR="00615E2D" w:rsidRDefault="00615E2D">
    <w:pPr>
      <w:pStyle w:val="Header"/>
    </w:pPr>
  </w:p>
</w:hdr>
</file>

<file path=word/header2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3CC4" w14:textId="77777777" w:rsidR="00615E2D" w:rsidRDefault="00615E2D">
    <w:pPr>
      <w:pStyle w:val="Header"/>
    </w:pPr>
  </w:p>
</w:hdr>
</file>

<file path=word/header2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FAC66" w14:textId="77777777" w:rsidR="00615E2D" w:rsidRDefault="00615E2D">
    <w:pPr>
      <w:pStyle w:val="Header"/>
    </w:pPr>
  </w:p>
</w:hdr>
</file>

<file path=word/header2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60C7" w14:textId="77777777" w:rsidR="00615E2D" w:rsidRDefault="00615E2D">
    <w:pPr>
      <w:pStyle w:val="Header"/>
    </w:pPr>
  </w:p>
</w:hdr>
</file>

<file path=word/header2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0C3E" w14:textId="77777777" w:rsidR="00615E2D" w:rsidRDefault="00615E2D">
    <w:pPr>
      <w:pStyle w:val="Header"/>
    </w:pPr>
  </w:p>
</w:hdr>
</file>

<file path=word/header2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6563" w14:textId="77777777" w:rsidR="00615E2D" w:rsidRDefault="00615E2D">
    <w:pPr>
      <w:pStyle w:val="Header"/>
    </w:pPr>
  </w:p>
</w:hdr>
</file>

<file path=word/header2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B1466" w14:textId="77777777" w:rsidR="00615E2D" w:rsidRDefault="00615E2D">
    <w:pPr>
      <w:pStyle w:val="Header"/>
    </w:pPr>
  </w:p>
</w:hdr>
</file>

<file path=word/header2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E917" w14:textId="77777777" w:rsidR="00615E2D" w:rsidRDefault="00615E2D">
    <w:pPr>
      <w:pStyle w:val="Header"/>
    </w:pPr>
  </w:p>
</w:hdr>
</file>

<file path=word/header2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4DE4" w14:textId="77777777" w:rsidR="00615E2D" w:rsidRDefault="00615E2D">
    <w:pPr>
      <w:pStyle w:val="Header"/>
    </w:pPr>
  </w:p>
</w:hdr>
</file>

<file path=word/header2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DC37" w14:textId="77777777" w:rsidR="00615E2D" w:rsidRDefault="00615E2D">
    <w:pPr>
      <w:pStyle w:val="Header"/>
    </w:pPr>
  </w:p>
</w:hdr>
</file>

<file path=word/header2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E8D3F" w14:textId="77777777" w:rsidR="00615E2D" w:rsidRDefault="00615E2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9837E" w14:textId="77777777" w:rsidR="00615E2D" w:rsidRDefault="00615E2D">
    <w:pPr>
      <w:pStyle w:val="Header"/>
    </w:pPr>
  </w:p>
</w:hdr>
</file>

<file path=word/header2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5476" w14:textId="77777777" w:rsidR="00615E2D" w:rsidRDefault="00615E2D">
    <w:pPr>
      <w:pStyle w:val="Header"/>
    </w:pPr>
  </w:p>
</w:hdr>
</file>

<file path=word/header2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8552" w14:textId="77777777" w:rsidR="00615E2D" w:rsidRDefault="00615E2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AD921" w14:textId="77777777" w:rsidR="00615E2D" w:rsidRDefault="00615E2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8104" w14:textId="77777777" w:rsidR="00615E2D" w:rsidRDefault="00615E2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E9C9A" w14:textId="77777777" w:rsidR="00615E2D" w:rsidRDefault="00615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2521" w14:textId="77777777" w:rsidR="009978F5" w:rsidRPr="009978F5" w:rsidRDefault="009978F5" w:rsidP="009978F5">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FF69" w14:textId="77777777" w:rsidR="00615E2D" w:rsidRDefault="00615E2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5A3AF" w14:textId="77777777" w:rsidR="00615E2D" w:rsidRDefault="00615E2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3F0C" w14:textId="77777777" w:rsidR="00615E2D" w:rsidRDefault="00615E2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1201C" w14:textId="77777777" w:rsidR="00615E2D" w:rsidRDefault="00615E2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4AEC7" w14:textId="77777777" w:rsidR="00615E2D" w:rsidRDefault="00615E2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C5B9" w14:textId="77777777" w:rsidR="00615E2D" w:rsidRDefault="00615E2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62E3" w14:textId="77777777" w:rsidR="00615E2D" w:rsidRDefault="00615E2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74FA" w14:textId="77777777" w:rsidR="00615E2D" w:rsidRDefault="00615E2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B4B22" w14:textId="77777777" w:rsidR="00615E2D" w:rsidRDefault="00615E2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1F66" w14:textId="77777777" w:rsidR="00615E2D" w:rsidRDefault="00615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7B1D" w14:textId="77777777" w:rsidR="00615E2D" w:rsidRDefault="00615E2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56A3" w14:textId="77777777" w:rsidR="00615E2D" w:rsidRDefault="00615E2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CFEF" w14:textId="77777777" w:rsidR="00615E2D" w:rsidRDefault="00615E2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DF52" w14:textId="77777777" w:rsidR="00615E2D" w:rsidRDefault="00615E2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41425" w14:textId="77777777" w:rsidR="00615E2D" w:rsidRDefault="00615E2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096B" w14:textId="77777777" w:rsidR="00615E2D" w:rsidRDefault="00615E2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7DC5" w14:textId="77777777" w:rsidR="00615E2D" w:rsidRDefault="00615E2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96CA" w14:textId="77777777" w:rsidR="00615E2D" w:rsidRDefault="00615E2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0F49" w14:textId="77777777" w:rsidR="00615E2D" w:rsidRDefault="00615E2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8D9F" w14:textId="77777777" w:rsidR="00615E2D" w:rsidRDefault="00615E2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4B81C" w14:textId="77777777" w:rsidR="00615E2D" w:rsidRDefault="00615E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2051" w14:textId="77777777" w:rsidR="00615E2D" w:rsidRDefault="00615E2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B121" w14:textId="77777777" w:rsidR="00615E2D" w:rsidRDefault="00615E2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E453" w14:textId="77777777" w:rsidR="00615E2D" w:rsidRDefault="00615E2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EBB6" w14:textId="77777777" w:rsidR="00615E2D" w:rsidRDefault="00615E2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0E91D" w14:textId="77777777" w:rsidR="00615E2D" w:rsidRDefault="00615E2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22C5F" w14:textId="77777777" w:rsidR="00615E2D" w:rsidRDefault="00615E2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4976" w14:textId="77777777" w:rsidR="00615E2D" w:rsidRDefault="00615E2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BBAD" w14:textId="77777777" w:rsidR="00615E2D" w:rsidRDefault="00615E2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1707" w14:textId="77777777" w:rsidR="00615E2D" w:rsidRDefault="00615E2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22C5" w14:textId="77777777" w:rsidR="00615E2D" w:rsidRDefault="00615E2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5285B" w14:textId="77777777" w:rsidR="00615E2D" w:rsidRDefault="00615E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39264" w14:textId="77777777" w:rsidR="00615E2D" w:rsidRDefault="00615E2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27BDF" w14:textId="77777777" w:rsidR="00615E2D" w:rsidRDefault="00615E2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C9EB" w14:textId="77777777" w:rsidR="00615E2D" w:rsidRDefault="00615E2D">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F1A2" w14:textId="77777777" w:rsidR="00615E2D" w:rsidRDefault="00615E2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DFC3" w14:textId="77777777" w:rsidR="00615E2D" w:rsidRDefault="00615E2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3AB3" w14:textId="77777777" w:rsidR="00615E2D" w:rsidRDefault="00615E2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FFF59" w14:textId="77777777" w:rsidR="00615E2D" w:rsidRDefault="00615E2D">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50D4" w14:textId="77777777" w:rsidR="00615E2D" w:rsidRDefault="00615E2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C4AE9" w14:textId="77777777" w:rsidR="00615E2D" w:rsidRDefault="00615E2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E348" w14:textId="77777777" w:rsidR="00615E2D" w:rsidRDefault="00615E2D">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0940" w14:textId="77777777" w:rsidR="00615E2D" w:rsidRDefault="00615E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CC02" w14:textId="77777777" w:rsidR="00615E2D" w:rsidRDefault="00615E2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F15C" w14:textId="77777777" w:rsidR="00615E2D" w:rsidRDefault="00615E2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C904" w14:textId="77777777" w:rsidR="00615E2D" w:rsidRDefault="00615E2D">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9833" w14:textId="77777777" w:rsidR="00615E2D" w:rsidRDefault="00615E2D">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25B6A" w14:textId="77777777" w:rsidR="00615E2D" w:rsidRDefault="00615E2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2899C" w14:textId="77777777" w:rsidR="00615E2D" w:rsidRDefault="00615E2D">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51BB8" w14:textId="77777777" w:rsidR="00615E2D" w:rsidRDefault="00615E2D">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8370" w14:textId="77777777" w:rsidR="00615E2D" w:rsidRDefault="00615E2D">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D456" w14:textId="77777777" w:rsidR="00615E2D" w:rsidRDefault="00615E2D">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55674" w14:textId="77777777" w:rsidR="00615E2D" w:rsidRDefault="00615E2D">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9B8B" w14:textId="77777777" w:rsidR="00615E2D" w:rsidRDefault="00615E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F93F" w14:textId="77777777" w:rsidR="00615E2D" w:rsidRDefault="00615E2D">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3C26D" w14:textId="77777777" w:rsidR="00615E2D" w:rsidRDefault="00615E2D">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8FFB5" w14:textId="77777777" w:rsidR="00615E2D" w:rsidRDefault="00615E2D">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26F12" w14:textId="77777777" w:rsidR="00615E2D" w:rsidRDefault="00615E2D">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8356" w14:textId="77777777" w:rsidR="00615E2D" w:rsidRDefault="00615E2D">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0F45" w14:textId="77777777" w:rsidR="00615E2D" w:rsidRDefault="00615E2D">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C0D11" w14:textId="77777777" w:rsidR="00615E2D" w:rsidRDefault="00615E2D">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92A81" w14:textId="77777777" w:rsidR="00615E2D" w:rsidRDefault="00615E2D">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28FB6" w14:textId="77777777" w:rsidR="00615E2D" w:rsidRDefault="00615E2D">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8337" w14:textId="77777777" w:rsidR="00615E2D" w:rsidRDefault="00615E2D">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F4EE" w14:textId="77777777" w:rsidR="00615E2D" w:rsidRDefault="00615E2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0AE2D" w14:textId="77777777" w:rsidR="00615E2D" w:rsidRDefault="00615E2D">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C1B0" w14:textId="77777777" w:rsidR="00615E2D" w:rsidRDefault="00615E2D">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BF6D" w14:textId="77777777" w:rsidR="00615E2D" w:rsidRDefault="00615E2D">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E490" w14:textId="77777777" w:rsidR="00615E2D" w:rsidRDefault="00615E2D">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82A2" w14:textId="77777777" w:rsidR="00615E2D" w:rsidRDefault="00615E2D">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953E0" w14:textId="77777777" w:rsidR="00615E2D" w:rsidRDefault="00615E2D">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9952" w14:textId="77777777" w:rsidR="00615E2D" w:rsidRDefault="00615E2D">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E483" w14:textId="77777777" w:rsidR="00615E2D" w:rsidRDefault="00615E2D">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311EF" w14:textId="77777777" w:rsidR="00615E2D" w:rsidRDefault="00615E2D">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6CCEA" w14:textId="77777777" w:rsidR="00615E2D" w:rsidRDefault="00615E2D">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775C" w14:textId="77777777" w:rsidR="00615E2D" w:rsidRDefault="00615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F924CE"/>
    <w:multiLevelType w:val="hybridMultilevel"/>
    <w:tmpl w:val="FFFFFFFF"/>
    <w:lvl w:ilvl="0" w:tplc="EE90CC04">
      <w:start w:val="3"/>
      <w:numFmt w:val="lowerRoman"/>
      <w:lvlText w:val="%1."/>
      <w:lvlJc w:val="right"/>
      <w:pPr>
        <w:ind w:left="1080" w:hanging="360"/>
      </w:pPr>
    </w:lvl>
    <w:lvl w:ilvl="1" w:tplc="66D6AE6E">
      <w:start w:val="1"/>
      <w:numFmt w:val="lowerLetter"/>
      <w:lvlText w:val="%2."/>
      <w:lvlJc w:val="left"/>
      <w:pPr>
        <w:ind w:left="1440" w:hanging="360"/>
      </w:pPr>
    </w:lvl>
    <w:lvl w:ilvl="2" w:tplc="5488540A">
      <w:start w:val="1"/>
      <w:numFmt w:val="lowerRoman"/>
      <w:lvlText w:val="%3."/>
      <w:lvlJc w:val="right"/>
      <w:pPr>
        <w:ind w:left="2160" w:hanging="180"/>
      </w:pPr>
    </w:lvl>
    <w:lvl w:ilvl="3" w:tplc="56488E4E">
      <w:start w:val="1"/>
      <w:numFmt w:val="decimal"/>
      <w:lvlText w:val="%4."/>
      <w:lvlJc w:val="left"/>
      <w:pPr>
        <w:ind w:left="2880" w:hanging="360"/>
      </w:pPr>
    </w:lvl>
    <w:lvl w:ilvl="4" w:tplc="F170034C">
      <w:start w:val="1"/>
      <w:numFmt w:val="lowerLetter"/>
      <w:lvlText w:val="%5."/>
      <w:lvlJc w:val="left"/>
      <w:pPr>
        <w:ind w:left="3600" w:hanging="360"/>
      </w:pPr>
    </w:lvl>
    <w:lvl w:ilvl="5" w:tplc="E3FE4638">
      <w:start w:val="1"/>
      <w:numFmt w:val="lowerRoman"/>
      <w:lvlText w:val="%6."/>
      <w:lvlJc w:val="right"/>
      <w:pPr>
        <w:ind w:left="4320" w:hanging="180"/>
      </w:pPr>
    </w:lvl>
    <w:lvl w:ilvl="6" w:tplc="5CEC40F0">
      <w:start w:val="1"/>
      <w:numFmt w:val="decimal"/>
      <w:lvlText w:val="%7."/>
      <w:lvlJc w:val="left"/>
      <w:pPr>
        <w:ind w:left="5040" w:hanging="360"/>
      </w:pPr>
    </w:lvl>
    <w:lvl w:ilvl="7" w:tplc="90A6C442">
      <w:start w:val="1"/>
      <w:numFmt w:val="lowerLetter"/>
      <w:lvlText w:val="%8."/>
      <w:lvlJc w:val="left"/>
      <w:pPr>
        <w:ind w:left="5760" w:hanging="360"/>
      </w:pPr>
    </w:lvl>
    <w:lvl w:ilvl="8" w:tplc="92DEFC50">
      <w:start w:val="1"/>
      <w:numFmt w:val="lowerRoman"/>
      <w:lvlText w:val="%9."/>
      <w:lvlJc w:val="right"/>
      <w:pPr>
        <w:ind w:left="6480" w:hanging="180"/>
      </w:pPr>
    </w:lvl>
  </w:abstractNum>
  <w:abstractNum w:abstractNumId="9" w15:restartNumberingAfterBreak="0">
    <w:nsid w:val="011FC85E"/>
    <w:multiLevelType w:val="hybridMultilevel"/>
    <w:tmpl w:val="FFFFFFFF"/>
    <w:lvl w:ilvl="0" w:tplc="0BD64D90">
      <w:start w:val="1"/>
      <w:numFmt w:val="bullet"/>
      <w:lvlText w:val="-"/>
      <w:lvlJc w:val="left"/>
      <w:pPr>
        <w:ind w:left="1080" w:hanging="360"/>
      </w:pPr>
      <w:rPr>
        <w:rFonts w:ascii="MS Gothic" w:hAnsi="MS Gothic" w:hint="default"/>
      </w:rPr>
    </w:lvl>
    <w:lvl w:ilvl="1" w:tplc="E35E2FA6">
      <w:start w:val="1"/>
      <w:numFmt w:val="bullet"/>
      <w:lvlText w:val="o"/>
      <w:lvlJc w:val="left"/>
      <w:pPr>
        <w:ind w:left="1440" w:hanging="360"/>
      </w:pPr>
      <w:rPr>
        <w:rFonts w:ascii="Courier New" w:hAnsi="Courier New" w:hint="default"/>
      </w:rPr>
    </w:lvl>
    <w:lvl w:ilvl="2" w:tplc="6AE2C2BA">
      <w:start w:val="1"/>
      <w:numFmt w:val="bullet"/>
      <w:lvlText w:val=""/>
      <w:lvlJc w:val="left"/>
      <w:pPr>
        <w:ind w:left="2160" w:hanging="360"/>
      </w:pPr>
      <w:rPr>
        <w:rFonts w:ascii="Wingdings" w:hAnsi="Wingdings" w:hint="default"/>
      </w:rPr>
    </w:lvl>
    <w:lvl w:ilvl="3" w:tplc="06289296">
      <w:start w:val="1"/>
      <w:numFmt w:val="bullet"/>
      <w:lvlText w:val=""/>
      <w:lvlJc w:val="left"/>
      <w:pPr>
        <w:ind w:left="2880" w:hanging="360"/>
      </w:pPr>
      <w:rPr>
        <w:rFonts w:ascii="Symbol" w:hAnsi="Symbol" w:hint="default"/>
      </w:rPr>
    </w:lvl>
    <w:lvl w:ilvl="4" w:tplc="2152CAF6">
      <w:start w:val="1"/>
      <w:numFmt w:val="bullet"/>
      <w:lvlText w:val="o"/>
      <w:lvlJc w:val="left"/>
      <w:pPr>
        <w:ind w:left="3600" w:hanging="360"/>
      </w:pPr>
      <w:rPr>
        <w:rFonts w:ascii="Courier New" w:hAnsi="Courier New" w:hint="default"/>
      </w:rPr>
    </w:lvl>
    <w:lvl w:ilvl="5" w:tplc="B572839C">
      <w:start w:val="1"/>
      <w:numFmt w:val="bullet"/>
      <w:lvlText w:val=""/>
      <w:lvlJc w:val="left"/>
      <w:pPr>
        <w:ind w:left="4320" w:hanging="360"/>
      </w:pPr>
      <w:rPr>
        <w:rFonts w:ascii="Wingdings" w:hAnsi="Wingdings" w:hint="default"/>
      </w:rPr>
    </w:lvl>
    <w:lvl w:ilvl="6" w:tplc="5E58AE68">
      <w:start w:val="1"/>
      <w:numFmt w:val="bullet"/>
      <w:lvlText w:val=""/>
      <w:lvlJc w:val="left"/>
      <w:pPr>
        <w:ind w:left="5040" w:hanging="360"/>
      </w:pPr>
      <w:rPr>
        <w:rFonts w:ascii="Symbol" w:hAnsi="Symbol" w:hint="default"/>
      </w:rPr>
    </w:lvl>
    <w:lvl w:ilvl="7" w:tplc="4AF4F320">
      <w:start w:val="1"/>
      <w:numFmt w:val="bullet"/>
      <w:lvlText w:val="o"/>
      <w:lvlJc w:val="left"/>
      <w:pPr>
        <w:ind w:left="5760" w:hanging="360"/>
      </w:pPr>
      <w:rPr>
        <w:rFonts w:ascii="Courier New" w:hAnsi="Courier New" w:hint="default"/>
      </w:rPr>
    </w:lvl>
    <w:lvl w:ilvl="8" w:tplc="9B9AE95E">
      <w:start w:val="1"/>
      <w:numFmt w:val="bullet"/>
      <w:lvlText w:val=""/>
      <w:lvlJc w:val="left"/>
      <w:pPr>
        <w:ind w:left="6480" w:hanging="360"/>
      </w:pPr>
      <w:rPr>
        <w:rFonts w:ascii="Wingdings" w:hAnsi="Wingdings" w:hint="default"/>
      </w:rPr>
    </w:lvl>
  </w:abstractNum>
  <w:abstractNum w:abstractNumId="10" w15:restartNumberingAfterBreak="0">
    <w:nsid w:val="0145F627"/>
    <w:multiLevelType w:val="hybridMultilevel"/>
    <w:tmpl w:val="FFFFFFFF"/>
    <w:lvl w:ilvl="0" w:tplc="2ECCB0EC">
      <w:start w:val="1"/>
      <w:numFmt w:val="bullet"/>
      <w:lvlText w:val=""/>
      <w:lvlJc w:val="left"/>
      <w:pPr>
        <w:ind w:left="720" w:hanging="360"/>
      </w:pPr>
      <w:rPr>
        <w:rFonts w:ascii="Symbol" w:hAnsi="Symbol" w:hint="default"/>
      </w:rPr>
    </w:lvl>
    <w:lvl w:ilvl="1" w:tplc="BBE6EC84">
      <w:start w:val="1"/>
      <w:numFmt w:val="bullet"/>
      <w:lvlText w:val="o"/>
      <w:lvlJc w:val="left"/>
      <w:pPr>
        <w:ind w:left="1440" w:hanging="360"/>
      </w:pPr>
      <w:rPr>
        <w:rFonts w:ascii="Courier New" w:hAnsi="Courier New" w:hint="default"/>
      </w:rPr>
    </w:lvl>
    <w:lvl w:ilvl="2" w:tplc="1F9E7946">
      <w:start w:val="1"/>
      <w:numFmt w:val="bullet"/>
      <w:lvlText w:val=""/>
      <w:lvlJc w:val="left"/>
      <w:pPr>
        <w:ind w:left="2160" w:hanging="360"/>
      </w:pPr>
      <w:rPr>
        <w:rFonts w:ascii="Wingdings" w:hAnsi="Wingdings" w:hint="default"/>
      </w:rPr>
    </w:lvl>
    <w:lvl w:ilvl="3" w:tplc="E6D07916">
      <w:start w:val="1"/>
      <w:numFmt w:val="bullet"/>
      <w:lvlText w:val=""/>
      <w:lvlJc w:val="left"/>
      <w:pPr>
        <w:ind w:left="2880" w:hanging="360"/>
      </w:pPr>
      <w:rPr>
        <w:rFonts w:ascii="Symbol" w:hAnsi="Symbol" w:hint="default"/>
      </w:rPr>
    </w:lvl>
    <w:lvl w:ilvl="4" w:tplc="C4B6F226">
      <w:start w:val="1"/>
      <w:numFmt w:val="bullet"/>
      <w:lvlText w:val="o"/>
      <w:lvlJc w:val="left"/>
      <w:pPr>
        <w:ind w:left="3600" w:hanging="360"/>
      </w:pPr>
      <w:rPr>
        <w:rFonts w:ascii="Courier New" w:hAnsi="Courier New" w:hint="default"/>
      </w:rPr>
    </w:lvl>
    <w:lvl w:ilvl="5" w:tplc="278A2CEC">
      <w:start w:val="1"/>
      <w:numFmt w:val="bullet"/>
      <w:lvlText w:val=""/>
      <w:lvlJc w:val="left"/>
      <w:pPr>
        <w:ind w:left="4320" w:hanging="360"/>
      </w:pPr>
      <w:rPr>
        <w:rFonts w:ascii="Wingdings" w:hAnsi="Wingdings" w:hint="default"/>
      </w:rPr>
    </w:lvl>
    <w:lvl w:ilvl="6" w:tplc="CE041366">
      <w:start w:val="1"/>
      <w:numFmt w:val="bullet"/>
      <w:lvlText w:val=""/>
      <w:lvlJc w:val="left"/>
      <w:pPr>
        <w:ind w:left="5040" w:hanging="360"/>
      </w:pPr>
      <w:rPr>
        <w:rFonts w:ascii="Symbol" w:hAnsi="Symbol" w:hint="default"/>
      </w:rPr>
    </w:lvl>
    <w:lvl w:ilvl="7" w:tplc="91E451D0">
      <w:start w:val="1"/>
      <w:numFmt w:val="bullet"/>
      <w:lvlText w:val="o"/>
      <w:lvlJc w:val="left"/>
      <w:pPr>
        <w:ind w:left="5760" w:hanging="360"/>
      </w:pPr>
      <w:rPr>
        <w:rFonts w:ascii="Courier New" w:hAnsi="Courier New" w:hint="default"/>
      </w:rPr>
    </w:lvl>
    <w:lvl w:ilvl="8" w:tplc="E8AA5FC6">
      <w:start w:val="1"/>
      <w:numFmt w:val="bullet"/>
      <w:lvlText w:val=""/>
      <w:lvlJc w:val="left"/>
      <w:pPr>
        <w:ind w:left="6480" w:hanging="360"/>
      </w:pPr>
      <w:rPr>
        <w:rFonts w:ascii="Wingdings" w:hAnsi="Wingdings" w:hint="default"/>
      </w:rPr>
    </w:lvl>
  </w:abstractNum>
  <w:abstractNum w:abstractNumId="11" w15:restartNumberingAfterBreak="0">
    <w:nsid w:val="017B63D1"/>
    <w:multiLevelType w:val="hybridMultilevel"/>
    <w:tmpl w:val="FFFFFFFF"/>
    <w:lvl w:ilvl="0" w:tplc="7B7A8F3C">
      <w:start w:val="1"/>
      <w:numFmt w:val="lowerRoman"/>
      <w:lvlText w:val="%1."/>
      <w:lvlJc w:val="right"/>
      <w:pPr>
        <w:ind w:left="1070" w:hanging="360"/>
      </w:pPr>
    </w:lvl>
    <w:lvl w:ilvl="1" w:tplc="5E58DB04">
      <w:start w:val="1"/>
      <w:numFmt w:val="lowerLetter"/>
      <w:lvlText w:val="%2."/>
      <w:lvlJc w:val="left"/>
      <w:pPr>
        <w:ind w:left="1440" w:hanging="360"/>
      </w:pPr>
    </w:lvl>
    <w:lvl w:ilvl="2" w:tplc="E0D277DA">
      <w:start w:val="1"/>
      <w:numFmt w:val="lowerRoman"/>
      <w:lvlText w:val="%3."/>
      <w:lvlJc w:val="right"/>
      <w:pPr>
        <w:ind w:left="2160" w:hanging="180"/>
      </w:pPr>
    </w:lvl>
    <w:lvl w:ilvl="3" w:tplc="689CB9BA">
      <w:start w:val="1"/>
      <w:numFmt w:val="decimal"/>
      <w:lvlText w:val="%4."/>
      <w:lvlJc w:val="left"/>
      <w:pPr>
        <w:ind w:left="2880" w:hanging="360"/>
      </w:pPr>
    </w:lvl>
    <w:lvl w:ilvl="4" w:tplc="9ACC2572">
      <w:start w:val="1"/>
      <w:numFmt w:val="lowerLetter"/>
      <w:lvlText w:val="%5."/>
      <w:lvlJc w:val="left"/>
      <w:pPr>
        <w:ind w:left="3600" w:hanging="360"/>
      </w:pPr>
    </w:lvl>
    <w:lvl w:ilvl="5" w:tplc="142A126A">
      <w:start w:val="1"/>
      <w:numFmt w:val="lowerRoman"/>
      <w:lvlText w:val="%6."/>
      <w:lvlJc w:val="right"/>
      <w:pPr>
        <w:ind w:left="4320" w:hanging="180"/>
      </w:pPr>
    </w:lvl>
    <w:lvl w:ilvl="6" w:tplc="C434A750">
      <w:start w:val="1"/>
      <w:numFmt w:val="decimal"/>
      <w:lvlText w:val="%7."/>
      <w:lvlJc w:val="left"/>
      <w:pPr>
        <w:ind w:left="5040" w:hanging="360"/>
      </w:pPr>
    </w:lvl>
    <w:lvl w:ilvl="7" w:tplc="521A037E">
      <w:start w:val="1"/>
      <w:numFmt w:val="lowerLetter"/>
      <w:lvlText w:val="%8."/>
      <w:lvlJc w:val="left"/>
      <w:pPr>
        <w:ind w:left="5760" w:hanging="360"/>
      </w:pPr>
    </w:lvl>
    <w:lvl w:ilvl="8" w:tplc="3BD02D3C">
      <w:start w:val="1"/>
      <w:numFmt w:val="lowerRoman"/>
      <w:lvlText w:val="%9."/>
      <w:lvlJc w:val="right"/>
      <w:pPr>
        <w:ind w:left="6480" w:hanging="180"/>
      </w:pPr>
    </w:lvl>
  </w:abstractNum>
  <w:abstractNum w:abstractNumId="12" w15:restartNumberingAfterBreak="0">
    <w:nsid w:val="01D0AC7F"/>
    <w:multiLevelType w:val="hybridMultilevel"/>
    <w:tmpl w:val="FFFFFFFF"/>
    <w:lvl w:ilvl="0" w:tplc="8996D45A">
      <w:start w:val="1"/>
      <w:numFmt w:val="bullet"/>
      <w:lvlText w:val="o"/>
      <w:lvlJc w:val="left"/>
      <w:pPr>
        <w:ind w:left="1080" w:hanging="360"/>
      </w:pPr>
      <w:rPr>
        <w:rFonts w:ascii="Courier New" w:hAnsi="Courier New" w:hint="default"/>
      </w:rPr>
    </w:lvl>
    <w:lvl w:ilvl="1" w:tplc="F87EC29C">
      <w:start w:val="1"/>
      <w:numFmt w:val="bullet"/>
      <w:lvlText w:val="o"/>
      <w:lvlJc w:val="left"/>
      <w:pPr>
        <w:ind w:left="1440" w:hanging="360"/>
      </w:pPr>
      <w:rPr>
        <w:rFonts w:ascii="Courier New" w:hAnsi="Courier New" w:hint="default"/>
      </w:rPr>
    </w:lvl>
    <w:lvl w:ilvl="2" w:tplc="5726AA20">
      <w:start w:val="1"/>
      <w:numFmt w:val="bullet"/>
      <w:lvlText w:val=""/>
      <w:lvlJc w:val="left"/>
      <w:pPr>
        <w:ind w:left="2160" w:hanging="360"/>
      </w:pPr>
      <w:rPr>
        <w:rFonts w:ascii="Wingdings" w:hAnsi="Wingdings" w:hint="default"/>
      </w:rPr>
    </w:lvl>
    <w:lvl w:ilvl="3" w:tplc="0DBE6DFA">
      <w:start w:val="1"/>
      <w:numFmt w:val="bullet"/>
      <w:lvlText w:val=""/>
      <w:lvlJc w:val="left"/>
      <w:pPr>
        <w:ind w:left="2880" w:hanging="360"/>
      </w:pPr>
      <w:rPr>
        <w:rFonts w:ascii="Symbol" w:hAnsi="Symbol" w:hint="default"/>
      </w:rPr>
    </w:lvl>
    <w:lvl w:ilvl="4" w:tplc="9E42DE72">
      <w:start w:val="1"/>
      <w:numFmt w:val="bullet"/>
      <w:lvlText w:val="o"/>
      <w:lvlJc w:val="left"/>
      <w:pPr>
        <w:ind w:left="3600" w:hanging="360"/>
      </w:pPr>
      <w:rPr>
        <w:rFonts w:ascii="Courier New" w:hAnsi="Courier New" w:hint="default"/>
      </w:rPr>
    </w:lvl>
    <w:lvl w:ilvl="5" w:tplc="4A946762">
      <w:start w:val="1"/>
      <w:numFmt w:val="bullet"/>
      <w:lvlText w:val=""/>
      <w:lvlJc w:val="left"/>
      <w:pPr>
        <w:ind w:left="4320" w:hanging="360"/>
      </w:pPr>
      <w:rPr>
        <w:rFonts w:ascii="Wingdings" w:hAnsi="Wingdings" w:hint="default"/>
      </w:rPr>
    </w:lvl>
    <w:lvl w:ilvl="6" w:tplc="8B32A86A">
      <w:start w:val="1"/>
      <w:numFmt w:val="bullet"/>
      <w:lvlText w:val=""/>
      <w:lvlJc w:val="left"/>
      <w:pPr>
        <w:ind w:left="5040" w:hanging="360"/>
      </w:pPr>
      <w:rPr>
        <w:rFonts w:ascii="Symbol" w:hAnsi="Symbol" w:hint="default"/>
      </w:rPr>
    </w:lvl>
    <w:lvl w:ilvl="7" w:tplc="5FF21ACE">
      <w:start w:val="1"/>
      <w:numFmt w:val="bullet"/>
      <w:lvlText w:val="o"/>
      <w:lvlJc w:val="left"/>
      <w:pPr>
        <w:ind w:left="5760" w:hanging="360"/>
      </w:pPr>
      <w:rPr>
        <w:rFonts w:ascii="Courier New" w:hAnsi="Courier New" w:hint="default"/>
      </w:rPr>
    </w:lvl>
    <w:lvl w:ilvl="8" w:tplc="A770EFB6">
      <w:start w:val="1"/>
      <w:numFmt w:val="bullet"/>
      <w:lvlText w:val=""/>
      <w:lvlJc w:val="left"/>
      <w:pPr>
        <w:ind w:left="6480" w:hanging="360"/>
      </w:pPr>
      <w:rPr>
        <w:rFonts w:ascii="Wingdings" w:hAnsi="Wingdings" w:hint="default"/>
      </w:rPr>
    </w:lvl>
  </w:abstractNum>
  <w:abstractNum w:abstractNumId="13" w15:restartNumberingAfterBreak="0">
    <w:nsid w:val="01E49E4A"/>
    <w:multiLevelType w:val="hybridMultilevel"/>
    <w:tmpl w:val="FFFFFFFF"/>
    <w:lvl w:ilvl="0" w:tplc="626C27A4">
      <w:start w:val="1"/>
      <w:numFmt w:val="decimal"/>
      <w:lvlText w:val="%1."/>
      <w:lvlJc w:val="left"/>
      <w:pPr>
        <w:ind w:left="720" w:hanging="360"/>
      </w:pPr>
    </w:lvl>
    <w:lvl w:ilvl="1" w:tplc="09763C08">
      <w:start w:val="1"/>
      <w:numFmt w:val="lowerLetter"/>
      <w:lvlText w:val="%2."/>
      <w:lvlJc w:val="left"/>
      <w:pPr>
        <w:ind w:left="1440" w:hanging="360"/>
      </w:pPr>
    </w:lvl>
    <w:lvl w:ilvl="2" w:tplc="8FD45346">
      <w:start w:val="1"/>
      <w:numFmt w:val="lowerRoman"/>
      <w:lvlText w:val="%3."/>
      <w:lvlJc w:val="right"/>
      <w:pPr>
        <w:ind w:left="2160" w:hanging="180"/>
      </w:pPr>
    </w:lvl>
    <w:lvl w:ilvl="3" w:tplc="022CB106">
      <w:start w:val="1"/>
      <w:numFmt w:val="decimal"/>
      <w:lvlText w:val="%4."/>
      <w:lvlJc w:val="left"/>
      <w:pPr>
        <w:ind w:left="2880" w:hanging="360"/>
      </w:pPr>
    </w:lvl>
    <w:lvl w:ilvl="4" w:tplc="E54C32DC">
      <w:start w:val="1"/>
      <w:numFmt w:val="lowerLetter"/>
      <w:lvlText w:val="%5."/>
      <w:lvlJc w:val="left"/>
      <w:pPr>
        <w:ind w:left="3600" w:hanging="360"/>
      </w:pPr>
    </w:lvl>
    <w:lvl w:ilvl="5" w:tplc="6A70E6D0">
      <w:start w:val="1"/>
      <w:numFmt w:val="lowerRoman"/>
      <w:lvlText w:val="%6."/>
      <w:lvlJc w:val="right"/>
      <w:pPr>
        <w:ind w:left="4320" w:hanging="180"/>
      </w:pPr>
    </w:lvl>
    <w:lvl w:ilvl="6" w:tplc="6DFE358A">
      <w:start w:val="1"/>
      <w:numFmt w:val="decimal"/>
      <w:lvlText w:val="%7."/>
      <w:lvlJc w:val="left"/>
      <w:pPr>
        <w:ind w:left="5040" w:hanging="360"/>
      </w:pPr>
    </w:lvl>
    <w:lvl w:ilvl="7" w:tplc="51C66A8A">
      <w:start w:val="1"/>
      <w:numFmt w:val="lowerLetter"/>
      <w:lvlText w:val="%8."/>
      <w:lvlJc w:val="left"/>
      <w:pPr>
        <w:ind w:left="5760" w:hanging="360"/>
      </w:pPr>
    </w:lvl>
    <w:lvl w:ilvl="8" w:tplc="8A44DB18">
      <w:start w:val="1"/>
      <w:numFmt w:val="lowerRoman"/>
      <w:lvlText w:val="%9."/>
      <w:lvlJc w:val="right"/>
      <w:pPr>
        <w:ind w:left="6480" w:hanging="180"/>
      </w:pPr>
    </w:lvl>
  </w:abstractNum>
  <w:abstractNum w:abstractNumId="14" w15:restartNumberingAfterBreak="0">
    <w:nsid w:val="01E55275"/>
    <w:multiLevelType w:val="hybridMultilevel"/>
    <w:tmpl w:val="EEA27F24"/>
    <w:lvl w:ilvl="0" w:tplc="FFFFFFFF">
      <w:start w:val="1"/>
      <w:numFmt w:val="bullet"/>
      <w:lvlText w:val="-"/>
      <w:lvlJc w:val="left"/>
      <w:pPr>
        <w:ind w:left="966" w:hanging="850"/>
      </w:pPr>
      <w:rPr>
        <w:rFonts w:hint="default"/>
        <w:w w:val="100"/>
        <w:sz w:val="24"/>
        <w:szCs w:val="24"/>
        <w:lang w:val="cs-CZ" w:eastAsia="en-US" w:bidi="ar-SA"/>
      </w:rPr>
    </w:lvl>
    <w:lvl w:ilvl="1" w:tplc="ECCAA4F4">
      <w:numFmt w:val="bullet"/>
      <w:lvlText w:val="•"/>
      <w:lvlJc w:val="left"/>
      <w:pPr>
        <w:ind w:left="1794" w:hanging="850"/>
      </w:pPr>
      <w:rPr>
        <w:rFonts w:hint="default"/>
        <w:lang w:val="cs-CZ" w:eastAsia="en-US" w:bidi="ar-SA"/>
      </w:rPr>
    </w:lvl>
    <w:lvl w:ilvl="2" w:tplc="A95E16C4">
      <w:numFmt w:val="bullet"/>
      <w:lvlText w:val="•"/>
      <w:lvlJc w:val="left"/>
      <w:pPr>
        <w:ind w:left="2629" w:hanging="850"/>
      </w:pPr>
      <w:rPr>
        <w:rFonts w:hint="default"/>
        <w:lang w:val="cs-CZ" w:eastAsia="en-US" w:bidi="ar-SA"/>
      </w:rPr>
    </w:lvl>
    <w:lvl w:ilvl="3" w:tplc="D94A74DC">
      <w:numFmt w:val="bullet"/>
      <w:lvlText w:val="•"/>
      <w:lvlJc w:val="left"/>
      <w:pPr>
        <w:ind w:left="3463" w:hanging="850"/>
      </w:pPr>
      <w:rPr>
        <w:rFonts w:hint="default"/>
        <w:lang w:val="cs-CZ" w:eastAsia="en-US" w:bidi="ar-SA"/>
      </w:rPr>
    </w:lvl>
    <w:lvl w:ilvl="4" w:tplc="A13AA534">
      <w:numFmt w:val="bullet"/>
      <w:lvlText w:val="•"/>
      <w:lvlJc w:val="left"/>
      <w:pPr>
        <w:ind w:left="4298" w:hanging="850"/>
      </w:pPr>
      <w:rPr>
        <w:rFonts w:hint="default"/>
        <w:lang w:val="cs-CZ" w:eastAsia="en-US" w:bidi="ar-SA"/>
      </w:rPr>
    </w:lvl>
    <w:lvl w:ilvl="5" w:tplc="65C8287E">
      <w:numFmt w:val="bullet"/>
      <w:lvlText w:val="•"/>
      <w:lvlJc w:val="left"/>
      <w:pPr>
        <w:ind w:left="5133" w:hanging="850"/>
      </w:pPr>
      <w:rPr>
        <w:rFonts w:hint="default"/>
        <w:lang w:val="cs-CZ" w:eastAsia="en-US" w:bidi="ar-SA"/>
      </w:rPr>
    </w:lvl>
    <w:lvl w:ilvl="6" w:tplc="B30EA5F6">
      <w:numFmt w:val="bullet"/>
      <w:lvlText w:val="•"/>
      <w:lvlJc w:val="left"/>
      <w:pPr>
        <w:ind w:left="5967" w:hanging="850"/>
      </w:pPr>
      <w:rPr>
        <w:rFonts w:hint="default"/>
        <w:lang w:val="cs-CZ" w:eastAsia="en-US" w:bidi="ar-SA"/>
      </w:rPr>
    </w:lvl>
    <w:lvl w:ilvl="7" w:tplc="7786AD04">
      <w:numFmt w:val="bullet"/>
      <w:lvlText w:val="•"/>
      <w:lvlJc w:val="left"/>
      <w:pPr>
        <w:ind w:left="6802" w:hanging="850"/>
      </w:pPr>
      <w:rPr>
        <w:rFonts w:hint="default"/>
        <w:lang w:val="cs-CZ" w:eastAsia="en-US" w:bidi="ar-SA"/>
      </w:rPr>
    </w:lvl>
    <w:lvl w:ilvl="8" w:tplc="E1DEBE00">
      <w:numFmt w:val="bullet"/>
      <w:lvlText w:val="•"/>
      <w:lvlJc w:val="left"/>
      <w:pPr>
        <w:ind w:left="7637" w:hanging="850"/>
      </w:pPr>
      <w:rPr>
        <w:rFonts w:hint="default"/>
        <w:lang w:val="cs-CZ" w:eastAsia="en-US" w:bidi="ar-SA"/>
      </w:rPr>
    </w:lvl>
  </w:abstractNum>
  <w:abstractNum w:abstractNumId="15" w15:restartNumberingAfterBreak="0">
    <w:nsid w:val="03B2D200"/>
    <w:multiLevelType w:val="hybridMultilevel"/>
    <w:tmpl w:val="915E4A62"/>
    <w:lvl w:ilvl="0" w:tplc="09BA676C">
      <w:start w:val="1"/>
      <w:numFmt w:val="decimal"/>
      <w:lvlText w:val="%1."/>
      <w:lvlJc w:val="left"/>
      <w:pPr>
        <w:ind w:left="720" w:hanging="360"/>
      </w:pPr>
    </w:lvl>
    <w:lvl w:ilvl="1" w:tplc="2202EC42">
      <w:start w:val="1"/>
      <w:numFmt w:val="lowerLetter"/>
      <w:lvlText w:val="%2."/>
      <w:lvlJc w:val="left"/>
      <w:pPr>
        <w:ind w:left="1440" w:hanging="360"/>
      </w:pPr>
    </w:lvl>
    <w:lvl w:ilvl="2" w:tplc="4FB8CB64">
      <w:start w:val="1"/>
      <w:numFmt w:val="lowerRoman"/>
      <w:lvlText w:val="%3."/>
      <w:lvlJc w:val="right"/>
      <w:pPr>
        <w:ind w:left="2160" w:hanging="180"/>
      </w:pPr>
    </w:lvl>
    <w:lvl w:ilvl="3" w:tplc="742ACDAC">
      <w:start w:val="1"/>
      <w:numFmt w:val="decimal"/>
      <w:lvlText w:val="%4."/>
      <w:lvlJc w:val="left"/>
      <w:pPr>
        <w:ind w:left="2880" w:hanging="360"/>
      </w:pPr>
    </w:lvl>
    <w:lvl w:ilvl="4" w:tplc="C43EFE14">
      <w:start w:val="1"/>
      <w:numFmt w:val="lowerLetter"/>
      <w:lvlText w:val="%5."/>
      <w:lvlJc w:val="left"/>
      <w:pPr>
        <w:ind w:left="3600" w:hanging="360"/>
      </w:pPr>
    </w:lvl>
    <w:lvl w:ilvl="5" w:tplc="EF8EAC10">
      <w:start w:val="1"/>
      <w:numFmt w:val="lowerRoman"/>
      <w:lvlText w:val="%6."/>
      <w:lvlJc w:val="right"/>
      <w:pPr>
        <w:ind w:left="4320" w:hanging="180"/>
      </w:pPr>
    </w:lvl>
    <w:lvl w:ilvl="6" w:tplc="727A2874">
      <w:start w:val="1"/>
      <w:numFmt w:val="decimal"/>
      <w:lvlText w:val="%7."/>
      <w:lvlJc w:val="left"/>
      <w:pPr>
        <w:ind w:left="5040" w:hanging="360"/>
      </w:pPr>
    </w:lvl>
    <w:lvl w:ilvl="7" w:tplc="4196ABF6">
      <w:start w:val="1"/>
      <w:numFmt w:val="lowerLetter"/>
      <w:lvlText w:val="%8."/>
      <w:lvlJc w:val="left"/>
      <w:pPr>
        <w:ind w:left="5760" w:hanging="360"/>
      </w:pPr>
    </w:lvl>
    <w:lvl w:ilvl="8" w:tplc="678E0EC2">
      <w:start w:val="1"/>
      <w:numFmt w:val="lowerRoman"/>
      <w:lvlText w:val="%9."/>
      <w:lvlJc w:val="right"/>
      <w:pPr>
        <w:ind w:left="6480" w:hanging="180"/>
      </w:pPr>
    </w:lvl>
  </w:abstractNum>
  <w:abstractNum w:abstractNumId="16" w15:restartNumberingAfterBreak="0">
    <w:nsid w:val="03DC4943"/>
    <w:multiLevelType w:val="hybridMultilevel"/>
    <w:tmpl w:val="CC267388"/>
    <w:lvl w:ilvl="0" w:tplc="49B66352">
      <w:start w:val="1"/>
      <w:numFmt w:val="lowerLetter"/>
      <w:lvlText w:val="%1."/>
      <w:lvlJc w:val="left"/>
      <w:pPr>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040938E6"/>
    <w:multiLevelType w:val="hybridMultilevel"/>
    <w:tmpl w:val="FFFFFFFF"/>
    <w:lvl w:ilvl="0" w:tplc="09B4827A">
      <w:start w:val="1"/>
      <w:numFmt w:val="bullet"/>
      <w:lvlText w:val=""/>
      <w:lvlJc w:val="left"/>
      <w:pPr>
        <w:ind w:left="720" w:hanging="360"/>
      </w:pPr>
      <w:rPr>
        <w:rFonts w:ascii="Symbol" w:hAnsi="Symbol" w:hint="default"/>
      </w:rPr>
    </w:lvl>
    <w:lvl w:ilvl="1" w:tplc="F762FA0E">
      <w:start w:val="1"/>
      <w:numFmt w:val="bullet"/>
      <w:lvlText w:val="o"/>
      <w:lvlJc w:val="left"/>
      <w:pPr>
        <w:ind w:left="1440" w:hanging="360"/>
      </w:pPr>
      <w:rPr>
        <w:rFonts w:ascii="Courier New" w:hAnsi="Courier New" w:hint="default"/>
      </w:rPr>
    </w:lvl>
    <w:lvl w:ilvl="2" w:tplc="B55C25E6">
      <w:start w:val="1"/>
      <w:numFmt w:val="bullet"/>
      <w:lvlText w:val=""/>
      <w:lvlJc w:val="left"/>
      <w:pPr>
        <w:ind w:left="2160" w:hanging="360"/>
      </w:pPr>
      <w:rPr>
        <w:rFonts w:ascii="Wingdings" w:hAnsi="Wingdings" w:hint="default"/>
      </w:rPr>
    </w:lvl>
    <w:lvl w:ilvl="3" w:tplc="6048231A">
      <w:start w:val="1"/>
      <w:numFmt w:val="bullet"/>
      <w:lvlText w:val=""/>
      <w:lvlJc w:val="left"/>
      <w:pPr>
        <w:ind w:left="2880" w:hanging="360"/>
      </w:pPr>
      <w:rPr>
        <w:rFonts w:ascii="Symbol" w:hAnsi="Symbol" w:hint="default"/>
      </w:rPr>
    </w:lvl>
    <w:lvl w:ilvl="4" w:tplc="026099A0">
      <w:start w:val="1"/>
      <w:numFmt w:val="bullet"/>
      <w:lvlText w:val="o"/>
      <w:lvlJc w:val="left"/>
      <w:pPr>
        <w:ind w:left="3600" w:hanging="360"/>
      </w:pPr>
      <w:rPr>
        <w:rFonts w:ascii="Courier New" w:hAnsi="Courier New" w:hint="default"/>
      </w:rPr>
    </w:lvl>
    <w:lvl w:ilvl="5" w:tplc="1A045704">
      <w:start w:val="1"/>
      <w:numFmt w:val="bullet"/>
      <w:lvlText w:val=""/>
      <w:lvlJc w:val="left"/>
      <w:pPr>
        <w:ind w:left="4320" w:hanging="360"/>
      </w:pPr>
      <w:rPr>
        <w:rFonts w:ascii="Wingdings" w:hAnsi="Wingdings" w:hint="default"/>
      </w:rPr>
    </w:lvl>
    <w:lvl w:ilvl="6" w:tplc="D004CAAA">
      <w:start w:val="1"/>
      <w:numFmt w:val="bullet"/>
      <w:lvlText w:val=""/>
      <w:lvlJc w:val="left"/>
      <w:pPr>
        <w:ind w:left="5040" w:hanging="360"/>
      </w:pPr>
      <w:rPr>
        <w:rFonts w:ascii="Symbol" w:hAnsi="Symbol" w:hint="default"/>
      </w:rPr>
    </w:lvl>
    <w:lvl w:ilvl="7" w:tplc="6E148C9A">
      <w:start w:val="1"/>
      <w:numFmt w:val="bullet"/>
      <w:lvlText w:val="o"/>
      <w:lvlJc w:val="left"/>
      <w:pPr>
        <w:ind w:left="5760" w:hanging="360"/>
      </w:pPr>
      <w:rPr>
        <w:rFonts w:ascii="Courier New" w:hAnsi="Courier New" w:hint="default"/>
      </w:rPr>
    </w:lvl>
    <w:lvl w:ilvl="8" w:tplc="74D0D0B4">
      <w:start w:val="1"/>
      <w:numFmt w:val="bullet"/>
      <w:lvlText w:val=""/>
      <w:lvlJc w:val="left"/>
      <w:pPr>
        <w:ind w:left="6480" w:hanging="360"/>
      </w:pPr>
      <w:rPr>
        <w:rFonts w:ascii="Wingdings" w:hAnsi="Wingdings" w:hint="default"/>
      </w:rPr>
    </w:lvl>
  </w:abstractNum>
  <w:abstractNum w:abstractNumId="18" w15:restartNumberingAfterBreak="0">
    <w:nsid w:val="04D7163C"/>
    <w:multiLevelType w:val="hybridMultilevel"/>
    <w:tmpl w:val="FFFFFFFF"/>
    <w:lvl w:ilvl="0" w:tplc="35822E9A">
      <w:start w:val="1"/>
      <w:numFmt w:val="bullet"/>
      <w:lvlText w:val="o"/>
      <w:lvlJc w:val="left"/>
      <w:pPr>
        <w:ind w:left="1080" w:hanging="360"/>
      </w:pPr>
      <w:rPr>
        <w:rFonts w:ascii="Courier New" w:hAnsi="Courier New" w:hint="default"/>
      </w:rPr>
    </w:lvl>
    <w:lvl w:ilvl="1" w:tplc="10306CEC">
      <w:start w:val="1"/>
      <w:numFmt w:val="bullet"/>
      <w:lvlText w:val="o"/>
      <w:lvlJc w:val="left"/>
      <w:pPr>
        <w:ind w:left="1440" w:hanging="360"/>
      </w:pPr>
      <w:rPr>
        <w:rFonts w:ascii="Courier New" w:hAnsi="Courier New" w:hint="default"/>
      </w:rPr>
    </w:lvl>
    <w:lvl w:ilvl="2" w:tplc="00389E28">
      <w:start w:val="1"/>
      <w:numFmt w:val="bullet"/>
      <w:lvlText w:val=""/>
      <w:lvlJc w:val="left"/>
      <w:pPr>
        <w:ind w:left="2160" w:hanging="360"/>
      </w:pPr>
      <w:rPr>
        <w:rFonts w:ascii="Wingdings" w:hAnsi="Wingdings" w:hint="default"/>
      </w:rPr>
    </w:lvl>
    <w:lvl w:ilvl="3" w:tplc="FF88AD36">
      <w:start w:val="1"/>
      <w:numFmt w:val="bullet"/>
      <w:lvlText w:val=""/>
      <w:lvlJc w:val="left"/>
      <w:pPr>
        <w:ind w:left="2880" w:hanging="360"/>
      </w:pPr>
      <w:rPr>
        <w:rFonts w:ascii="Symbol" w:hAnsi="Symbol" w:hint="default"/>
      </w:rPr>
    </w:lvl>
    <w:lvl w:ilvl="4" w:tplc="9894D486">
      <w:start w:val="1"/>
      <w:numFmt w:val="bullet"/>
      <w:lvlText w:val="o"/>
      <w:lvlJc w:val="left"/>
      <w:pPr>
        <w:ind w:left="3600" w:hanging="360"/>
      </w:pPr>
      <w:rPr>
        <w:rFonts w:ascii="Courier New" w:hAnsi="Courier New" w:hint="default"/>
      </w:rPr>
    </w:lvl>
    <w:lvl w:ilvl="5" w:tplc="96524792">
      <w:start w:val="1"/>
      <w:numFmt w:val="bullet"/>
      <w:lvlText w:val=""/>
      <w:lvlJc w:val="left"/>
      <w:pPr>
        <w:ind w:left="4320" w:hanging="360"/>
      </w:pPr>
      <w:rPr>
        <w:rFonts w:ascii="Wingdings" w:hAnsi="Wingdings" w:hint="default"/>
      </w:rPr>
    </w:lvl>
    <w:lvl w:ilvl="6" w:tplc="301ABB46">
      <w:start w:val="1"/>
      <w:numFmt w:val="bullet"/>
      <w:lvlText w:val=""/>
      <w:lvlJc w:val="left"/>
      <w:pPr>
        <w:ind w:left="5040" w:hanging="360"/>
      </w:pPr>
      <w:rPr>
        <w:rFonts w:ascii="Symbol" w:hAnsi="Symbol" w:hint="default"/>
      </w:rPr>
    </w:lvl>
    <w:lvl w:ilvl="7" w:tplc="1BE43BA0">
      <w:start w:val="1"/>
      <w:numFmt w:val="bullet"/>
      <w:lvlText w:val="o"/>
      <w:lvlJc w:val="left"/>
      <w:pPr>
        <w:ind w:left="5760" w:hanging="360"/>
      </w:pPr>
      <w:rPr>
        <w:rFonts w:ascii="Courier New" w:hAnsi="Courier New" w:hint="default"/>
      </w:rPr>
    </w:lvl>
    <w:lvl w:ilvl="8" w:tplc="B184BEFE">
      <w:start w:val="1"/>
      <w:numFmt w:val="bullet"/>
      <w:lvlText w:val=""/>
      <w:lvlJc w:val="left"/>
      <w:pPr>
        <w:ind w:left="6480" w:hanging="360"/>
      </w:pPr>
      <w:rPr>
        <w:rFonts w:ascii="Wingdings" w:hAnsi="Wingdings" w:hint="default"/>
      </w:rPr>
    </w:lvl>
  </w:abstractNum>
  <w:abstractNum w:abstractNumId="19" w15:restartNumberingAfterBreak="0">
    <w:nsid w:val="0690BBB7"/>
    <w:multiLevelType w:val="hybridMultilevel"/>
    <w:tmpl w:val="FFFFFFFF"/>
    <w:lvl w:ilvl="0" w:tplc="9DAEBA7C">
      <w:start w:val="1"/>
      <w:numFmt w:val="bullet"/>
      <w:lvlText w:val="·"/>
      <w:lvlJc w:val="left"/>
      <w:pPr>
        <w:ind w:left="720" w:hanging="360"/>
      </w:pPr>
      <w:rPr>
        <w:rFonts w:ascii="Symbol" w:hAnsi="Symbol" w:hint="default"/>
      </w:rPr>
    </w:lvl>
    <w:lvl w:ilvl="1" w:tplc="B066E77A">
      <w:start w:val="1"/>
      <w:numFmt w:val="bullet"/>
      <w:lvlText w:val="o"/>
      <w:lvlJc w:val="left"/>
      <w:pPr>
        <w:ind w:left="1440" w:hanging="360"/>
      </w:pPr>
      <w:rPr>
        <w:rFonts w:ascii="Courier New" w:hAnsi="Courier New" w:hint="default"/>
      </w:rPr>
    </w:lvl>
    <w:lvl w:ilvl="2" w:tplc="E23E27DC">
      <w:start w:val="1"/>
      <w:numFmt w:val="bullet"/>
      <w:lvlText w:val=""/>
      <w:lvlJc w:val="left"/>
      <w:pPr>
        <w:ind w:left="2160" w:hanging="360"/>
      </w:pPr>
      <w:rPr>
        <w:rFonts w:ascii="Wingdings" w:hAnsi="Wingdings" w:hint="default"/>
      </w:rPr>
    </w:lvl>
    <w:lvl w:ilvl="3" w:tplc="82BCCCD6">
      <w:start w:val="1"/>
      <w:numFmt w:val="bullet"/>
      <w:lvlText w:val=""/>
      <w:lvlJc w:val="left"/>
      <w:pPr>
        <w:ind w:left="2880" w:hanging="360"/>
      </w:pPr>
      <w:rPr>
        <w:rFonts w:ascii="Symbol" w:hAnsi="Symbol" w:hint="default"/>
      </w:rPr>
    </w:lvl>
    <w:lvl w:ilvl="4" w:tplc="D1DC9526">
      <w:start w:val="1"/>
      <w:numFmt w:val="bullet"/>
      <w:lvlText w:val="o"/>
      <w:lvlJc w:val="left"/>
      <w:pPr>
        <w:ind w:left="3600" w:hanging="360"/>
      </w:pPr>
      <w:rPr>
        <w:rFonts w:ascii="Courier New" w:hAnsi="Courier New" w:hint="default"/>
      </w:rPr>
    </w:lvl>
    <w:lvl w:ilvl="5" w:tplc="61161EA2">
      <w:start w:val="1"/>
      <w:numFmt w:val="bullet"/>
      <w:lvlText w:val=""/>
      <w:lvlJc w:val="left"/>
      <w:pPr>
        <w:ind w:left="4320" w:hanging="360"/>
      </w:pPr>
      <w:rPr>
        <w:rFonts w:ascii="Wingdings" w:hAnsi="Wingdings" w:hint="default"/>
      </w:rPr>
    </w:lvl>
    <w:lvl w:ilvl="6" w:tplc="9528C1EE">
      <w:start w:val="1"/>
      <w:numFmt w:val="bullet"/>
      <w:lvlText w:val=""/>
      <w:lvlJc w:val="left"/>
      <w:pPr>
        <w:ind w:left="5040" w:hanging="360"/>
      </w:pPr>
      <w:rPr>
        <w:rFonts w:ascii="Symbol" w:hAnsi="Symbol" w:hint="default"/>
      </w:rPr>
    </w:lvl>
    <w:lvl w:ilvl="7" w:tplc="5824C91E">
      <w:start w:val="1"/>
      <w:numFmt w:val="bullet"/>
      <w:lvlText w:val="o"/>
      <w:lvlJc w:val="left"/>
      <w:pPr>
        <w:ind w:left="5760" w:hanging="360"/>
      </w:pPr>
      <w:rPr>
        <w:rFonts w:ascii="Courier New" w:hAnsi="Courier New" w:hint="default"/>
      </w:rPr>
    </w:lvl>
    <w:lvl w:ilvl="8" w:tplc="16CE5654">
      <w:start w:val="1"/>
      <w:numFmt w:val="bullet"/>
      <w:lvlText w:val=""/>
      <w:lvlJc w:val="left"/>
      <w:pPr>
        <w:ind w:left="6480" w:hanging="360"/>
      </w:pPr>
      <w:rPr>
        <w:rFonts w:ascii="Wingdings" w:hAnsi="Wingdings" w:hint="default"/>
      </w:rPr>
    </w:lvl>
  </w:abstractNum>
  <w:abstractNum w:abstractNumId="20" w15:restartNumberingAfterBreak="0">
    <w:nsid w:val="069E0CC2"/>
    <w:multiLevelType w:val="hybridMultilevel"/>
    <w:tmpl w:val="361063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082654AD"/>
    <w:multiLevelType w:val="hybridMultilevel"/>
    <w:tmpl w:val="FFFFFFFF"/>
    <w:lvl w:ilvl="0" w:tplc="6C929078">
      <w:start w:val="1"/>
      <w:numFmt w:val="bullet"/>
      <w:lvlText w:val="o"/>
      <w:lvlJc w:val="left"/>
      <w:pPr>
        <w:ind w:left="1080" w:hanging="360"/>
      </w:pPr>
      <w:rPr>
        <w:rFonts w:ascii="Courier New" w:hAnsi="Courier New" w:hint="default"/>
      </w:rPr>
    </w:lvl>
    <w:lvl w:ilvl="1" w:tplc="BFB05B3C">
      <w:start w:val="1"/>
      <w:numFmt w:val="bullet"/>
      <w:lvlText w:val="o"/>
      <w:lvlJc w:val="left"/>
      <w:pPr>
        <w:ind w:left="1440" w:hanging="360"/>
      </w:pPr>
      <w:rPr>
        <w:rFonts w:ascii="Courier New" w:hAnsi="Courier New" w:hint="default"/>
      </w:rPr>
    </w:lvl>
    <w:lvl w:ilvl="2" w:tplc="867CC0AA">
      <w:start w:val="1"/>
      <w:numFmt w:val="bullet"/>
      <w:lvlText w:val=""/>
      <w:lvlJc w:val="left"/>
      <w:pPr>
        <w:ind w:left="2160" w:hanging="360"/>
      </w:pPr>
      <w:rPr>
        <w:rFonts w:ascii="Wingdings" w:hAnsi="Wingdings" w:hint="default"/>
      </w:rPr>
    </w:lvl>
    <w:lvl w:ilvl="3" w:tplc="DCAE843A">
      <w:start w:val="1"/>
      <w:numFmt w:val="bullet"/>
      <w:lvlText w:val=""/>
      <w:lvlJc w:val="left"/>
      <w:pPr>
        <w:ind w:left="2880" w:hanging="360"/>
      </w:pPr>
      <w:rPr>
        <w:rFonts w:ascii="Symbol" w:hAnsi="Symbol" w:hint="default"/>
      </w:rPr>
    </w:lvl>
    <w:lvl w:ilvl="4" w:tplc="3724C74A">
      <w:start w:val="1"/>
      <w:numFmt w:val="bullet"/>
      <w:lvlText w:val="o"/>
      <w:lvlJc w:val="left"/>
      <w:pPr>
        <w:ind w:left="3600" w:hanging="360"/>
      </w:pPr>
      <w:rPr>
        <w:rFonts w:ascii="Courier New" w:hAnsi="Courier New" w:hint="default"/>
      </w:rPr>
    </w:lvl>
    <w:lvl w:ilvl="5" w:tplc="120EF6BC">
      <w:start w:val="1"/>
      <w:numFmt w:val="bullet"/>
      <w:lvlText w:val=""/>
      <w:lvlJc w:val="left"/>
      <w:pPr>
        <w:ind w:left="4320" w:hanging="360"/>
      </w:pPr>
      <w:rPr>
        <w:rFonts w:ascii="Wingdings" w:hAnsi="Wingdings" w:hint="default"/>
      </w:rPr>
    </w:lvl>
    <w:lvl w:ilvl="6" w:tplc="351AB4A2">
      <w:start w:val="1"/>
      <w:numFmt w:val="bullet"/>
      <w:lvlText w:val=""/>
      <w:lvlJc w:val="left"/>
      <w:pPr>
        <w:ind w:left="5040" w:hanging="360"/>
      </w:pPr>
      <w:rPr>
        <w:rFonts w:ascii="Symbol" w:hAnsi="Symbol" w:hint="default"/>
      </w:rPr>
    </w:lvl>
    <w:lvl w:ilvl="7" w:tplc="17B25390">
      <w:start w:val="1"/>
      <w:numFmt w:val="bullet"/>
      <w:lvlText w:val="o"/>
      <w:lvlJc w:val="left"/>
      <w:pPr>
        <w:ind w:left="5760" w:hanging="360"/>
      </w:pPr>
      <w:rPr>
        <w:rFonts w:ascii="Courier New" w:hAnsi="Courier New" w:hint="default"/>
      </w:rPr>
    </w:lvl>
    <w:lvl w:ilvl="8" w:tplc="4D56739E">
      <w:start w:val="1"/>
      <w:numFmt w:val="bullet"/>
      <w:lvlText w:val=""/>
      <w:lvlJc w:val="left"/>
      <w:pPr>
        <w:ind w:left="6480" w:hanging="360"/>
      </w:pPr>
      <w:rPr>
        <w:rFonts w:ascii="Wingdings" w:hAnsi="Wingdings" w:hint="default"/>
      </w:rPr>
    </w:lvl>
  </w:abstractNum>
  <w:abstractNum w:abstractNumId="22" w15:restartNumberingAfterBreak="0">
    <w:nsid w:val="083E6BED"/>
    <w:multiLevelType w:val="hybridMultilevel"/>
    <w:tmpl w:val="23EED8EE"/>
    <w:lvl w:ilvl="0" w:tplc="8A00CC74">
      <w:start w:val="16"/>
      <w:numFmt w:val="bullet"/>
      <w:lvlText w:val="-"/>
      <w:lvlJc w:val="left"/>
      <w:pPr>
        <w:ind w:left="720" w:hanging="360"/>
      </w:pPr>
      <w:rPr>
        <w:rFonts w:ascii="Times New Roman" w:eastAsia="Times New Roman" w:hAnsi="Times New Roman" w:cs="Times New Roman" w:hint="default"/>
        <w:color w:val="006100"/>
        <w:sz w:val="15"/>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089D1748"/>
    <w:multiLevelType w:val="hybridMultilevel"/>
    <w:tmpl w:val="271CCD86"/>
    <w:lvl w:ilvl="0" w:tplc="2FBCC50C">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09545F81"/>
    <w:multiLevelType w:val="hybridMultilevel"/>
    <w:tmpl w:val="FFFFFFFF"/>
    <w:lvl w:ilvl="0" w:tplc="FEE2E08A">
      <w:start w:val="1"/>
      <w:numFmt w:val="bullet"/>
      <w:lvlText w:val="●"/>
      <w:lvlJc w:val="left"/>
      <w:pPr>
        <w:ind w:left="720" w:hanging="360"/>
      </w:pPr>
      <w:rPr>
        <w:rFonts w:ascii="Noto Sans Symbols" w:hAnsi="Noto Sans Symbols" w:hint="default"/>
      </w:rPr>
    </w:lvl>
    <w:lvl w:ilvl="1" w:tplc="C478CE58">
      <w:start w:val="1"/>
      <w:numFmt w:val="bullet"/>
      <w:lvlText w:val="o"/>
      <w:lvlJc w:val="left"/>
      <w:pPr>
        <w:ind w:left="1440" w:hanging="360"/>
      </w:pPr>
      <w:rPr>
        <w:rFonts w:ascii="Courier New" w:hAnsi="Courier New" w:hint="default"/>
      </w:rPr>
    </w:lvl>
    <w:lvl w:ilvl="2" w:tplc="C3FE84C8">
      <w:start w:val="1"/>
      <w:numFmt w:val="bullet"/>
      <w:lvlText w:val=""/>
      <w:lvlJc w:val="left"/>
      <w:pPr>
        <w:ind w:left="2160" w:hanging="360"/>
      </w:pPr>
      <w:rPr>
        <w:rFonts w:ascii="Wingdings" w:hAnsi="Wingdings" w:hint="default"/>
      </w:rPr>
    </w:lvl>
    <w:lvl w:ilvl="3" w:tplc="4C943194">
      <w:start w:val="1"/>
      <w:numFmt w:val="bullet"/>
      <w:lvlText w:val=""/>
      <w:lvlJc w:val="left"/>
      <w:pPr>
        <w:ind w:left="2880" w:hanging="360"/>
      </w:pPr>
      <w:rPr>
        <w:rFonts w:ascii="Symbol" w:hAnsi="Symbol" w:hint="default"/>
      </w:rPr>
    </w:lvl>
    <w:lvl w:ilvl="4" w:tplc="86865322">
      <w:start w:val="1"/>
      <w:numFmt w:val="bullet"/>
      <w:lvlText w:val="o"/>
      <w:lvlJc w:val="left"/>
      <w:pPr>
        <w:ind w:left="3600" w:hanging="360"/>
      </w:pPr>
      <w:rPr>
        <w:rFonts w:ascii="Courier New" w:hAnsi="Courier New" w:hint="default"/>
      </w:rPr>
    </w:lvl>
    <w:lvl w:ilvl="5" w:tplc="9392F500">
      <w:start w:val="1"/>
      <w:numFmt w:val="bullet"/>
      <w:lvlText w:val=""/>
      <w:lvlJc w:val="left"/>
      <w:pPr>
        <w:ind w:left="4320" w:hanging="360"/>
      </w:pPr>
      <w:rPr>
        <w:rFonts w:ascii="Wingdings" w:hAnsi="Wingdings" w:hint="default"/>
      </w:rPr>
    </w:lvl>
    <w:lvl w:ilvl="6" w:tplc="B2003112">
      <w:start w:val="1"/>
      <w:numFmt w:val="bullet"/>
      <w:lvlText w:val=""/>
      <w:lvlJc w:val="left"/>
      <w:pPr>
        <w:ind w:left="5040" w:hanging="360"/>
      </w:pPr>
      <w:rPr>
        <w:rFonts w:ascii="Symbol" w:hAnsi="Symbol" w:hint="default"/>
      </w:rPr>
    </w:lvl>
    <w:lvl w:ilvl="7" w:tplc="CB7A82F0">
      <w:start w:val="1"/>
      <w:numFmt w:val="bullet"/>
      <w:lvlText w:val="o"/>
      <w:lvlJc w:val="left"/>
      <w:pPr>
        <w:ind w:left="5760" w:hanging="360"/>
      </w:pPr>
      <w:rPr>
        <w:rFonts w:ascii="Courier New" w:hAnsi="Courier New" w:hint="default"/>
      </w:rPr>
    </w:lvl>
    <w:lvl w:ilvl="8" w:tplc="8EF6D4BC">
      <w:start w:val="1"/>
      <w:numFmt w:val="bullet"/>
      <w:lvlText w:val=""/>
      <w:lvlJc w:val="left"/>
      <w:pPr>
        <w:ind w:left="6480" w:hanging="360"/>
      </w:pPr>
      <w:rPr>
        <w:rFonts w:ascii="Wingdings" w:hAnsi="Wingdings" w:hint="default"/>
      </w:rPr>
    </w:lvl>
  </w:abstractNum>
  <w:abstractNum w:abstractNumId="25" w15:restartNumberingAfterBreak="0">
    <w:nsid w:val="09687B21"/>
    <w:multiLevelType w:val="hybridMultilevel"/>
    <w:tmpl w:val="FFFFFFFF"/>
    <w:lvl w:ilvl="0" w:tplc="35708430">
      <w:start w:val="1"/>
      <w:numFmt w:val="bullet"/>
      <w:lvlText w:val=""/>
      <w:lvlJc w:val="left"/>
      <w:pPr>
        <w:ind w:left="720" w:hanging="360"/>
      </w:pPr>
      <w:rPr>
        <w:rFonts w:ascii="Symbol" w:hAnsi="Symbol" w:hint="default"/>
      </w:rPr>
    </w:lvl>
    <w:lvl w:ilvl="1" w:tplc="97647158">
      <w:start w:val="1"/>
      <w:numFmt w:val="bullet"/>
      <w:lvlText w:val="o"/>
      <w:lvlJc w:val="left"/>
      <w:pPr>
        <w:ind w:left="1440" w:hanging="360"/>
      </w:pPr>
      <w:rPr>
        <w:rFonts w:ascii="Courier New" w:hAnsi="Courier New" w:hint="default"/>
      </w:rPr>
    </w:lvl>
    <w:lvl w:ilvl="2" w:tplc="ADC28E02">
      <w:start w:val="1"/>
      <w:numFmt w:val="bullet"/>
      <w:lvlText w:val=""/>
      <w:lvlJc w:val="left"/>
      <w:pPr>
        <w:ind w:left="2160" w:hanging="360"/>
      </w:pPr>
      <w:rPr>
        <w:rFonts w:ascii="Wingdings" w:hAnsi="Wingdings" w:hint="default"/>
      </w:rPr>
    </w:lvl>
    <w:lvl w:ilvl="3" w:tplc="8BA80D88">
      <w:start w:val="1"/>
      <w:numFmt w:val="bullet"/>
      <w:lvlText w:val=""/>
      <w:lvlJc w:val="left"/>
      <w:pPr>
        <w:ind w:left="2880" w:hanging="360"/>
      </w:pPr>
      <w:rPr>
        <w:rFonts w:ascii="Symbol" w:hAnsi="Symbol" w:hint="default"/>
      </w:rPr>
    </w:lvl>
    <w:lvl w:ilvl="4" w:tplc="86C6D23E">
      <w:start w:val="1"/>
      <w:numFmt w:val="bullet"/>
      <w:lvlText w:val="o"/>
      <w:lvlJc w:val="left"/>
      <w:pPr>
        <w:ind w:left="3600" w:hanging="360"/>
      </w:pPr>
      <w:rPr>
        <w:rFonts w:ascii="Courier New" w:hAnsi="Courier New" w:hint="default"/>
      </w:rPr>
    </w:lvl>
    <w:lvl w:ilvl="5" w:tplc="0C987B58">
      <w:start w:val="1"/>
      <w:numFmt w:val="bullet"/>
      <w:lvlText w:val=""/>
      <w:lvlJc w:val="left"/>
      <w:pPr>
        <w:ind w:left="4320" w:hanging="360"/>
      </w:pPr>
      <w:rPr>
        <w:rFonts w:ascii="Wingdings" w:hAnsi="Wingdings" w:hint="default"/>
      </w:rPr>
    </w:lvl>
    <w:lvl w:ilvl="6" w:tplc="51E886D0">
      <w:start w:val="1"/>
      <w:numFmt w:val="bullet"/>
      <w:lvlText w:val=""/>
      <w:lvlJc w:val="left"/>
      <w:pPr>
        <w:ind w:left="5040" w:hanging="360"/>
      </w:pPr>
      <w:rPr>
        <w:rFonts w:ascii="Symbol" w:hAnsi="Symbol" w:hint="default"/>
      </w:rPr>
    </w:lvl>
    <w:lvl w:ilvl="7" w:tplc="3C2E1190">
      <w:start w:val="1"/>
      <w:numFmt w:val="bullet"/>
      <w:lvlText w:val="o"/>
      <w:lvlJc w:val="left"/>
      <w:pPr>
        <w:ind w:left="5760" w:hanging="360"/>
      </w:pPr>
      <w:rPr>
        <w:rFonts w:ascii="Courier New" w:hAnsi="Courier New" w:hint="default"/>
      </w:rPr>
    </w:lvl>
    <w:lvl w:ilvl="8" w:tplc="2B90C30A">
      <w:start w:val="1"/>
      <w:numFmt w:val="bullet"/>
      <w:lvlText w:val=""/>
      <w:lvlJc w:val="left"/>
      <w:pPr>
        <w:ind w:left="6480" w:hanging="360"/>
      </w:pPr>
      <w:rPr>
        <w:rFonts w:ascii="Wingdings" w:hAnsi="Wingdings" w:hint="default"/>
      </w:rPr>
    </w:lvl>
  </w:abstractNum>
  <w:abstractNum w:abstractNumId="26" w15:restartNumberingAfterBreak="0">
    <w:nsid w:val="0AA628D4"/>
    <w:multiLevelType w:val="multilevel"/>
    <w:tmpl w:val="7F48683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ACFF43C"/>
    <w:multiLevelType w:val="hybridMultilevel"/>
    <w:tmpl w:val="D70EC240"/>
    <w:lvl w:ilvl="0" w:tplc="B0E2431A">
      <w:start w:val="1"/>
      <w:numFmt w:val="bullet"/>
      <w:lvlText w:val="-"/>
      <w:lvlJc w:val="left"/>
      <w:pPr>
        <w:ind w:left="720" w:hanging="360"/>
      </w:pPr>
      <w:rPr>
        <w:rFonts w:ascii="Calibri" w:hAnsi="Calibri" w:hint="default"/>
      </w:rPr>
    </w:lvl>
    <w:lvl w:ilvl="1" w:tplc="BBAAF39A">
      <w:start w:val="1"/>
      <w:numFmt w:val="bullet"/>
      <w:lvlText w:val="o"/>
      <w:lvlJc w:val="left"/>
      <w:pPr>
        <w:ind w:left="1440" w:hanging="360"/>
      </w:pPr>
      <w:rPr>
        <w:rFonts w:ascii="Courier New" w:hAnsi="Courier New" w:hint="default"/>
      </w:rPr>
    </w:lvl>
    <w:lvl w:ilvl="2" w:tplc="F9DC0398">
      <w:start w:val="1"/>
      <w:numFmt w:val="bullet"/>
      <w:lvlText w:val=""/>
      <w:lvlJc w:val="left"/>
      <w:pPr>
        <w:ind w:left="2160" w:hanging="360"/>
      </w:pPr>
      <w:rPr>
        <w:rFonts w:ascii="Wingdings" w:hAnsi="Wingdings" w:hint="default"/>
      </w:rPr>
    </w:lvl>
    <w:lvl w:ilvl="3" w:tplc="39BADD5A">
      <w:start w:val="1"/>
      <w:numFmt w:val="bullet"/>
      <w:lvlText w:val=""/>
      <w:lvlJc w:val="left"/>
      <w:pPr>
        <w:ind w:left="2880" w:hanging="360"/>
      </w:pPr>
      <w:rPr>
        <w:rFonts w:ascii="Symbol" w:hAnsi="Symbol" w:hint="default"/>
      </w:rPr>
    </w:lvl>
    <w:lvl w:ilvl="4" w:tplc="52420C94">
      <w:start w:val="1"/>
      <w:numFmt w:val="bullet"/>
      <w:lvlText w:val="o"/>
      <w:lvlJc w:val="left"/>
      <w:pPr>
        <w:ind w:left="3600" w:hanging="360"/>
      </w:pPr>
      <w:rPr>
        <w:rFonts w:ascii="Courier New" w:hAnsi="Courier New" w:hint="default"/>
      </w:rPr>
    </w:lvl>
    <w:lvl w:ilvl="5" w:tplc="E5301BFE">
      <w:start w:val="1"/>
      <w:numFmt w:val="bullet"/>
      <w:lvlText w:val=""/>
      <w:lvlJc w:val="left"/>
      <w:pPr>
        <w:ind w:left="4320" w:hanging="360"/>
      </w:pPr>
      <w:rPr>
        <w:rFonts w:ascii="Wingdings" w:hAnsi="Wingdings" w:hint="default"/>
      </w:rPr>
    </w:lvl>
    <w:lvl w:ilvl="6" w:tplc="4B28C4A6">
      <w:start w:val="1"/>
      <w:numFmt w:val="bullet"/>
      <w:lvlText w:val=""/>
      <w:lvlJc w:val="left"/>
      <w:pPr>
        <w:ind w:left="5040" w:hanging="360"/>
      </w:pPr>
      <w:rPr>
        <w:rFonts w:ascii="Symbol" w:hAnsi="Symbol" w:hint="default"/>
      </w:rPr>
    </w:lvl>
    <w:lvl w:ilvl="7" w:tplc="86E6ACA2">
      <w:start w:val="1"/>
      <w:numFmt w:val="bullet"/>
      <w:lvlText w:val="o"/>
      <w:lvlJc w:val="left"/>
      <w:pPr>
        <w:ind w:left="5760" w:hanging="360"/>
      </w:pPr>
      <w:rPr>
        <w:rFonts w:ascii="Courier New" w:hAnsi="Courier New" w:hint="default"/>
      </w:rPr>
    </w:lvl>
    <w:lvl w:ilvl="8" w:tplc="3EB8AD10">
      <w:start w:val="1"/>
      <w:numFmt w:val="bullet"/>
      <w:lvlText w:val=""/>
      <w:lvlJc w:val="left"/>
      <w:pPr>
        <w:ind w:left="6480" w:hanging="360"/>
      </w:pPr>
      <w:rPr>
        <w:rFonts w:ascii="Wingdings" w:hAnsi="Wingdings" w:hint="default"/>
      </w:rPr>
    </w:lvl>
  </w:abstractNum>
  <w:abstractNum w:abstractNumId="28" w15:restartNumberingAfterBreak="0">
    <w:nsid w:val="0AF91AD9"/>
    <w:multiLevelType w:val="hybridMultilevel"/>
    <w:tmpl w:val="4EEC4C1E"/>
    <w:lvl w:ilvl="0" w:tplc="7FF0796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0B10DD33"/>
    <w:multiLevelType w:val="hybridMultilevel"/>
    <w:tmpl w:val="FFFFFFFF"/>
    <w:lvl w:ilvl="0" w:tplc="B91600B6">
      <w:start w:val="4"/>
      <w:numFmt w:val="lowerRoman"/>
      <w:lvlText w:val="%1."/>
      <w:lvlJc w:val="right"/>
      <w:pPr>
        <w:ind w:left="1080" w:hanging="360"/>
      </w:pPr>
    </w:lvl>
    <w:lvl w:ilvl="1" w:tplc="A094F63E">
      <w:start w:val="1"/>
      <w:numFmt w:val="lowerLetter"/>
      <w:lvlText w:val="%2."/>
      <w:lvlJc w:val="left"/>
      <w:pPr>
        <w:ind w:left="1440" w:hanging="360"/>
      </w:pPr>
    </w:lvl>
    <w:lvl w:ilvl="2" w:tplc="5BE01252">
      <w:start w:val="1"/>
      <w:numFmt w:val="lowerRoman"/>
      <w:lvlText w:val="%3."/>
      <w:lvlJc w:val="right"/>
      <w:pPr>
        <w:ind w:left="2160" w:hanging="180"/>
      </w:pPr>
    </w:lvl>
    <w:lvl w:ilvl="3" w:tplc="1BF04F5A">
      <w:start w:val="1"/>
      <w:numFmt w:val="decimal"/>
      <w:lvlText w:val="%4."/>
      <w:lvlJc w:val="left"/>
      <w:pPr>
        <w:ind w:left="2880" w:hanging="360"/>
      </w:pPr>
    </w:lvl>
    <w:lvl w:ilvl="4" w:tplc="7E5AC7AC">
      <w:start w:val="1"/>
      <w:numFmt w:val="lowerLetter"/>
      <w:lvlText w:val="%5."/>
      <w:lvlJc w:val="left"/>
      <w:pPr>
        <w:ind w:left="3600" w:hanging="360"/>
      </w:pPr>
    </w:lvl>
    <w:lvl w:ilvl="5" w:tplc="B3C4EB5C">
      <w:start w:val="1"/>
      <w:numFmt w:val="lowerRoman"/>
      <w:lvlText w:val="%6."/>
      <w:lvlJc w:val="right"/>
      <w:pPr>
        <w:ind w:left="4320" w:hanging="180"/>
      </w:pPr>
    </w:lvl>
    <w:lvl w:ilvl="6" w:tplc="B314B830">
      <w:start w:val="1"/>
      <w:numFmt w:val="decimal"/>
      <w:lvlText w:val="%7."/>
      <w:lvlJc w:val="left"/>
      <w:pPr>
        <w:ind w:left="5040" w:hanging="360"/>
      </w:pPr>
    </w:lvl>
    <w:lvl w:ilvl="7" w:tplc="9FD2C964">
      <w:start w:val="1"/>
      <w:numFmt w:val="lowerLetter"/>
      <w:lvlText w:val="%8."/>
      <w:lvlJc w:val="left"/>
      <w:pPr>
        <w:ind w:left="5760" w:hanging="360"/>
      </w:pPr>
    </w:lvl>
    <w:lvl w:ilvl="8" w:tplc="8B3275CA">
      <w:start w:val="1"/>
      <w:numFmt w:val="lowerRoman"/>
      <w:lvlText w:val="%9."/>
      <w:lvlJc w:val="right"/>
      <w:pPr>
        <w:ind w:left="6480" w:hanging="180"/>
      </w:pPr>
    </w:lvl>
  </w:abstractNum>
  <w:abstractNum w:abstractNumId="30" w15:restartNumberingAfterBreak="0">
    <w:nsid w:val="0B3C9F9F"/>
    <w:multiLevelType w:val="hybridMultilevel"/>
    <w:tmpl w:val="FFFFFFFF"/>
    <w:lvl w:ilvl="0" w:tplc="B7B2A624">
      <w:start w:val="1"/>
      <w:numFmt w:val="bullet"/>
      <w:lvlText w:val="-"/>
      <w:lvlJc w:val="left"/>
      <w:pPr>
        <w:ind w:left="720" w:hanging="360"/>
      </w:pPr>
      <w:rPr>
        <w:rFonts w:ascii="Calibri" w:hAnsi="Calibri" w:hint="default"/>
      </w:rPr>
    </w:lvl>
    <w:lvl w:ilvl="1" w:tplc="6614947E">
      <w:start w:val="1"/>
      <w:numFmt w:val="bullet"/>
      <w:lvlText w:val="o"/>
      <w:lvlJc w:val="left"/>
      <w:pPr>
        <w:ind w:left="1440" w:hanging="360"/>
      </w:pPr>
      <w:rPr>
        <w:rFonts w:ascii="Courier New" w:hAnsi="Courier New" w:hint="default"/>
      </w:rPr>
    </w:lvl>
    <w:lvl w:ilvl="2" w:tplc="3FAAA6A0">
      <w:start w:val="1"/>
      <w:numFmt w:val="bullet"/>
      <w:lvlText w:val=""/>
      <w:lvlJc w:val="left"/>
      <w:pPr>
        <w:ind w:left="2160" w:hanging="360"/>
      </w:pPr>
      <w:rPr>
        <w:rFonts w:ascii="Wingdings" w:hAnsi="Wingdings" w:hint="default"/>
      </w:rPr>
    </w:lvl>
    <w:lvl w:ilvl="3" w:tplc="BA1070EE">
      <w:start w:val="1"/>
      <w:numFmt w:val="bullet"/>
      <w:lvlText w:val=""/>
      <w:lvlJc w:val="left"/>
      <w:pPr>
        <w:ind w:left="2880" w:hanging="360"/>
      </w:pPr>
      <w:rPr>
        <w:rFonts w:ascii="Symbol" w:hAnsi="Symbol" w:hint="default"/>
      </w:rPr>
    </w:lvl>
    <w:lvl w:ilvl="4" w:tplc="ED2AEC32">
      <w:start w:val="1"/>
      <w:numFmt w:val="bullet"/>
      <w:lvlText w:val="o"/>
      <w:lvlJc w:val="left"/>
      <w:pPr>
        <w:ind w:left="3600" w:hanging="360"/>
      </w:pPr>
      <w:rPr>
        <w:rFonts w:ascii="Courier New" w:hAnsi="Courier New" w:hint="default"/>
      </w:rPr>
    </w:lvl>
    <w:lvl w:ilvl="5" w:tplc="FA4CE50E">
      <w:start w:val="1"/>
      <w:numFmt w:val="bullet"/>
      <w:lvlText w:val=""/>
      <w:lvlJc w:val="left"/>
      <w:pPr>
        <w:ind w:left="4320" w:hanging="360"/>
      </w:pPr>
      <w:rPr>
        <w:rFonts w:ascii="Wingdings" w:hAnsi="Wingdings" w:hint="default"/>
      </w:rPr>
    </w:lvl>
    <w:lvl w:ilvl="6" w:tplc="CCC2C30A">
      <w:start w:val="1"/>
      <w:numFmt w:val="bullet"/>
      <w:lvlText w:val=""/>
      <w:lvlJc w:val="left"/>
      <w:pPr>
        <w:ind w:left="5040" w:hanging="360"/>
      </w:pPr>
      <w:rPr>
        <w:rFonts w:ascii="Symbol" w:hAnsi="Symbol" w:hint="default"/>
      </w:rPr>
    </w:lvl>
    <w:lvl w:ilvl="7" w:tplc="DA10368C">
      <w:start w:val="1"/>
      <w:numFmt w:val="bullet"/>
      <w:lvlText w:val="o"/>
      <w:lvlJc w:val="left"/>
      <w:pPr>
        <w:ind w:left="5760" w:hanging="360"/>
      </w:pPr>
      <w:rPr>
        <w:rFonts w:ascii="Courier New" w:hAnsi="Courier New" w:hint="default"/>
      </w:rPr>
    </w:lvl>
    <w:lvl w:ilvl="8" w:tplc="F3F6E2AC">
      <w:start w:val="1"/>
      <w:numFmt w:val="bullet"/>
      <w:lvlText w:val=""/>
      <w:lvlJc w:val="left"/>
      <w:pPr>
        <w:ind w:left="6480" w:hanging="360"/>
      </w:pPr>
      <w:rPr>
        <w:rFonts w:ascii="Wingdings" w:hAnsi="Wingdings" w:hint="default"/>
      </w:rPr>
    </w:lvl>
  </w:abstractNum>
  <w:abstractNum w:abstractNumId="31" w15:restartNumberingAfterBreak="0">
    <w:nsid w:val="0B475A00"/>
    <w:multiLevelType w:val="multilevel"/>
    <w:tmpl w:val="E7206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0BAA21EB"/>
    <w:multiLevelType w:val="multilevel"/>
    <w:tmpl w:val="B64E70FC"/>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0BBB2E31"/>
    <w:multiLevelType w:val="multilevel"/>
    <w:tmpl w:val="9C80828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4" w15:restartNumberingAfterBreak="0">
    <w:nsid w:val="0BE1380B"/>
    <w:multiLevelType w:val="hybridMultilevel"/>
    <w:tmpl w:val="FFFFFFFF"/>
    <w:lvl w:ilvl="0" w:tplc="BEF69C30">
      <w:start w:val="1"/>
      <w:numFmt w:val="decimal"/>
      <w:lvlText w:val="%1."/>
      <w:lvlJc w:val="left"/>
      <w:pPr>
        <w:ind w:left="720" w:hanging="360"/>
      </w:pPr>
    </w:lvl>
    <w:lvl w:ilvl="1" w:tplc="64709142">
      <w:start w:val="6"/>
      <w:numFmt w:val="lowerRoman"/>
      <w:lvlText w:val="%2."/>
      <w:lvlJc w:val="right"/>
      <w:pPr>
        <w:ind w:left="1440" w:hanging="360"/>
      </w:pPr>
    </w:lvl>
    <w:lvl w:ilvl="2" w:tplc="15CA6230">
      <w:start w:val="1"/>
      <w:numFmt w:val="lowerRoman"/>
      <w:lvlText w:val="%3."/>
      <w:lvlJc w:val="right"/>
      <w:pPr>
        <w:ind w:left="2160" w:hanging="180"/>
      </w:pPr>
    </w:lvl>
    <w:lvl w:ilvl="3" w:tplc="45F8A09E">
      <w:start w:val="1"/>
      <w:numFmt w:val="decimal"/>
      <w:lvlText w:val="%4."/>
      <w:lvlJc w:val="left"/>
      <w:pPr>
        <w:ind w:left="2880" w:hanging="360"/>
      </w:pPr>
    </w:lvl>
    <w:lvl w:ilvl="4" w:tplc="7AA45674">
      <w:start w:val="1"/>
      <w:numFmt w:val="lowerLetter"/>
      <w:lvlText w:val="%5."/>
      <w:lvlJc w:val="left"/>
      <w:pPr>
        <w:ind w:left="3600" w:hanging="360"/>
      </w:pPr>
    </w:lvl>
    <w:lvl w:ilvl="5" w:tplc="0534E698">
      <w:start w:val="1"/>
      <w:numFmt w:val="lowerRoman"/>
      <w:lvlText w:val="%6."/>
      <w:lvlJc w:val="right"/>
      <w:pPr>
        <w:ind w:left="4320" w:hanging="180"/>
      </w:pPr>
    </w:lvl>
    <w:lvl w:ilvl="6" w:tplc="0D165768">
      <w:start w:val="1"/>
      <w:numFmt w:val="decimal"/>
      <w:lvlText w:val="%7."/>
      <w:lvlJc w:val="left"/>
      <w:pPr>
        <w:ind w:left="5040" w:hanging="360"/>
      </w:pPr>
    </w:lvl>
    <w:lvl w:ilvl="7" w:tplc="8FD0AF92">
      <w:start w:val="1"/>
      <w:numFmt w:val="lowerLetter"/>
      <w:lvlText w:val="%8."/>
      <w:lvlJc w:val="left"/>
      <w:pPr>
        <w:ind w:left="5760" w:hanging="360"/>
      </w:pPr>
    </w:lvl>
    <w:lvl w:ilvl="8" w:tplc="06761AFE">
      <w:start w:val="1"/>
      <w:numFmt w:val="lowerRoman"/>
      <w:lvlText w:val="%9."/>
      <w:lvlJc w:val="right"/>
      <w:pPr>
        <w:ind w:left="6480" w:hanging="180"/>
      </w:pPr>
    </w:lvl>
  </w:abstractNum>
  <w:abstractNum w:abstractNumId="35" w15:restartNumberingAfterBreak="0">
    <w:nsid w:val="0C4C60E3"/>
    <w:multiLevelType w:val="hybridMultilevel"/>
    <w:tmpl w:val="39AE15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0C8367E9"/>
    <w:multiLevelType w:val="hybridMultilevel"/>
    <w:tmpl w:val="FFFFFFFF"/>
    <w:lvl w:ilvl="0" w:tplc="AA5ADAA2">
      <w:start w:val="1"/>
      <w:numFmt w:val="bullet"/>
      <w:lvlText w:val=""/>
      <w:lvlJc w:val="left"/>
      <w:pPr>
        <w:ind w:left="720" w:hanging="360"/>
      </w:pPr>
      <w:rPr>
        <w:rFonts w:ascii="Symbol" w:hAnsi="Symbol" w:hint="default"/>
      </w:rPr>
    </w:lvl>
    <w:lvl w:ilvl="1" w:tplc="3C46AC64">
      <w:start w:val="1"/>
      <w:numFmt w:val="bullet"/>
      <w:lvlText w:val="o"/>
      <w:lvlJc w:val="left"/>
      <w:pPr>
        <w:ind w:left="1440" w:hanging="360"/>
      </w:pPr>
      <w:rPr>
        <w:rFonts w:ascii="Courier New" w:hAnsi="Courier New" w:hint="default"/>
      </w:rPr>
    </w:lvl>
    <w:lvl w:ilvl="2" w:tplc="0A7CB06A">
      <w:start w:val="1"/>
      <w:numFmt w:val="bullet"/>
      <w:lvlText w:val=""/>
      <w:lvlJc w:val="left"/>
      <w:pPr>
        <w:ind w:left="2160" w:hanging="360"/>
      </w:pPr>
      <w:rPr>
        <w:rFonts w:ascii="Wingdings" w:hAnsi="Wingdings" w:hint="default"/>
      </w:rPr>
    </w:lvl>
    <w:lvl w:ilvl="3" w:tplc="6E02D9A6">
      <w:start w:val="1"/>
      <w:numFmt w:val="bullet"/>
      <w:lvlText w:val=""/>
      <w:lvlJc w:val="left"/>
      <w:pPr>
        <w:ind w:left="2880" w:hanging="360"/>
      </w:pPr>
      <w:rPr>
        <w:rFonts w:ascii="Symbol" w:hAnsi="Symbol" w:hint="default"/>
      </w:rPr>
    </w:lvl>
    <w:lvl w:ilvl="4" w:tplc="41107FF2">
      <w:start w:val="1"/>
      <w:numFmt w:val="bullet"/>
      <w:lvlText w:val="o"/>
      <w:lvlJc w:val="left"/>
      <w:pPr>
        <w:ind w:left="3600" w:hanging="360"/>
      </w:pPr>
      <w:rPr>
        <w:rFonts w:ascii="Courier New" w:hAnsi="Courier New" w:hint="default"/>
      </w:rPr>
    </w:lvl>
    <w:lvl w:ilvl="5" w:tplc="02E2FA12">
      <w:start w:val="1"/>
      <w:numFmt w:val="bullet"/>
      <w:lvlText w:val=""/>
      <w:lvlJc w:val="left"/>
      <w:pPr>
        <w:ind w:left="4320" w:hanging="360"/>
      </w:pPr>
      <w:rPr>
        <w:rFonts w:ascii="Wingdings" w:hAnsi="Wingdings" w:hint="default"/>
      </w:rPr>
    </w:lvl>
    <w:lvl w:ilvl="6" w:tplc="0736E644">
      <w:start w:val="1"/>
      <w:numFmt w:val="bullet"/>
      <w:lvlText w:val=""/>
      <w:lvlJc w:val="left"/>
      <w:pPr>
        <w:ind w:left="5040" w:hanging="360"/>
      </w:pPr>
      <w:rPr>
        <w:rFonts w:ascii="Symbol" w:hAnsi="Symbol" w:hint="default"/>
      </w:rPr>
    </w:lvl>
    <w:lvl w:ilvl="7" w:tplc="548CF4E0">
      <w:start w:val="1"/>
      <w:numFmt w:val="bullet"/>
      <w:lvlText w:val="o"/>
      <w:lvlJc w:val="left"/>
      <w:pPr>
        <w:ind w:left="5760" w:hanging="360"/>
      </w:pPr>
      <w:rPr>
        <w:rFonts w:ascii="Courier New" w:hAnsi="Courier New" w:hint="default"/>
      </w:rPr>
    </w:lvl>
    <w:lvl w:ilvl="8" w:tplc="B6742DCC">
      <w:start w:val="1"/>
      <w:numFmt w:val="bullet"/>
      <w:lvlText w:val=""/>
      <w:lvlJc w:val="left"/>
      <w:pPr>
        <w:ind w:left="6480" w:hanging="360"/>
      </w:pPr>
      <w:rPr>
        <w:rFonts w:ascii="Wingdings" w:hAnsi="Wingdings" w:hint="default"/>
      </w:rPr>
    </w:lvl>
  </w:abstractNum>
  <w:abstractNum w:abstractNumId="37" w15:restartNumberingAfterBreak="0">
    <w:nsid w:val="0CC18F91"/>
    <w:multiLevelType w:val="hybridMultilevel"/>
    <w:tmpl w:val="A14C6BC4"/>
    <w:lvl w:ilvl="0" w:tplc="AED0E530">
      <w:start w:val="2"/>
      <w:numFmt w:val="lowerLetter"/>
      <w:lvlText w:val="%1)"/>
      <w:lvlJc w:val="left"/>
      <w:pPr>
        <w:ind w:left="720" w:hanging="360"/>
      </w:pPr>
    </w:lvl>
    <w:lvl w:ilvl="1" w:tplc="165AB8EE">
      <w:start w:val="1"/>
      <w:numFmt w:val="lowerLetter"/>
      <w:lvlText w:val="%2."/>
      <w:lvlJc w:val="left"/>
      <w:pPr>
        <w:ind w:left="1440" w:hanging="360"/>
      </w:pPr>
    </w:lvl>
    <w:lvl w:ilvl="2" w:tplc="2BC2FB8C">
      <w:start w:val="1"/>
      <w:numFmt w:val="lowerRoman"/>
      <w:lvlText w:val="%3."/>
      <w:lvlJc w:val="right"/>
      <w:pPr>
        <w:ind w:left="2160" w:hanging="180"/>
      </w:pPr>
    </w:lvl>
    <w:lvl w:ilvl="3" w:tplc="ABBA827E">
      <w:start w:val="1"/>
      <w:numFmt w:val="decimal"/>
      <w:lvlText w:val="%4."/>
      <w:lvlJc w:val="left"/>
      <w:pPr>
        <w:ind w:left="2880" w:hanging="360"/>
      </w:pPr>
    </w:lvl>
    <w:lvl w:ilvl="4" w:tplc="7AE4DD2E">
      <w:start w:val="1"/>
      <w:numFmt w:val="lowerLetter"/>
      <w:lvlText w:val="%5."/>
      <w:lvlJc w:val="left"/>
      <w:pPr>
        <w:ind w:left="3600" w:hanging="360"/>
      </w:pPr>
    </w:lvl>
    <w:lvl w:ilvl="5" w:tplc="C874ACE2">
      <w:start w:val="1"/>
      <w:numFmt w:val="lowerRoman"/>
      <w:lvlText w:val="%6."/>
      <w:lvlJc w:val="right"/>
      <w:pPr>
        <w:ind w:left="4320" w:hanging="180"/>
      </w:pPr>
    </w:lvl>
    <w:lvl w:ilvl="6" w:tplc="CB7037B8">
      <w:start w:val="1"/>
      <w:numFmt w:val="decimal"/>
      <w:lvlText w:val="%7."/>
      <w:lvlJc w:val="left"/>
      <w:pPr>
        <w:ind w:left="5040" w:hanging="360"/>
      </w:pPr>
    </w:lvl>
    <w:lvl w:ilvl="7" w:tplc="108A0352">
      <w:start w:val="1"/>
      <w:numFmt w:val="lowerLetter"/>
      <w:lvlText w:val="%8."/>
      <w:lvlJc w:val="left"/>
      <w:pPr>
        <w:ind w:left="5760" w:hanging="360"/>
      </w:pPr>
    </w:lvl>
    <w:lvl w:ilvl="8" w:tplc="C122B16A">
      <w:start w:val="1"/>
      <w:numFmt w:val="lowerRoman"/>
      <w:lvlText w:val="%9."/>
      <w:lvlJc w:val="right"/>
      <w:pPr>
        <w:ind w:left="6480" w:hanging="180"/>
      </w:pPr>
    </w:lvl>
  </w:abstractNum>
  <w:abstractNum w:abstractNumId="38" w15:restartNumberingAfterBreak="0">
    <w:nsid w:val="0CDA4A76"/>
    <w:multiLevelType w:val="hybridMultilevel"/>
    <w:tmpl w:val="9EC09702"/>
    <w:lvl w:ilvl="0" w:tplc="D56649B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CEE6450"/>
    <w:multiLevelType w:val="hybridMultilevel"/>
    <w:tmpl w:val="FFFFFFFF"/>
    <w:lvl w:ilvl="0" w:tplc="F4B44376">
      <w:start w:val="1"/>
      <w:numFmt w:val="decimal"/>
      <w:lvlText w:val="%1."/>
      <w:lvlJc w:val="left"/>
      <w:pPr>
        <w:ind w:left="720" w:hanging="360"/>
      </w:pPr>
    </w:lvl>
    <w:lvl w:ilvl="1" w:tplc="8BB87FDC">
      <w:start w:val="7"/>
      <w:numFmt w:val="lowerRoman"/>
      <w:lvlText w:val="%2."/>
      <w:lvlJc w:val="right"/>
      <w:pPr>
        <w:ind w:left="1080" w:hanging="360"/>
      </w:pPr>
    </w:lvl>
    <w:lvl w:ilvl="2" w:tplc="BC06ABF6">
      <w:start w:val="1"/>
      <w:numFmt w:val="lowerRoman"/>
      <w:lvlText w:val="%3."/>
      <w:lvlJc w:val="right"/>
      <w:pPr>
        <w:ind w:left="2160" w:hanging="180"/>
      </w:pPr>
    </w:lvl>
    <w:lvl w:ilvl="3" w:tplc="ADDC4D30">
      <w:start w:val="1"/>
      <w:numFmt w:val="decimal"/>
      <w:lvlText w:val="%4."/>
      <w:lvlJc w:val="left"/>
      <w:pPr>
        <w:ind w:left="2880" w:hanging="360"/>
      </w:pPr>
    </w:lvl>
    <w:lvl w:ilvl="4" w:tplc="B9DCDB0C">
      <w:start w:val="1"/>
      <w:numFmt w:val="lowerLetter"/>
      <w:lvlText w:val="%5."/>
      <w:lvlJc w:val="left"/>
      <w:pPr>
        <w:ind w:left="3600" w:hanging="360"/>
      </w:pPr>
    </w:lvl>
    <w:lvl w:ilvl="5" w:tplc="D34E03A0">
      <w:start w:val="1"/>
      <w:numFmt w:val="lowerRoman"/>
      <w:lvlText w:val="%6."/>
      <w:lvlJc w:val="right"/>
      <w:pPr>
        <w:ind w:left="4320" w:hanging="180"/>
      </w:pPr>
    </w:lvl>
    <w:lvl w:ilvl="6" w:tplc="5BA07C5A">
      <w:start w:val="1"/>
      <w:numFmt w:val="decimal"/>
      <w:lvlText w:val="%7."/>
      <w:lvlJc w:val="left"/>
      <w:pPr>
        <w:ind w:left="5040" w:hanging="360"/>
      </w:pPr>
    </w:lvl>
    <w:lvl w:ilvl="7" w:tplc="FB521A96">
      <w:start w:val="1"/>
      <w:numFmt w:val="lowerLetter"/>
      <w:lvlText w:val="%8."/>
      <w:lvlJc w:val="left"/>
      <w:pPr>
        <w:ind w:left="5760" w:hanging="360"/>
      </w:pPr>
    </w:lvl>
    <w:lvl w:ilvl="8" w:tplc="419EDC2C">
      <w:start w:val="1"/>
      <w:numFmt w:val="lowerRoman"/>
      <w:lvlText w:val="%9."/>
      <w:lvlJc w:val="right"/>
      <w:pPr>
        <w:ind w:left="6480" w:hanging="180"/>
      </w:pPr>
    </w:lvl>
  </w:abstractNum>
  <w:abstractNum w:abstractNumId="40" w15:restartNumberingAfterBreak="0">
    <w:nsid w:val="0DB68E27"/>
    <w:multiLevelType w:val="hybridMultilevel"/>
    <w:tmpl w:val="FFFFFFFF"/>
    <w:lvl w:ilvl="0" w:tplc="3B78E514">
      <w:start w:val="4"/>
      <w:numFmt w:val="lowerRoman"/>
      <w:lvlText w:val="%1."/>
      <w:lvlJc w:val="right"/>
      <w:pPr>
        <w:ind w:left="1080" w:hanging="360"/>
      </w:pPr>
    </w:lvl>
    <w:lvl w:ilvl="1" w:tplc="B824DD86">
      <w:start w:val="1"/>
      <w:numFmt w:val="lowerLetter"/>
      <w:lvlText w:val="%2."/>
      <w:lvlJc w:val="left"/>
      <w:pPr>
        <w:ind w:left="1440" w:hanging="360"/>
      </w:pPr>
    </w:lvl>
    <w:lvl w:ilvl="2" w:tplc="E85CB7AC">
      <w:start w:val="1"/>
      <w:numFmt w:val="lowerRoman"/>
      <w:lvlText w:val="%3."/>
      <w:lvlJc w:val="right"/>
      <w:pPr>
        <w:ind w:left="2160" w:hanging="180"/>
      </w:pPr>
    </w:lvl>
    <w:lvl w:ilvl="3" w:tplc="CB38D1CE">
      <w:start w:val="1"/>
      <w:numFmt w:val="decimal"/>
      <w:lvlText w:val="%4."/>
      <w:lvlJc w:val="left"/>
      <w:pPr>
        <w:ind w:left="2880" w:hanging="360"/>
      </w:pPr>
    </w:lvl>
    <w:lvl w:ilvl="4" w:tplc="5846DA76">
      <w:start w:val="1"/>
      <w:numFmt w:val="lowerLetter"/>
      <w:lvlText w:val="%5."/>
      <w:lvlJc w:val="left"/>
      <w:pPr>
        <w:ind w:left="3600" w:hanging="360"/>
      </w:pPr>
    </w:lvl>
    <w:lvl w:ilvl="5" w:tplc="7D383410">
      <w:start w:val="1"/>
      <w:numFmt w:val="lowerRoman"/>
      <w:lvlText w:val="%6."/>
      <w:lvlJc w:val="right"/>
      <w:pPr>
        <w:ind w:left="4320" w:hanging="180"/>
      </w:pPr>
    </w:lvl>
    <w:lvl w:ilvl="6" w:tplc="DB68DC34">
      <w:start w:val="1"/>
      <w:numFmt w:val="decimal"/>
      <w:lvlText w:val="%7."/>
      <w:lvlJc w:val="left"/>
      <w:pPr>
        <w:ind w:left="5040" w:hanging="360"/>
      </w:pPr>
    </w:lvl>
    <w:lvl w:ilvl="7" w:tplc="48DC9AC2">
      <w:start w:val="1"/>
      <w:numFmt w:val="lowerLetter"/>
      <w:lvlText w:val="%8."/>
      <w:lvlJc w:val="left"/>
      <w:pPr>
        <w:ind w:left="5760" w:hanging="360"/>
      </w:pPr>
    </w:lvl>
    <w:lvl w:ilvl="8" w:tplc="A13850C2">
      <w:start w:val="1"/>
      <w:numFmt w:val="lowerRoman"/>
      <w:lvlText w:val="%9."/>
      <w:lvlJc w:val="right"/>
      <w:pPr>
        <w:ind w:left="6480" w:hanging="180"/>
      </w:pPr>
    </w:lvl>
  </w:abstractNum>
  <w:abstractNum w:abstractNumId="41" w15:restartNumberingAfterBreak="0">
    <w:nsid w:val="0DC1E80A"/>
    <w:multiLevelType w:val="hybridMultilevel"/>
    <w:tmpl w:val="FFFFFFFF"/>
    <w:lvl w:ilvl="0" w:tplc="BE7E86D0">
      <w:start w:val="6"/>
      <w:numFmt w:val="lowerLetter"/>
      <w:lvlText w:val="%1)"/>
      <w:lvlJc w:val="left"/>
      <w:pPr>
        <w:ind w:left="720" w:hanging="360"/>
      </w:pPr>
    </w:lvl>
    <w:lvl w:ilvl="1" w:tplc="7550149A">
      <w:start w:val="1"/>
      <w:numFmt w:val="lowerLetter"/>
      <w:lvlText w:val="%2."/>
      <w:lvlJc w:val="left"/>
      <w:pPr>
        <w:ind w:left="1440" w:hanging="360"/>
      </w:pPr>
    </w:lvl>
    <w:lvl w:ilvl="2" w:tplc="BF6633F8">
      <w:start w:val="1"/>
      <w:numFmt w:val="lowerRoman"/>
      <w:lvlText w:val="%3."/>
      <w:lvlJc w:val="right"/>
      <w:pPr>
        <w:ind w:left="2160" w:hanging="180"/>
      </w:pPr>
    </w:lvl>
    <w:lvl w:ilvl="3" w:tplc="103E55BA">
      <w:start w:val="1"/>
      <w:numFmt w:val="decimal"/>
      <w:lvlText w:val="%4."/>
      <w:lvlJc w:val="left"/>
      <w:pPr>
        <w:ind w:left="2880" w:hanging="360"/>
      </w:pPr>
    </w:lvl>
    <w:lvl w:ilvl="4" w:tplc="2FB82902">
      <w:start w:val="1"/>
      <w:numFmt w:val="lowerLetter"/>
      <w:lvlText w:val="%5."/>
      <w:lvlJc w:val="left"/>
      <w:pPr>
        <w:ind w:left="3600" w:hanging="360"/>
      </w:pPr>
    </w:lvl>
    <w:lvl w:ilvl="5" w:tplc="B756E938">
      <w:start w:val="1"/>
      <w:numFmt w:val="lowerRoman"/>
      <w:lvlText w:val="%6."/>
      <w:lvlJc w:val="right"/>
      <w:pPr>
        <w:ind w:left="4320" w:hanging="180"/>
      </w:pPr>
    </w:lvl>
    <w:lvl w:ilvl="6" w:tplc="A8DC9816">
      <w:start w:val="1"/>
      <w:numFmt w:val="decimal"/>
      <w:lvlText w:val="%7."/>
      <w:lvlJc w:val="left"/>
      <w:pPr>
        <w:ind w:left="5040" w:hanging="360"/>
      </w:pPr>
    </w:lvl>
    <w:lvl w:ilvl="7" w:tplc="27926530">
      <w:start w:val="1"/>
      <w:numFmt w:val="lowerLetter"/>
      <w:lvlText w:val="%8."/>
      <w:lvlJc w:val="left"/>
      <w:pPr>
        <w:ind w:left="5760" w:hanging="360"/>
      </w:pPr>
    </w:lvl>
    <w:lvl w:ilvl="8" w:tplc="6B2A953A">
      <w:start w:val="1"/>
      <w:numFmt w:val="lowerRoman"/>
      <w:lvlText w:val="%9."/>
      <w:lvlJc w:val="right"/>
      <w:pPr>
        <w:ind w:left="6480" w:hanging="180"/>
      </w:pPr>
    </w:lvl>
  </w:abstractNum>
  <w:abstractNum w:abstractNumId="42" w15:restartNumberingAfterBreak="0">
    <w:nsid w:val="0E077550"/>
    <w:multiLevelType w:val="hybridMultilevel"/>
    <w:tmpl w:val="FFFFFFFF"/>
    <w:lvl w:ilvl="0" w:tplc="B9F6BC16">
      <w:start w:val="1"/>
      <w:numFmt w:val="bullet"/>
      <w:lvlText w:val=""/>
      <w:lvlJc w:val="left"/>
      <w:pPr>
        <w:ind w:left="720" w:hanging="360"/>
      </w:pPr>
      <w:rPr>
        <w:rFonts w:ascii="Symbol" w:hAnsi="Symbol" w:hint="default"/>
      </w:rPr>
    </w:lvl>
    <w:lvl w:ilvl="1" w:tplc="3EEA0C08">
      <w:start w:val="1"/>
      <w:numFmt w:val="bullet"/>
      <w:lvlText w:val="o"/>
      <w:lvlJc w:val="left"/>
      <w:pPr>
        <w:ind w:left="1440" w:hanging="360"/>
      </w:pPr>
      <w:rPr>
        <w:rFonts w:ascii="&quot;Courier New&quot;" w:hAnsi="&quot;Courier New&quot;" w:hint="default"/>
      </w:rPr>
    </w:lvl>
    <w:lvl w:ilvl="2" w:tplc="E95E47D4">
      <w:start w:val="1"/>
      <w:numFmt w:val="bullet"/>
      <w:lvlText w:val=""/>
      <w:lvlJc w:val="left"/>
      <w:pPr>
        <w:ind w:left="2160" w:hanging="360"/>
      </w:pPr>
      <w:rPr>
        <w:rFonts w:ascii="Wingdings" w:hAnsi="Wingdings" w:hint="default"/>
      </w:rPr>
    </w:lvl>
    <w:lvl w:ilvl="3" w:tplc="137263E0">
      <w:start w:val="1"/>
      <w:numFmt w:val="bullet"/>
      <w:lvlText w:val=""/>
      <w:lvlJc w:val="left"/>
      <w:pPr>
        <w:ind w:left="2880" w:hanging="360"/>
      </w:pPr>
      <w:rPr>
        <w:rFonts w:ascii="Symbol" w:hAnsi="Symbol" w:hint="default"/>
      </w:rPr>
    </w:lvl>
    <w:lvl w:ilvl="4" w:tplc="261A2852">
      <w:start w:val="1"/>
      <w:numFmt w:val="bullet"/>
      <w:lvlText w:val="o"/>
      <w:lvlJc w:val="left"/>
      <w:pPr>
        <w:ind w:left="3600" w:hanging="360"/>
      </w:pPr>
      <w:rPr>
        <w:rFonts w:ascii="Courier New" w:hAnsi="Courier New" w:hint="default"/>
      </w:rPr>
    </w:lvl>
    <w:lvl w:ilvl="5" w:tplc="5C30F786">
      <w:start w:val="1"/>
      <w:numFmt w:val="bullet"/>
      <w:lvlText w:val=""/>
      <w:lvlJc w:val="left"/>
      <w:pPr>
        <w:ind w:left="4320" w:hanging="360"/>
      </w:pPr>
      <w:rPr>
        <w:rFonts w:ascii="Wingdings" w:hAnsi="Wingdings" w:hint="default"/>
      </w:rPr>
    </w:lvl>
    <w:lvl w:ilvl="6" w:tplc="7DC0A66A">
      <w:start w:val="1"/>
      <w:numFmt w:val="bullet"/>
      <w:lvlText w:val=""/>
      <w:lvlJc w:val="left"/>
      <w:pPr>
        <w:ind w:left="5040" w:hanging="360"/>
      </w:pPr>
      <w:rPr>
        <w:rFonts w:ascii="Symbol" w:hAnsi="Symbol" w:hint="default"/>
      </w:rPr>
    </w:lvl>
    <w:lvl w:ilvl="7" w:tplc="A0766588">
      <w:start w:val="1"/>
      <w:numFmt w:val="bullet"/>
      <w:lvlText w:val="o"/>
      <w:lvlJc w:val="left"/>
      <w:pPr>
        <w:ind w:left="5760" w:hanging="360"/>
      </w:pPr>
      <w:rPr>
        <w:rFonts w:ascii="Courier New" w:hAnsi="Courier New" w:hint="default"/>
      </w:rPr>
    </w:lvl>
    <w:lvl w:ilvl="8" w:tplc="74426A4E">
      <w:start w:val="1"/>
      <w:numFmt w:val="bullet"/>
      <w:lvlText w:val=""/>
      <w:lvlJc w:val="left"/>
      <w:pPr>
        <w:ind w:left="6480" w:hanging="360"/>
      </w:pPr>
      <w:rPr>
        <w:rFonts w:ascii="Wingdings" w:hAnsi="Wingdings" w:hint="default"/>
      </w:rPr>
    </w:lvl>
  </w:abstractNum>
  <w:abstractNum w:abstractNumId="43" w15:restartNumberingAfterBreak="0">
    <w:nsid w:val="0E1D807F"/>
    <w:multiLevelType w:val="hybridMultilevel"/>
    <w:tmpl w:val="FFFFFFFF"/>
    <w:lvl w:ilvl="0" w:tplc="8FFE6B72">
      <w:start w:val="1"/>
      <w:numFmt w:val="bullet"/>
      <w:lvlText w:val="·"/>
      <w:lvlJc w:val="left"/>
      <w:pPr>
        <w:ind w:left="720" w:hanging="360"/>
      </w:pPr>
      <w:rPr>
        <w:rFonts w:ascii="&quot;Times New Roman&quot;,serif" w:hAnsi="&quot;Times New Roman&quot;,serif" w:hint="default"/>
      </w:rPr>
    </w:lvl>
    <w:lvl w:ilvl="1" w:tplc="61043198">
      <w:start w:val="1"/>
      <w:numFmt w:val="bullet"/>
      <w:lvlText w:val="o"/>
      <w:lvlJc w:val="left"/>
      <w:pPr>
        <w:ind w:left="1440" w:hanging="360"/>
      </w:pPr>
      <w:rPr>
        <w:rFonts w:ascii="Courier New" w:hAnsi="Courier New" w:hint="default"/>
      </w:rPr>
    </w:lvl>
    <w:lvl w:ilvl="2" w:tplc="0C64D5FA">
      <w:start w:val="1"/>
      <w:numFmt w:val="bullet"/>
      <w:lvlText w:val=""/>
      <w:lvlJc w:val="left"/>
      <w:pPr>
        <w:ind w:left="2160" w:hanging="360"/>
      </w:pPr>
      <w:rPr>
        <w:rFonts w:ascii="Wingdings" w:hAnsi="Wingdings" w:hint="default"/>
      </w:rPr>
    </w:lvl>
    <w:lvl w:ilvl="3" w:tplc="8B6C1440">
      <w:start w:val="1"/>
      <w:numFmt w:val="bullet"/>
      <w:lvlText w:val=""/>
      <w:lvlJc w:val="left"/>
      <w:pPr>
        <w:ind w:left="2880" w:hanging="360"/>
      </w:pPr>
      <w:rPr>
        <w:rFonts w:ascii="Symbol" w:hAnsi="Symbol" w:hint="default"/>
      </w:rPr>
    </w:lvl>
    <w:lvl w:ilvl="4" w:tplc="2634FE20">
      <w:start w:val="1"/>
      <w:numFmt w:val="bullet"/>
      <w:lvlText w:val="o"/>
      <w:lvlJc w:val="left"/>
      <w:pPr>
        <w:ind w:left="3600" w:hanging="360"/>
      </w:pPr>
      <w:rPr>
        <w:rFonts w:ascii="Courier New" w:hAnsi="Courier New" w:hint="default"/>
      </w:rPr>
    </w:lvl>
    <w:lvl w:ilvl="5" w:tplc="BA7EEB2E">
      <w:start w:val="1"/>
      <w:numFmt w:val="bullet"/>
      <w:lvlText w:val=""/>
      <w:lvlJc w:val="left"/>
      <w:pPr>
        <w:ind w:left="4320" w:hanging="360"/>
      </w:pPr>
      <w:rPr>
        <w:rFonts w:ascii="Wingdings" w:hAnsi="Wingdings" w:hint="default"/>
      </w:rPr>
    </w:lvl>
    <w:lvl w:ilvl="6" w:tplc="F8324CC2">
      <w:start w:val="1"/>
      <w:numFmt w:val="bullet"/>
      <w:lvlText w:val=""/>
      <w:lvlJc w:val="left"/>
      <w:pPr>
        <w:ind w:left="5040" w:hanging="360"/>
      </w:pPr>
      <w:rPr>
        <w:rFonts w:ascii="Symbol" w:hAnsi="Symbol" w:hint="default"/>
      </w:rPr>
    </w:lvl>
    <w:lvl w:ilvl="7" w:tplc="04EE7658">
      <w:start w:val="1"/>
      <w:numFmt w:val="bullet"/>
      <w:lvlText w:val="o"/>
      <w:lvlJc w:val="left"/>
      <w:pPr>
        <w:ind w:left="5760" w:hanging="360"/>
      </w:pPr>
      <w:rPr>
        <w:rFonts w:ascii="Courier New" w:hAnsi="Courier New" w:hint="default"/>
      </w:rPr>
    </w:lvl>
    <w:lvl w:ilvl="8" w:tplc="914450FC">
      <w:start w:val="1"/>
      <w:numFmt w:val="bullet"/>
      <w:lvlText w:val=""/>
      <w:lvlJc w:val="left"/>
      <w:pPr>
        <w:ind w:left="6480" w:hanging="360"/>
      </w:pPr>
      <w:rPr>
        <w:rFonts w:ascii="Wingdings" w:hAnsi="Wingdings" w:hint="default"/>
      </w:rPr>
    </w:lvl>
  </w:abstractNum>
  <w:abstractNum w:abstractNumId="44" w15:restartNumberingAfterBreak="0">
    <w:nsid w:val="0E683BFC"/>
    <w:multiLevelType w:val="hybridMultilevel"/>
    <w:tmpl w:val="FFFFFFFF"/>
    <w:lvl w:ilvl="0" w:tplc="7EB688DC">
      <w:start w:val="1"/>
      <w:numFmt w:val="bullet"/>
      <w:lvlText w:val="o"/>
      <w:lvlJc w:val="left"/>
      <w:pPr>
        <w:ind w:left="1080" w:hanging="360"/>
      </w:pPr>
      <w:rPr>
        <w:rFonts w:ascii="Courier New" w:hAnsi="Courier New" w:hint="default"/>
      </w:rPr>
    </w:lvl>
    <w:lvl w:ilvl="1" w:tplc="CD3E5D0C">
      <w:start w:val="1"/>
      <w:numFmt w:val="bullet"/>
      <w:lvlText w:val="o"/>
      <w:lvlJc w:val="left"/>
      <w:pPr>
        <w:ind w:left="1440" w:hanging="360"/>
      </w:pPr>
      <w:rPr>
        <w:rFonts w:ascii="Courier New" w:hAnsi="Courier New" w:hint="default"/>
      </w:rPr>
    </w:lvl>
    <w:lvl w:ilvl="2" w:tplc="F4FC26C2">
      <w:start w:val="1"/>
      <w:numFmt w:val="bullet"/>
      <w:lvlText w:val=""/>
      <w:lvlJc w:val="left"/>
      <w:pPr>
        <w:ind w:left="2160" w:hanging="360"/>
      </w:pPr>
      <w:rPr>
        <w:rFonts w:ascii="Wingdings" w:hAnsi="Wingdings" w:hint="default"/>
      </w:rPr>
    </w:lvl>
    <w:lvl w:ilvl="3" w:tplc="6BFC401E">
      <w:start w:val="1"/>
      <w:numFmt w:val="bullet"/>
      <w:lvlText w:val=""/>
      <w:lvlJc w:val="left"/>
      <w:pPr>
        <w:ind w:left="2880" w:hanging="360"/>
      </w:pPr>
      <w:rPr>
        <w:rFonts w:ascii="Symbol" w:hAnsi="Symbol" w:hint="default"/>
      </w:rPr>
    </w:lvl>
    <w:lvl w:ilvl="4" w:tplc="2B0A9CDC">
      <w:start w:val="1"/>
      <w:numFmt w:val="bullet"/>
      <w:lvlText w:val="o"/>
      <w:lvlJc w:val="left"/>
      <w:pPr>
        <w:ind w:left="3600" w:hanging="360"/>
      </w:pPr>
      <w:rPr>
        <w:rFonts w:ascii="Courier New" w:hAnsi="Courier New" w:hint="default"/>
      </w:rPr>
    </w:lvl>
    <w:lvl w:ilvl="5" w:tplc="2918F2BE">
      <w:start w:val="1"/>
      <w:numFmt w:val="bullet"/>
      <w:lvlText w:val=""/>
      <w:lvlJc w:val="left"/>
      <w:pPr>
        <w:ind w:left="4320" w:hanging="360"/>
      </w:pPr>
      <w:rPr>
        <w:rFonts w:ascii="Wingdings" w:hAnsi="Wingdings" w:hint="default"/>
      </w:rPr>
    </w:lvl>
    <w:lvl w:ilvl="6" w:tplc="2ACAD418">
      <w:start w:val="1"/>
      <w:numFmt w:val="bullet"/>
      <w:lvlText w:val=""/>
      <w:lvlJc w:val="left"/>
      <w:pPr>
        <w:ind w:left="5040" w:hanging="360"/>
      </w:pPr>
      <w:rPr>
        <w:rFonts w:ascii="Symbol" w:hAnsi="Symbol" w:hint="default"/>
      </w:rPr>
    </w:lvl>
    <w:lvl w:ilvl="7" w:tplc="2CB8DCBA">
      <w:start w:val="1"/>
      <w:numFmt w:val="bullet"/>
      <w:lvlText w:val="o"/>
      <w:lvlJc w:val="left"/>
      <w:pPr>
        <w:ind w:left="5760" w:hanging="360"/>
      </w:pPr>
      <w:rPr>
        <w:rFonts w:ascii="Courier New" w:hAnsi="Courier New" w:hint="default"/>
      </w:rPr>
    </w:lvl>
    <w:lvl w:ilvl="8" w:tplc="6EF88DC4">
      <w:start w:val="1"/>
      <w:numFmt w:val="bullet"/>
      <w:lvlText w:val=""/>
      <w:lvlJc w:val="left"/>
      <w:pPr>
        <w:ind w:left="6480" w:hanging="360"/>
      </w:pPr>
      <w:rPr>
        <w:rFonts w:ascii="Wingdings" w:hAnsi="Wingdings" w:hint="default"/>
      </w:rPr>
    </w:lvl>
  </w:abstractNum>
  <w:abstractNum w:abstractNumId="45" w15:restartNumberingAfterBreak="0">
    <w:nsid w:val="0F0CAF05"/>
    <w:multiLevelType w:val="hybridMultilevel"/>
    <w:tmpl w:val="FFFFFFFF"/>
    <w:lvl w:ilvl="0" w:tplc="B00C277E">
      <w:start w:val="1"/>
      <w:numFmt w:val="bullet"/>
      <w:lvlText w:val=""/>
      <w:lvlJc w:val="left"/>
      <w:pPr>
        <w:ind w:left="720" w:hanging="360"/>
      </w:pPr>
      <w:rPr>
        <w:rFonts w:ascii="Symbol" w:hAnsi="Symbol" w:hint="default"/>
      </w:rPr>
    </w:lvl>
    <w:lvl w:ilvl="1" w:tplc="96142172">
      <w:start w:val="1"/>
      <w:numFmt w:val="bullet"/>
      <w:lvlText w:val="o"/>
      <w:lvlJc w:val="left"/>
      <w:pPr>
        <w:ind w:left="1440" w:hanging="360"/>
      </w:pPr>
      <w:rPr>
        <w:rFonts w:ascii="Courier New" w:hAnsi="Courier New" w:hint="default"/>
      </w:rPr>
    </w:lvl>
    <w:lvl w:ilvl="2" w:tplc="7B42FE92">
      <w:start w:val="1"/>
      <w:numFmt w:val="bullet"/>
      <w:lvlText w:val=""/>
      <w:lvlJc w:val="left"/>
      <w:pPr>
        <w:ind w:left="2160" w:hanging="360"/>
      </w:pPr>
      <w:rPr>
        <w:rFonts w:ascii="Wingdings" w:hAnsi="Wingdings" w:hint="default"/>
      </w:rPr>
    </w:lvl>
    <w:lvl w:ilvl="3" w:tplc="B8CE32D0">
      <w:start w:val="1"/>
      <w:numFmt w:val="bullet"/>
      <w:lvlText w:val=""/>
      <w:lvlJc w:val="left"/>
      <w:pPr>
        <w:ind w:left="2880" w:hanging="360"/>
      </w:pPr>
      <w:rPr>
        <w:rFonts w:ascii="Symbol" w:hAnsi="Symbol" w:hint="default"/>
      </w:rPr>
    </w:lvl>
    <w:lvl w:ilvl="4" w:tplc="CA06C3EE">
      <w:start w:val="1"/>
      <w:numFmt w:val="bullet"/>
      <w:lvlText w:val="o"/>
      <w:lvlJc w:val="left"/>
      <w:pPr>
        <w:ind w:left="3600" w:hanging="360"/>
      </w:pPr>
      <w:rPr>
        <w:rFonts w:ascii="Courier New" w:hAnsi="Courier New" w:hint="default"/>
      </w:rPr>
    </w:lvl>
    <w:lvl w:ilvl="5" w:tplc="F31E8428">
      <w:start w:val="1"/>
      <w:numFmt w:val="bullet"/>
      <w:lvlText w:val=""/>
      <w:lvlJc w:val="left"/>
      <w:pPr>
        <w:ind w:left="4320" w:hanging="360"/>
      </w:pPr>
      <w:rPr>
        <w:rFonts w:ascii="Wingdings" w:hAnsi="Wingdings" w:hint="default"/>
      </w:rPr>
    </w:lvl>
    <w:lvl w:ilvl="6" w:tplc="5B76597C">
      <w:start w:val="1"/>
      <w:numFmt w:val="bullet"/>
      <w:lvlText w:val=""/>
      <w:lvlJc w:val="left"/>
      <w:pPr>
        <w:ind w:left="5040" w:hanging="360"/>
      </w:pPr>
      <w:rPr>
        <w:rFonts w:ascii="Symbol" w:hAnsi="Symbol" w:hint="default"/>
      </w:rPr>
    </w:lvl>
    <w:lvl w:ilvl="7" w:tplc="6D247AF6">
      <w:start w:val="1"/>
      <w:numFmt w:val="bullet"/>
      <w:lvlText w:val="o"/>
      <w:lvlJc w:val="left"/>
      <w:pPr>
        <w:ind w:left="5760" w:hanging="360"/>
      </w:pPr>
      <w:rPr>
        <w:rFonts w:ascii="Courier New" w:hAnsi="Courier New" w:hint="default"/>
      </w:rPr>
    </w:lvl>
    <w:lvl w:ilvl="8" w:tplc="B8D44D7A">
      <w:start w:val="1"/>
      <w:numFmt w:val="bullet"/>
      <w:lvlText w:val=""/>
      <w:lvlJc w:val="left"/>
      <w:pPr>
        <w:ind w:left="6480" w:hanging="360"/>
      </w:pPr>
      <w:rPr>
        <w:rFonts w:ascii="Wingdings" w:hAnsi="Wingdings" w:hint="default"/>
      </w:rPr>
    </w:lvl>
  </w:abstractNum>
  <w:abstractNum w:abstractNumId="46" w15:restartNumberingAfterBreak="0">
    <w:nsid w:val="0F1558DA"/>
    <w:multiLevelType w:val="hybridMultilevel"/>
    <w:tmpl w:val="7C4AA3F2"/>
    <w:lvl w:ilvl="0" w:tplc="0F4058B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0F56786F"/>
    <w:multiLevelType w:val="hybridMultilevel"/>
    <w:tmpl w:val="0B0C2426"/>
    <w:lvl w:ilvl="0" w:tplc="E9E807A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0FE04B5E"/>
    <w:multiLevelType w:val="hybridMultilevel"/>
    <w:tmpl w:val="FFFFFFFF"/>
    <w:lvl w:ilvl="0" w:tplc="AFFE2992">
      <w:start w:val="2"/>
      <w:numFmt w:val="lowerLetter"/>
      <w:lvlText w:val="%1)"/>
      <w:lvlJc w:val="left"/>
      <w:pPr>
        <w:ind w:left="720" w:hanging="360"/>
      </w:pPr>
    </w:lvl>
    <w:lvl w:ilvl="1" w:tplc="3D10E650">
      <w:start w:val="1"/>
      <w:numFmt w:val="lowerLetter"/>
      <w:lvlText w:val="%2."/>
      <w:lvlJc w:val="left"/>
      <w:pPr>
        <w:ind w:left="1440" w:hanging="360"/>
      </w:pPr>
    </w:lvl>
    <w:lvl w:ilvl="2" w:tplc="3B2C6C20">
      <w:start w:val="1"/>
      <w:numFmt w:val="lowerRoman"/>
      <w:lvlText w:val="%3."/>
      <w:lvlJc w:val="right"/>
      <w:pPr>
        <w:ind w:left="2160" w:hanging="180"/>
      </w:pPr>
    </w:lvl>
    <w:lvl w:ilvl="3" w:tplc="98B61BA6">
      <w:start w:val="1"/>
      <w:numFmt w:val="decimal"/>
      <w:lvlText w:val="%4."/>
      <w:lvlJc w:val="left"/>
      <w:pPr>
        <w:ind w:left="2880" w:hanging="360"/>
      </w:pPr>
    </w:lvl>
    <w:lvl w:ilvl="4" w:tplc="2FCCED6A">
      <w:start w:val="1"/>
      <w:numFmt w:val="lowerLetter"/>
      <w:lvlText w:val="%5."/>
      <w:lvlJc w:val="left"/>
      <w:pPr>
        <w:ind w:left="3600" w:hanging="360"/>
      </w:pPr>
    </w:lvl>
    <w:lvl w:ilvl="5" w:tplc="B0423F60">
      <w:start w:val="1"/>
      <w:numFmt w:val="lowerRoman"/>
      <w:lvlText w:val="%6."/>
      <w:lvlJc w:val="right"/>
      <w:pPr>
        <w:ind w:left="4320" w:hanging="180"/>
      </w:pPr>
    </w:lvl>
    <w:lvl w:ilvl="6" w:tplc="9CEA49F0">
      <w:start w:val="1"/>
      <w:numFmt w:val="decimal"/>
      <w:lvlText w:val="%7."/>
      <w:lvlJc w:val="left"/>
      <w:pPr>
        <w:ind w:left="5040" w:hanging="360"/>
      </w:pPr>
    </w:lvl>
    <w:lvl w:ilvl="7" w:tplc="D7BE54DA">
      <w:start w:val="1"/>
      <w:numFmt w:val="lowerLetter"/>
      <w:lvlText w:val="%8."/>
      <w:lvlJc w:val="left"/>
      <w:pPr>
        <w:ind w:left="5760" w:hanging="360"/>
      </w:pPr>
    </w:lvl>
    <w:lvl w:ilvl="8" w:tplc="877ACA46">
      <w:start w:val="1"/>
      <w:numFmt w:val="lowerRoman"/>
      <w:lvlText w:val="%9."/>
      <w:lvlJc w:val="right"/>
      <w:pPr>
        <w:ind w:left="6480" w:hanging="180"/>
      </w:pPr>
    </w:lvl>
  </w:abstractNum>
  <w:abstractNum w:abstractNumId="49" w15:restartNumberingAfterBreak="0">
    <w:nsid w:val="10647ECF"/>
    <w:multiLevelType w:val="hybridMultilevel"/>
    <w:tmpl w:val="83EC65A6"/>
    <w:lvl w:ilvl="0" w:tplc="FEA4A57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1073B903"/>
    <w:multiLevelType w:val="hybridMultilevel"/>
    <w:tmpl w:val="AD60DA06"/>
    <w:lvl w:ilvl="0" w:tplc="B8681A66">
      <w:start w:val="1"/>
      <w:numFmt w:val="bullet"/>
      <w:lvlText w:val="·"/>
      <w:lvlJc w:val="left"/>
      <w:pPr>
        <w:ind w:left="720" w:hanging="360"/>
      </w:pPr>
      <w:rPr>
        <w:rFonts w:ascii="Symbol" w:hAnsi="Symbol" w:hint="default"/>
      </w:rPr>
    </w:lvl>
    <w:lvl w:ilvl="1" w:tplc="06623CDA">
      <w:start w:val="1"/>
      <w:numFmt w:val="bullet"/>
      <w:lvlText w:val="o"/>
      <w:lvlJc w:val="left"/>
      <w:pPr>
        <w:ind w:left="1440" w:hanging="360"/>
      </w:pPr>
      <w:rPr>
        <w:rFonts w:ascii="Courier New" w:hAnsi="Courier New" w:hint="default"/>
      </w:rPr>
    </w:lvl>
    <w:lvl w:ilvl="2" w:tplc="D62CF5A4">
      <w:start w:val="1"/>
      <w:numFmt w:val="bullet"/>
      <w:lvlText w:val=""/>
      <w:lvlJc w:val="left"/>
      <w:pPr>
        <w:ind w:left="2160" w:hanging="360"/>
      </w:pPr>
      <w:rPr>
        <w:rFonts w:ascii="Wingdings" w:hAnsi="Wingdings" w:hint="default"/>
      </w:rPr>
    </w:lvl>
    <w:lvl w:ilvl="3" w:tplc="1AE65A00">
      <w:start w:val="1"/>
      <w:numFmt w:val="bullet"/>
      <w:lvlText w:val=""/>
      <w:lvlJc w:val="left"/>
      <w:pPr>
        <w:ind w:left="2880" w:hanging="360"/>
      </w:pPr>
      <w:rPr>
        <w:rFonts w:ascii="Symbol" w:hAnsi="Symbol" w:hint="default"/>
      </w:rPr>
    </w:lvl>
    <w:lvl w:ilvl="4" w:tplc="23FE4C96">
      <w:start w:val="1"/>
      <w:numFmt w:val="bullet"/>
      <w:lvlText w:val="o"/>
      <w:lvlJc w:val="left"/>
      <w:pPr>
        <w:ind w:left="3600" w:hanging="360"/>
      </w:pPr>
      <w:rPr>
        <w:rFonts w:ascii="Courier New" w:hAnsi="Courier New" w:hint="default"/>
      </w:rPr>
    </w:lvl>
    <w:lvl w:ilvl="5" w:tplc="711835FA">
      <w:start w:val="1"/>
      <w:numFmt w:val="bullet"/>
      <w:lvlText w:val=""/>
      <w:lvlJc w:val="left"/>
      <w:pPr>
        <w:ind w:left="4320" w:hanging="360"/>
      </w:pPr>
      <w:rPr>
        <w:rFonts w:ascii="Wingdings" w:hAnsi="Wingdings" w:hint="default"/>
      </w:rPr>
    </w:lvl>
    <w:lvl w:ilvl="6" w:tplc="1CB0EE22">
      <w:start w:val="1"/>
      <w:numFmt w:val="bullet"/>
      <w:lvlText w:val=""/>
      <w:lvlJc w:val="left"/>
      <w:pPr>
        <w:ind w:left="5040" w:hanging="360"/>
      </w:pPr>
      <w:rPr>
        <w:rFonts w:ascii="Symbol" w:hAnsi="Symbol" w:hint="default"/>
      </w:rPr>
    </w:lvl>
    <w:lvl w:ilvl="7" w:tplc="32C4DB34">
      <w:start w:val="1"/>
      <w:numFmt w:val="bullet"/>
      <w:lvlText w:val="o"/>
      <w:lvlJc w:val="left"/>
      <w:pPr>
        <w:ind w:left="5760" w:hanging="360"/>
      </w:pPr>
      <w:rPr>
        <w:rFonts w:ascii="Courier New" w:hAnsi="Courier New" w:hint="default"/>
      </w:rPr>
    </w:lvl>
    <w:lvl w:ilvl="8" w:tplc="F4340AF8">
      <w:start w:val="1"/>
      <w:numFmt w:val="bullet"/>
      <w:lvlText w:val=""/>
      <w:lvlJc w:val="left"/>
      <w:pPr>
        <w:ind w:left="6480" w:hanging="360"/>
      </w:pPr>
      <w:rPr>
        <w:rFonts w:ascii="Wingdings" w:hAnsi="Wingdings" w:hint="default"/>
      </w:rPr>
    </w:lvl>
  </w:abstractNum>
  <w:abstractNum w:abstractNumId="51" w15:restartNumberingAfterBreak="0">
    <w:nsid w:val="11A89A3A"/>
    <w:multiLevelType w:val="hybridMultilevel"/>
    <w:tmpl w:val="FFFFFFFF"/>
    <w:lvl w:ilvl="0" w:tplc="FC722944">
      <w:start w:val="1"/>
      <w:numFmt w:val="bullet"/>
      <w:lvlText w:val="%1."/>
      <w:lvlJc w:val="left"/>
      <w:pPr>
        <w:ind w:left="720" w:hanging="360"/>
      </w:pPr>
      <w:rPr>
        <w:rFonts w:ascii="Times New Roman" w:hAnsi="Times New Roman" w:hint="default"/>
      </w:rPr>
    </w:lvl>
    <w:lvl w:ilvl="1" w:tplc="6F62853E">
      <w:start w:val="1"/>
      <w:numFmt w:val="bullet"/>
      <w:lvlText w:val="o"/>
      <w:lvlJc w:val="left"/>
      <w:pPr>
        <w:ind w:left="1440" w:hanging="360"/>
      </w:pPr>
      <w:rPr>
        <w:rFonts w:ascii="Courier New" w:hAnsi="Courier New" w:hint="default"/>
      </w:rPr>
    </w:lvl>
    <w:lvl w:ilvl="2" w:tplc="2E528878">
      <w:start w:val="1"/>
      <w:numFmt w:val="bullet"/>
      <w:lvlText w:val=""/>
      <w:lvlJc w:val="left"/>
      <w:pPr>
        <w:ind w:left="2160" w:hanging="360"/>
      </w:pPr>
      <w:rPr>
        <w:rFonts w:ascii="Wingdings" w:hAnsi="Wingdings" w:hint="default"/>
      </w:rPr>
    </w:lvl>
    <w:lvl w:ilvl="3" w:tplc="EBD4E98C">
      <w:start w:val="1"/>
      <w:numFmt w:val="bullet"/>
      <w:lvlText w:val=""/>
      <w:lvlJc w:val="left"/>
      <w:pPr>
        <w:ind w:left="2880" w:hanging="360"/>
      </w:pPr>
      <w:rPr>
        <w:rFonts w:ascii="Symbol" w:hAnsi="Symbol" w:hint="default"/>
      </w:rPr>
    </w:lvl>
    <w:lvl w:ilvl="4" w:tplc="227C6F7A">
      <w:start w:val="1"/>
      <w:numFmt w:val="bullet"/>
      <w:lvlText w:val="o"/>
      <w:lvlJc w:val="left"/>
      <w:pPr>
        <w:ind w:left="3600" w:hanging="360"/>
      </w:pPr>
      <w:rPr>
        <w:rFonts w:ascii="Courier New" w:hAnsi="Courier New" w:hint="default"/>
      </w:rPr>
    </w:lvl>
    <w:lvl w:ilvl="5" w:tplc="3674472C">
      <w:start w:val="1"/>
      <w:numFmt w:val="bullet"/>
      <w:lvlText w:val=""/>
      <w:lvlJc w:val="left"/>
      <w:pPr>
        <w:ind w:left="4320" w:hanging="360"/>
      </w:pPr>
      <w:rPr>
        <w:rFonts w:ascii="Wingdings" w:hAnsi="Wingdings" w:hint="default"/>
      </w:rPr>
    </w:lvl>
    <w:lvl w:ilvl="6" w:tplc="AEFCAD54">
      <w:start w:val="1"/>
      <w:numFmt w:val="bullet"/>
      <w:lvlText w:val=""/>
      <w:lvlJc w:val="left"/>
      <w:pPr>
        <w:ind w:left="5040" w:hanging="360"/>
      </w:pPr>
      <w:rPr>
        <w:rFonts w:ascii="Symbol" w:hAnsi="Symbol" w:hint="default"/>
      </w:rPr>
    </w:lvl>
    <w:lvl w:ilvl="7" w:tplc="01580CEE">
      <w:start w:val="1"/>
      <w:numFmt w:val="bullet"/>
      <w:lvlText w:val="o"/>
      <w:lvlJc w:val="left"/>
      <w:pPr>
        <w:ind w:left="5760" w:hanging="360"/>
      </w:pPr>
      <w:rPr>
        <w:rFonts w:ascii="Courier New" w:hAnsi="Courier New" w:hint="default"/>
      </w:rPr>
    </w:lvl>
    <w:lvl w:ilvl="8" w:tplc="493E53B6">
      <w:start w:val="1"/>
      <w:numFmt w:val="bullet"/>
      <w:lvlText w:val=""/>
      <w:lvlJc w:val="left"/>
      <w:pPr>
        <w:ind w:left="6480" w:hanging="360"/>
      </w:pPr>
      <w:rPr>
        <w:rFonts w:ascii="Wingdings" w:hAnsi="Wingdings" w:hint="default"/>
      </w:rPr>
    </w:lvl>
  </w:abstractNum>
  <w:abstractNum w:abstractNumId="52" w15:restartNumberingAfterBreak="0">
    <w:nsid w:val="11E95C1A"/>
    <w:multiLevelType w:val="hybridMultilevel"/>
    <w:tmpl w:val="E95E4FAC"/>
    <w:lvl w:ilvl="0" w:tplc="1809000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25E4451"/>
    <w:multiLevelType w:val="hybridMultilevel"/>
    <w:tmpl w:val="2F68EF5C"/>
    <w:lvl w:ilvl="0" w:tplc="18090001">
      <w:start w:val="1"/>
      <w:numFmt w:val="bullet"/>
      <w:lvlText w:val=""/>
      <w:lvlJc w:val="left"/>
      <w:pPr>
        <w:ind w:left="771" w:hanging="360"/>
      </w:pPr>
      <w:rPr>
        <w:rFonts w:ascii="Symbol" w:hAnsi="Symbol" w:hint="default"/>
      </w:rPr>
    </w:lvl>
    <w:lvl w:ilvl="1" w:tplc="18090003" w:tentative="1">
      <w:start w:val="1"/>
      <w:numFmt w:val="bullet"/>
      <w:lvlText w:val="o"/>
      <w:lvlJc w:val="left"/>
      <w:pPr>
        <w:ind w:left="1491" w:hanging="360"/>
      </w:pPr>
      <w:rPr>
        <w:rFonts w:ascii="Courier New" w:hAnsi="Courier New" w:cs="Courier New" w:hint="default"/>
      </w:rPr>
    </w:lvl>
    <w:lvl w:ilvl="2" w:tplc="18090005" w:tentative="1">
      <w:start w:val="1"/>
      <w:numFmt w:val="bullet"/>
      <w:lvlText w:val=""/>
      <w:lvlJc w:val="left"/>
      <w:pPr>
        <w:ind w:left="2211" w:hanging="360"/>
      </w:pPr>
      <w:rPr>
        <w:rFonts w:ascii="Wingdings" w:hAnsi="Wingdings" w:hint="default"/>
      </w:rPr>
    </w:lvl>
    <w:lvl w:ilvl="3" w:tplc="18090001" w:tentative="1">
      <w:start w:val="1"/>
      <w:numFmt w:val="bullet"/>
      <w:lvlText w:val=""/>
      <w:lvlJc w:val="left"/>
      <w:pPr>
        <w:ind w:left="2931" w:hanging="360"/>
      </w:pPr>
      <w:rPr>
        <w:rFonts w:ascii="Symbol" w:hAnsi="Symbol" w:hint="default"/>
      </w:rPr>
    </w:lvl>
    <w:lvl w:ilvl="4" w:tplc="18090003" w:tentative="1">
      <w:start w:val="1"/>
      <w:numFmt w:val="bullet"/>
      <w:lvlText w:val="o"/>
      <w:lvlJc w:val="left"/>
      <w:pPr>
        <w:ind w:left="3651" w:hanging="360"/>
      </w:pPr>
      <w:rPr>
        <w:rFonts w:ascii="Courier New" w:hAnsi="Courier New" w:cs="Courier New" w:hint="default"/>
      </w:rPr>
    </w:lvl>
    <w:lvl w:ilvl="5" w:tplc="18090005" w:tentative="1">
      <w:start w:val="1"/>
      <w:numFmt w:val="bullet"/>
      <w:lvlText w:val=""/>
      <w:lvlJc w:val="left"/>
      <w:pPr>
        <w:ind w:left="4371" w:hanging="360"/>
      </w:pPr>
      <w:rPr>
        <w:rFonts w:ascii="Wingdings" w:hAnsi="Wingdings" w:hint="default"/>
      </w:rPr>
    </w:lvl>
    <w:lvl w:ilvl="6" w:tplc="18090001" w:tentative="1">
      <w:start w:val="1"/>
      <w:numFmt w:val="bullet"/>
      <w:lvlText w:val=""/>
      <w:lvlJc w:val="left"/>
      <w:pPr>
        <w:ind w:left="5091" w:hanging="360"/>
      </w:pPr>
      <w:rPr>
        <w:rFonts w:ascii="Symbol" w:hAnsi="Symbol" w:hint="default"/>
      </w:rPr>
    </w:lvl>
    <w:lvl w:ilvl="7" w:tplc="18090003" w:tentative="1">
      <w:start w:val="1"/>
      <w:numFmt w:val="bullet"/>
      <w:lvlText w:val="o"/>
      <w:lvlJc w:val="left"/>
      <w:pPr>
        <w:ind w:left="5811" w:hanging="360"/>
      </w:pPr>
      <w:rPr>
        <w:rFonts w:ascii="Courier New" w:hAnsi="Courier New" w:cs="Courier New" w:hint="default"/>
      </w:rPr>
    </w:lvl>
    <w:lvl w:ilvl="8" w:tplc="18090005" w:tentative="1">
      <w:start w:val="1"/>
      <w:numFmt w:val="bullet"/>
      <w:lvlText w:val=""/>
      <w:lvlJc w:val="left"/>
      <w:pPr>
        <w:ind w:left="6531" w:hanging="360"/>
      </w:pPr>
      <w:rPr>
        <w:rFonts w:ascii="Wingdings" w:hAnsi="Wingdings" w:hint="default"/>
      </w:rPr>
    </w:lvl>
  </w:abstractNum>
  <w:abstractNum w:abstractNumId="54" w15:restartNumberingAfterBreak="0">
    <w:nsid w:val="12604784"/>
    <w:multiLevelType w:val="hybridMultilevel"/>
    <w:tmpl w:val="FFFFFFFF"/>
    <w:lvl w:ilvl="0" w:tplc="C7E8B172">
      <w:start w:val="2"/>
      <w:numFmt w:val="lowerLetter"/>
      <w:lvlText w:val="%1."/>
      <w:lvlJc w:val="left"/>
      <w:pPr>
        <w:ind w:left="720" w:hanging="360"/>
      </w:pPr>
    </w:lvl>
    <w:lvl w:ilvl="1" w:tplc="E5D6017E">
      <w:start w:val="1"/>
      <w:numFmt w:val="lowerLetter"/>
      <w:lvlText w:val="%2."/>
      <w:lvlJc w:val="left"/>
      <w:pPr>
        <w:ind w:left="1440" w:hanging="360"/>
      </w:pPr>
    </w:lvl>
    <w:lvl w:ilvl="2" w:tplc="90BC1094">
      <w:start w:val="1"/>
      <w:numFmt w:val="lowerRoman"/>
      <w:lvlText w:val="%3."/>
      <w:lvlJc w:val="right"/>
      <w:pPr>
        <w:ind w:left="2160" w:hanging="180"/>
      </w:pPr>
    </w:lvl>
    <w:lvl w:ilvl="3" w:tplc="3B269014">
      <w:start w:val="1"/>
      <w:numFmt w:val="decimal"/>
      <w:lvlText w:val="%4."/>
      <w:lvlJc w:val="left"/>
      <w:pPr>
        <w:ind w:left="2880" w:hanging="360"/>
      </w:pPr>
    </w:lvl>
    <w:lvl w:ilvl="4" w:tplc="C4941328">
      <w:start w:val="1"/>
      <w:numFmt w:val="lowerLetter"/>
      <w:lvlText w:val="%5."/>
      <w:lvlJc w:val="left"/>
      <w:pPr>
        <w:ind w:left="3600" w:hanging="360"/>
      </w:pPr>
    </w:lvl>
    <w:lvl w:ilvl="5" w:tplc="50483656">
      <w:start w:val="1"/>
      <w:numFmt w:val="lowerRoman"/>
      <w:lvlText w:val="%6."/>
      <w:lvlJc w:val="right"/>
      <w:pPr>
        <w:ind w:left="4320" w:hanging="180"/>
      </w:pPr>
    </w:lvl>
    <w:lvl w:ilvl="6" w:tplc="FC4A3D88">
      <w:start w:val="1"/>
      <w:numFmt w:val="decimal"/>
      <w:lvlText w:val="%7."/>
      <w:lvlJc w:val="left"/>
      <w:pPr>
        <w:ind w:left="5040" w:hanging="360"/>
      </w:pPr>
    </w:lvl>
    <w:lvl w:ilvl="7" w:tplc="FF34FBAC">
      <w:start w:val="1"/>
      <w:numFmt w:val="lowerLetter"/>
      <w:lvlText w:val="%8."/>
      <w:lvlJc w:val="left"/>
      <w:pPr>
        <w:ind w:left="5760" w:hanging="360"/>
      </w:pPr>
    </w:lvl>
    <w:lvl w:ilvl="8" w:tplc="A0CE6EF0">
      <w:start w:val="1"/>
      <w:numFmt w:val="lowerRoman"/>
      <w:lvlText w:val="%9."/>
      <w:lvlJc w:val="right"/>
      <w:pPr>
        <w:ind w:left="6480" w:hanging="180"/>
      </w:pPr>
    </w:lvl>
  </w:abstractNum>
  <w:abstractNum w:abstractNumId="55" w15:restartNumberingAfterBreak="0">
    <w:nsid w:val="128734F2"/>
    <w:multiLevelType w:val="hybridMultilevel"/>
    <w:tmpl w:val="FFFFFFFF"/>
    <w:lvl w:ilvl="0" w:tplc="EA5A3E20">
      <w:start w:val="1"/>
      <w:numFmt w:val="bullet"/>
      <w:lvlText w:val=""/>
      <w:lvlJc w:val="left"/>
      <w:pPr>
        <w:ind w:left="720" w:hanging="360"/>
      </w:pPr>
      <w:rPr>
        <w:rFonts w:ascii="Symbol" w:hAnsi="Symbol" w:hint="default"/>
      </w:rPr>
    </w:lvl>
    <w:lvl w:ilvl="1" w:tplc="B3203FB0">
      <w:start w:val="1"/>
      <w:numFmt w:val="bullet"/>
      <w:lvlText w:val="o"/>
      <w:lvlJc w:val="left"/>
      <w:pPr>
        <w:ind w:left="1440" w:hanging="360"/>
      </w:pPr>
      <w:rPr>
        <w:rFonts w:ascii="Courier New" w:hAnsi="Courier New" w:hint="default"/>
      </w:rPr>
    </w:lvl>
    <w:lvl w:ilvl="2" w:tplc="C3A2D50A">
      <w:start w:val="1"/>
      <w:numFmt w:val="bullet"/>
      <w:lvlText w:val=""/>
      <w:lvlJc w:val="left"/>
      <w:pPr>
        <w:ind w:left="2160" w:hanging="360"/>
      </w:pPr>
      <w:rPr>
        <w:rFonts w:ascii="Wingdings" w:hAnsi="Wingdings" w:hint="default"/>
      </w:rPr>
    </w:lvl>
    <w:lvl w:ilvl="3" w:tplc="6F64C862">
      <w:start w:val="1"/>
      <w:numFmt w:val="bullet"/>
      <w:lvlText w:val=""/>
      <w:lvlJc w:val="left"/>
      <w:pPr>
        <w:ind w:left="2880" w:hanging="360"/>
      </w:pPr>
      <w:rPr>
        <w:rFonts w:ascii="Symbol" w:hAnsi="Symbol" w:hint="default"/>
      </w:rPr>
    </w:lvl>
    <w:lvl w:ilvl="4" w:tplc="01AEE770">
      <w:start w:val="1"/>
      <w:numFmt w:val="bullet"/>
      <w:lvlText w:val="o"/>
      <w:lvlJc w:val="left"/>
      <w:pPr>
        <w:ind w:left="3600" w:hanging="360"/>
      </w:pPr>
      <w:rPr>
        <w:rFonts w:ascii="Courier New" w:hAnsi="Courier New" w:hint="default"/>
      </w:rPr>
    </w:lvl>
    <w:lvl w:ilvl="5" w:tplc="5CA8F604">
      <w:start w:val="1"/>
      <w:numFmt w:val="bullet"/>
      <w:lvlText w:val=""/>
      <w:lvlJc w:val="left"/>
      <w:pPr>
        <w:ind w:left="4320" w:hanging="360"/>
      </w:pPr>
      <w:rPr>
        <w:rFonts w:ascii="Wingdings" w:hAnsi="Wingdings" w:hint="default"/>
      </w:rPr>
    </w:lvl>
    <w:lvl w:ilvl="6" w:tplc="784C9D52">
      <w:start w:val="1"/>
      <w:numFmt w:val="bullet"/>
      <w:lvlText w:val=""/>
      <w:lvlJc w:val="left"/>
      <w:pPr>
        <w:ind w:left="5040" w:hanging="360"/>
      </w:pPr>
      <w:rPr>
        <w:rFonts w:ascii="Symbol" w:hAnsi="Symbol" w:hint="default"/>
      </w:rPr>
    </w:lvl>
    <w:lvl w:ilvl="7" w:tplc="D34A6D2A">
      <w:start w:val="1"/>
      <w:numFmt w:val="bullet"/>
      <w:lvlText w:val="o"/>
      <w:lvlJc w:val="left"/>
      <w:pPr>
        <w:ind w:left="5760" w:hanging="360"/>
      </w:pPr>
      <w:rPr>
        <w:rFonts w:ascii="Courier New" w:hAnsi="Courier New" w:hint="default"/>
      </w:rPr>
    </w:lvl>
    <w:lvl w:ilvl="8" w:tplc="82927F90">
      <w:start w:val="1"/>
      <w:numFmt w:val="bullet"/>
      <w:lvlText w:val=""/>
      <w:lvlJc w:val="left"/>
      <w:pPr>
        <w:ind w:left="6480" w:hanging="360"/>
      </w:pPr>
      <w:rPr>
        <w:rFonts w:ascii="Wingdings" w:hAnsi="Wingdings" w:hint="default"/>
      </w:rPr>
    </w:lvl>
  </w:abstractNum>
  <w:abstractNum w:abstractNumId="56" w15:restartNumberingAfterBreak="0">
    <w:nsid w:val="12E12773"/>
    <w:multiLevelType w:val="hybridMultilevel"/>
    <w:tmpl w:val="9BDE3512"/>
    <w:lvl w:ilvl="0" w:tplc="6F885748">
      <w:start w:val="1"/>
      <w:numFmt w:val="lowerLetter"/>
      <w:lvlText w:val="%1)"/>
      <w:lvlJc w:val="left"/>
      <w:pPr>
        <w:ind w:left="720" w:hanging="360"/>
      </w:pPr>
    </w:lvl>
    <w:lvl w:ilvl="1" w:tplc="E13414CC">
      <w:start w:val="1"/>
      <w:numFmt w:val="lowerLetter"/>
      <w:lvlText w:val="%2."/>
      <w:lvlJc w:val="left"/>
      <w:pPr>
        <w:ind w:left="1440" w:hanging="360"/>
      </w:pPr>
    </w:lvl>
    <w:lvl w:ilvl="2" w:tplc="5E9AC476">
      <w:start w:val="1"/>
      <w:numFmt w:val="lowerRoman"/>
      <w:lvlText w:val="%3."/>
      <w:lvlJc w:val="right"/>
      <w:pPr>
        <w:ind w:left="2160" w:hanging="180"/>
      </w:pPr>
    </w:lvl>
    <w:lvl w:ilvl="3" w:tplc="81DA314C">
      <w:start w:val="1"/>
      <w:numFmt w:val="decimal"/>
      <w:lvlText w:val="%4."/>
      <w:lvlJc w:val="left"/>
      <w:pPr>
        <w:ind w:left="2880" w:hanging="360"/>
      </w:pPr>
    </w:lvl>
    <w:lvl w:ilvl="4" w:tplc="7CDC7A58">
      <w:start w:val="1"/>
      <w:numFmt w:val="lowerLetter"/>
      <w:lvlText w:val="%5."/>
      <w:lvlJc w:val="left"/>
      <w:pPr>
        <w:ind w:left="3600" w:hanging="360"/>
      </w:pPr>
    </w:lvl>
    <w:lvl w:ilvl="5" w:tplc="28C6BD1E">
      <w:start w:val="1"/>
      <w:numFmt w:val="lowerRoman"/>
      <w:lvlText w:val="%6."/>
      <w:lvlJc w:val="right"/>
      <w:pPr>
        <w:ind w:left="4320" w:hanging="180"/>
      </w:pPr>
    </w:lvl>
    <w:lvl w:ilvl="6" w:tplc="9A3ECC90">
      <w:start w:val="1"/>
      <w:numFmt w:val="decimal"/>
      <w:lvlText w:val="%7."/>
      <w:lvlJc w:val="left"/>
      <w:pPr>
        <w:ind w:left="5040" w:hanging="360"/>
      </w:pPr>
    </w:lvl>
    <w:lvl w:ilvl="7" w:tplc="54DC060C">
      <w:start w:val="1"/>
      <w:numFmt w:val="lowerLetter"/>
      <w:lvlText w:val="%8."/>
      <w:lvlJc w:val="left"/>
      <w:pPr>
        <w:ind w:left="5760" w:hanging="360"/>
      </w:pPr>
    </w:lvl>
    <w:lvl w:ilvl="8" w:tplc="365CD902">
      <w:start w:val="1"/>
      <w:numFmt w:val="lowerRoman"/>
      <w:lvlText w:val="%9."/>
      <w:lvlJc w:val="right"/>
      <w:pPr>
        <w:ind w:left="6480" w:hanging="180"/>
      </w:pPr>
    </w:lvl>
  </w:abstractNum>
  <w:abstractNum w:abstractNumId="57" w15:restartNumberingAfterBreak="0">
    <w:nsid w:val="13821A03"/>
    <w:multiLevelType w:val="multilevel"/>
    <w:tmpl w:val="0FEAE776"/>
    <w:lvl w:ilvl="0">
      <w:start w:val="1"/>
      <w:numFmt w:val="decimal"/>
      <w:lvlText w:val="%1)"/>
      <w:lvlJc w:val="left"/>
      <w:pPr>
        <w:ind w:left="360" w:hanging="360"/>
      </w:pPr>
      <w:rPr>
        <w:b w:val="0"/>
        <w:lang w:val="en-G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13A01994"/>
    <w:multiLevelType w:val="hybridMultilevel"/>
    <w:tmpl w:val="08D634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13DB6E5A"/>
    <w:multiLevelType w:val="hybridMultilevel"/>
    <w:tmpl w:val="FFFFFFFF"/>
    <w:lvl w:ilvl="0" w:tplc="CE10DEC8">
      <w:start w:val="1"/>
      <w:numFmt w:val="decimal"/>
      <w:lvlText w:val="%1."/>
      <w:lvlJc w:val="left"/>
      <w:pPr>
        <w:ind w:left="720" w:hanging="360"/>
      </w:pPr>
    </w:lvl>
    <w:lvl w:ilvl="1" w:tplc="4F748378">
      <w:start w:val="1"/>
      <w:numFmt w:val="lowerRoman"/>
      <w:lvlText w:val="%2."/>
      <w:lvlJc w:val="right"/>
      <w:pPr>
        <w:ind w:left="1080" w:hanging="360"/>
      </w:pPr>
    </w:lvl>
    <w:lvl w:ilvl="2" w:tplc="2FA2BAD4">
      <w:start w:val="1"/>
      <w:numFmt w:val="lowerRoman"/>
      <w:lvlText w:val="%3."/>
      <w:lvlJc w:val="right"/>
      <w:pPr>
        <w:ind w:left="2160" w:hanging="180"/>
      </w:pPr>
    </w:lvl>
    <w:lvl w:ilvl="3" w:tplc="CB2E2308">
      <w:start w:val="1"/>
      <w:numFmt w:val="decimal"/>
      <w:lvlText w:val="%4."/>
      <w:lvlJc w:val="left"/>
      <w:pPr>
        <w:ind w:left="2880" w:hanging="360"/>
      </w:pPr>
    </w:lvl>
    <w:lvl w:ilvl="4" w:tplc="35CAFD48">
      <w:start w:val="1"/>
      <w:numFmt w:val="lowerLetter"/>
      <w:lvlText w:val="%5."/>
      <w:lvlJc w:val="left"/>
      <w:pPr>
        <w:ind w:left="3600" w:hanging="360"/>
      </w:pPr>
    </w:lvl>
    <w:lvl w:ilvl="5" w:tplc="58E4B4B6">
      <w:start w:val="1"/>
      <w:numFmt w:val="lowerRoman"/>
      <w:lvlText w:val="%6."/>
      <w:lvlJc w:val="right"/>
      <w:pPr>
        <w:ind w:left="4320" w:hanging="180"/>
      </w:pPr>
    </w:lvl>
    <w:lvl w:ilvl="6" w:tplc="274E5FBE">
      <w:start w:val="1"/>
      <w:numFmt w:val="decimal"/>
      <w:lvlText w:val="%7."/>
      <w:lvlJc w:val="left"/>
      <w:pPr>
        <w:ind w:left="5040" w:hanging="360"/>
      </w:pPr>
    </w:lvl>
    <w:lvl w:ilvl="7" w:tplc="639A6EFA">
      <w:start w:val="1"/>
      <w:numFmt w:val="lowerLetter"/>
      <w:lvlText w:val="%8."/>
      <w:lvlJc w:val="left"/>
      <w:pPr>
        <w:ind w:left="5760" w:hanging="360"/>
      </w:pPr>
    </w:lvl>
    <w:lvl w:ilvl="8" w:tplc="00FE8920">
      <w:start w:val="1"/>
      <w:numFmt w:val="lowerRoman"/>
      <w:lvlText w:val="%9."/>
      <w:lvlJc w:val="right"/>
      <w:pPr>
        <w:ind w:left="6480" w:hanging="180"/>
      </w:pPr>
    </w:lvl>
  </w:abstractNum>
  <w:abstractNum w:abstractNumId="60" w15:restartNumberingAfterBreak="0">
    <w:nsid w:val="13F00BFD"/>
    <w:multiLevelType w:val="multilevel"/>
    <w:tmpl w:val="40D81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146070EF"/>
    <w:multiLevelType w:val="hybridMultilevel"/>
    <w:tmpl w:val="2206BC60"/>
    <w:lvl w:ilvl="0" w:tplc="51B64BF0">
      <w:start w:val="4"/>
      <w:numFmt w:val="decimal"/>
      <w:lvlText w:val="%1."/>
      <w:lvlJc w:val="left"/>
      <w:pPr>
        <w:ind w:left="720" w:hanging="360"/>
      </w:pPr>
    </w:lvl>
    <w:lvl w:ilvl="1" w:tplc="883CD9D4">
      <w:start w:val="1"/>
      <w:numFmt w:val="lowerLetter"/>
      <w:lvlText w:val="%2."/>
      <w:lvlJc w:val="left"/>
      <w:pPr>
        <w:ind w:left="1440" w:hanging="360"/>
      </w:pPr>
    </w:lvl>
    <w:lvl w:ilvl="2" w:tplc="40149278">
      <w:start w:val="1"/>
      <w:numFmt w:val="lowerRoman"/>
      <w:lvlText w:val="%3."/>
      <w:lvlJc w:val="right"/>
      <w:pPr>
        <w:ind w:left="2160" w:hanging="180"/>
      </w:pPr>
    </w:lvl>
    <w:lvl w:ilvl="3" w:tplc="69488584">
      <w:start w:val="1"/>
      <w:numFmt w:val="decimal"/>
      <w:lvlText w:val="%4."/>
      <w:lvlJc w:val="left"/>
      <w:pPr>
        <w:ind w:left="2880" w:hanging="360"/>
      </w:pPr>
    </w:lvl>
    <w:lvl w:ilvl="4" w:tplc="9350DA86">
      <w:start w:val="1"/>
      <w:numFmt w:val="lowerLetter"/>
      <w:lvlText w:val="%5."/>
      <w:lvlJc w:val="left"/>
      <w:pPr>
        <w:ind w:left="3600" w:hanging="360"/>
      </w:pPr>
    </w:lvl>
    <w:lvl w:ilvl="5" w:tplc="F14CAC5E">
      <w:start w:val="1"/>
      <w:numFmt w:val="lowerRoman"/>
      <w:lvlText w:val="%6."/>
      <w:lvlJc w:val="right"/>
      <w:pPr>
        <w:ind w:left="4320" w:hanging="180"/>
      </w:pPr>
    </w:lvl>
    <w:lvl w:ilvl="6" w:tplc="2730EAB8">
      <w:start w:val="1"/>
      <w:numFmt w:val="decimal"/>
      <w:lvlText w:val="%7."/>
      <w:lvlJc w:val="left"/>
      <w:pPr>
        <w:ind w:left="5040" w:hanging="360"/>
      </w:pPr>
    </w:lvl>
    <w:lvl w:ilvl="7" w:tplc="57A4C59E">
      <w:start w:val="1"/>
      <w:numFmt w:val="lowerLetter"/>
      <w:lvlText w:val="%8."/>
      <w:lvlJc w:val="left"/>
      <w:pPr>
        <w:ind w:left="5760" w:hanging="360"/>
      </w:pPr>
    </w:lvl>
    <w:lvl w:ilvl="8" w:tplc="D312E2EA">
      <w:start w:val="1"/>
      <w:numFmt w:val="lowerRoman"/>
      <w:lvlText w:val="%9."/>
      <w:lvlJc w:val="right"/>
      <w:pPr>
        <w:ind w:left="6480" w:hanging="180"/>
      </w:pPr>
    </w:lvl>
  </w:abstractNum>
  <w:abstractNum w:abstractNumId="62" w15:restartNumberingAfterBreak="0">
    <w:nsid w:val="149745A8"/>
    <w:multiLevelType w:val="hybridMultilevel"/>
    <w:tmpl w:val="FFFFFFFF"/>
    <w:lvl w:ilvl="0" w:tplc="C12AE710">
      <w:start w:val="2"/>
      <w:numFmt w:val="decimal"/>
      <w:lvlText w:val="%1."/>
      <w:lvlJc w:val="left"/>
      <w:pPr>
        <w:ind w:left="720" w:hanging="360"/>
      </w:pPr>
    </w:lvl>
    <w:lvl w:ilvl="1" w:tplc="0CC8C840">
      <w:start w:val="1"/>
      <w:numFmt w:val="lowerLetter"/>
      <w:lvlText w:val="%2."/>
      <w:lvlJc w:val="left"/>
      <w:pPr>
        <w:ind w:left="1440" w:hanging="360"/>
      </w:pPr>
    </w:lvl>
    <w:lvl w:ilvl="2" w:tplc="E2B03D82">
      <w:start w:val="1"/>
      <w:numFmt w:val="lowerRoman"/>
      <w:lvlText w:val="%3."/>
      <w:lvlJc w:val="right"/>
      <w:pPr>
        <w:ind w:left="2160" w:hanging="180"/>
      </w:pPr>
    </w:lvl>
    <w:lvl w:ilvl="3" w:tplc="13F04D5C">
      <w:start w:val="1"/>
      <w:numFmt w:val="decimal"/>
      <w:lvlText w:val="%4."/>
      <w:lvlJc w:val="left"/>
      <w:pPr>
        <w:ind w:left="2880" w:hanging="360"/>
      </w:pPr>
    </w:lvl>
    <w:lvl w:ilvl="4" w:tplc="4C1A1484">
      <w:start w:val="1"/>
      <w:numFmt w:val="lowerLetter"/>
      <w:lvlText w:val="%5."/>
      <w:lvlJc w:val="left"/>
      <w:pPr>
        <w:ind w:left="3600" w:hanging="360"/>
      </w:pPr>
    </w:lvl>
    <w:lvl w:ilvl="5" w:tplc="813A3522">
      <w:start w:val="1"/>
      <w:numFmt w:val="lowerRoman"/>
      <w:lvlText w:val="%6."/>
      <w:lvlJc w:val="right"/>
      <w:pPr>
        <w:ind w:left="4320" w:hanging="180"/>
      </w:pPr>
    </w:lvl>
    <w:lvl w:ilvl="6" w:tplc="AFF260AE">
      <w:start w:val="1"/>
      <w:numFmt w:val="decimal"/>
      <w:lvlText w:val="%7."/>
      <w:lvlJc w:val="left"/>
      <w:pPr>
        <w:ind w:left="5040" w:hanging="360"/>
      </w:pPr>
    </w:lvl>
    <w:lvl w:ilvl="7" w:tplc="67EE7D12">
      <w:start w:val="1"/>
      <w:numFmt w:val="lowerLetter"/>
      <w:lvlText w:val="%8."/>
      <w:lvlJc w:val="left"/>
      <w:pPr>
        <w:ind w:left="5760" w:hanging="360"/>
      </w:pPr>
    </w:lvl>
    <w:lvl w:ilvl="8" w:tplc="966C47B2">
      <w:start w:val="1"/>
      <w:numFmt w:val="lowerRoman"/>
      <w:lvlText w:val="%9."/>
      <w:lvlJc w:val="right"/>
      <w:pPr>
        <w:ind w:left="6480" w:hanging="180"/>
      </w:pPr>
    </w:lvl>
  </w:abstractNum>
  <w:abstractNum w:abstractNumId="63" w15:restartNumberingAfterBreak="0">
    <w:nsid w:val="150A26C2"/>
    <w:multiLevelType w:val="hybridMultilevel"/>
    <w:tmpl w:val="FFFFFFFF"/>
    <w:lvl w:ilvl="0" w:tplc="516274FC">
      <w:start w:val="1"/>
      <w:numFmt w:val="decimal"/>
      <w:lvlText w:val="%1."/>
      <w:lvlJc w:val="left"/>
      <w:pPr>
        <w:ind w:left="720" w:hanging="360"/>
      </w:pPr>
    </w:lvl>
    <w:lvl w:ilvl="1" w:tplc="844611EA">
      <w:start w:val="1"/>
      <w:numFmt w:val="lowerLetter"/>
      <w:lvlText w:val="%2."/>
      <w:lvlJc w:val="left"/>
      <w:pPr>
        <w:ind w:left="1440" w:hanging="360"/>
      </w:pPr>
    </w:lvl>
    <w:lvl w:ilvl="2" w:tplc="BAB2F316">
      <w:start w:val="1"/>
      <w:numFmt w:val="lowerRoman"/>
      <w:lvlText w:val="%3."/>
      <w:lvlJc w:val="right"/>
      <w:pPr>
        <w:ind w:left="2160" w:hanging="180"/>
      </w:pPr>
    </w:lvl>
    <w:lvl w:ilvl="3" w:tplc="3E5A6758">
      <w:start w:val="1"/>
      <w:numFmt w:val="decimal"/>
      <w:lvlText w:val="%4."/>
      <w:lvlJc w:val="left"/>
      <w:pPr>
        <w:ind w:left="2880" w:hanging="360"/>
      </w:pPr>
    </w:lvl>
    <w:lvl w:ilvl="4" w:tplc="1C066A8A">
      <w:start w:val="1"/>
      <w:numFmt w:val="lowerLetter"/>
      <w:lvlText w:val="%5."/>
      <w:lvlJc w:val="left"/>
      <w:pPr>
        <w:ind w:left="3600" w:hanging="360"/>
      </w:pPr>
    </w:lvl>
    <w:lvl w:ilvl="5" w:tplc="C7827D9A">
      <w:start w:val="1"/>
      <w:numFmt w:val="lowerRoman"/>
      <w:lvlText w:val="%6."/>
      <w:lvlJc w:val="right"/>
      <w:pPr>
        <w:ind w:left="4320" w:hanging="180"/>
      </w:pPr>
    </w:lvl>
    <w:lvl w:ilvl="6" w:tplc="E9AAE1FC">
      <w:start w:val="1"/>
      <w:numFmt w:val="decimal"/>
      <w:lvlText w:val="%7."/>
      <w:lvlJc w:val="left"/>
      <w:pPr>
        <w:ind w:left="5040" w:hanging="360"/>
      </w:pPr>
    </w:lvl>
    <w:lvl w:ilvl="7" w:tplc="0D54AE90">
      <w:start w:val="1"/>
      <w:numFmt w:val="lowerLetter"/>
      <w:lvlText w:val="%8."/>
      <w:lvlJc w:val="left"/>
      <w:pPr>
        <w:ind w:left="5760" w:hanging="360"/>
      </w:pPr>
    </w:lvl>
    <w:lvl w:ilvl="8" w:tplc="755263F8">
      <w:start w:val="1"/>
      <w:numFmt w:val="lowerRoman"/>
      <w:lvlText w:val="%9."/>
      <w:lvlJc w:val="right"/>
      <w:pPr>
        <w:ind w:left="6480" w:hanging="180"/>
      </w:pPr>
    </w:lvl>
  </w:abstractNum>
  <w:abstractNum w:abstractNumId="64" w15:restartNumberingAfterBreak="0">
    <w:nsid w:val="1547426B"/>
    <w:multiLevelType w:val="hybridMultilevel"/>
    <w:tmpl w:val="FFFFFFFF"/>
    <w:lvl w:ilvl="0" w:tplc="037A98A4">
      <w:start w:val="7"/>
      <w:numFmt w:val="decimal"/>
      <w:lvlText w:val="%1."/>
      <w:lvlJc w:val="left"/>
      <w:pPr>
        <w:ind w:left="720" w:hanging="360"/>
      </w:pPr>
    </w:lvl>
    <w:lvl w:ilvl="1" w:tplc="436A97CE">
      <w:start w:val="1"/>
      <w:numFmt w:val="lowerLetter"/>
      <w:lvlText w:val="%2."/>
      <w:lvlJc w:val="left"/>
      <w:pPr>
        <w:ind w:left="1440" w:hanging="360"/>
      </w:pPr>
    </w:lvl>
    <w:lvl w:ilvl="2" w:tplc="5B401BDC">
      <w:start w:val="1"/>
      <w:numFmt w:val="lowerRoman"/>
      <w:lvlText w:val="%3."/>
      <w:lvlJc w:val="right"/>
      <w:pPr>
        <w:ind w:left="2160" w:hanging="180"/>
      </w:pPr>
    </w:lvl>
    <w:lvl w:ilvl="3" w:tplc="4306C39C">
      <w:start w:val="1"/>
      <w:numFmt w:val="decimal"/>
      <w:lvlText w:val="%4."/>
      <w:lvlJc w:val="left"/>
      <w:pPr>
        <w:ind w:left="2880" w:hanging="360"/>
      </w:pPr>
    </w:lvl>
    <w:lvl w:ilvl="4" w:tplc="EB689C40">
      <w:start w:val="1"/>
      <w:numFmt w:val="lowerLetter"/>
      <w:lvlText w:val="%5."/>
      <w:lvlJc w:val="left"/>
      <w:pPr>
        <w:ind w:left="3600" w:hanging="360"/>
      </w:pPr>
    </w:lvl>
    <w:lvl w:ilvl="5" w:tplc="B92A209A">
      <w:start w:val="1"/>
      <w:numFmt w:val="lowerRoman"/>
      <w:lvlText w:val="%6."/>
      <w:lvlJc w:val="right"/>
      <w:pPr>
        <w:ind w:left="4320" w:hanging="180"/>
      </w:pPr>
    </w:lvl>
    <w:lvl w:ilvl="6" w:tplc="0088DE36">
      <w:start w:val="1"/>
      <w:numFmt w:val="decimal"/>
      <w:lvlText w:val="%7."/>
      <w:lvlJc w:val="left"/>
      <w:pPr>
        <w:ind w:left="5040" w:hanging="360"/>
      </w:pPr>
    </w:lvl>
    <w:lvl w:ilvl="7" w:tplc="5BE240E4">
      <w:start w:val="1"/>
      <w:numFmt w:val="lowerLetter"/>
      <w:lvlText w:val="%8."/>
      <w:lvlJc w:val="left"/>
      <w:pPr>
        <w:ind w:left="5760" w:hanging="360"/>
      </w:pPr>
    </w:lvl>
    <w:lvl w:ilvl="8" w:tplc="DEC01050">
      <w:start w:val="1"/>
      <w:numFmt w:val="lowerRoman"/>
      <w:lvlText w:val="%9."/>
      <w:lvlJc w:val="right"/>
      <w:pPr>
        <w:ind w:left="6480" w:hanging="180"/>
      </w:pPr>
    </w:lvl>
  </w:abstractNum>
  <w:abstractNum w:abstractNumId="65" w15:restartNumberingAfterBreak="0">
    <w:nsid w:val="1576521A"/>
    <w:multiLevelType w:val="hybridMultilevel"/>
    <w:tmpl w:val="FFFFFFFF"/>
    <w:lvl w:ilvl="0" w:tplc="F2E863E8">
      <w:start w:val="1"/>
      <w:numFmt w:val="bullet"/>
      <w:lvlText w:val="o"/>
      <w:lvlJc w:val="left"/>
      <w:pPr>
        <w:ind w:left="1080" w:hanging="360"/>
      </w:pPr>
      <w:rPr>
        <w:rFonts w:ascii="Courier New" w:hAnsi="Courier New" w:hint="default"/>
      </w:rPr>
    </w:lvl>
    <w:lvl w:ilvl="1" w:tplc="3BAC89E4">
      <w:start w:val="1"/>
      <w:numFmt w:val="bullet"/>
      <w:lvlText w:val="o"/>
      <w:lvlJc w:val="left"/>
      <w:pPr>
        <w:ind w:left="1440" w:hanging="360"/>
      </w:pPr>
      <w:rPr>
        <w:rFonts w:ascii="Courier New" w:hAnsi="Courier New" w:hint="default"/>
      </w:rPr>
    </w:lvl>
    <w:lvl w:ilvl="2" w:tplc="94863DE4">
      <w:start w:val="1"/>
      <w:numFmt w:val="bullet"/>
      <w:lvlText w:val=""/>
      <w:lvlJc w:val="left"/>
      <w:pPr>
        <w:ind w:left="2160" w:hanging="360"/>
      </w:pPr>
      <w:rPr>
        <w:rFonts w:ascii="Wingdings" w:hAnsi="Wingdings" w:hint="default"/>
      </w:rPr>
    </w:lvl>
    <w:lvl w:ilvl="3" w:tplc="DF568134">
      <w:start w:val="1"/>
      <w:numFmt w:val="bullet"/>
      <w:lvlText w:val=""/>
      <w:lvlJc w:val="left"/>
      <w:pPr>
        <w:ind w:left="2880" w:hanging="360"/>
      </w:pPr>
      <w:rPr>
        <w:rFonts w:ascii="Symbol" w:hAnsi="Symbol" w:hint="default"/>
      </w:rPr>
    </w:lvl>
    <w:lvl w:ilvl="4" w:tplc="3EE43082">
      <w:start w:val="1"/>
      <w:numFmt w:val="bullet"/>
      <w:lvlText w:val="o"/>
      <w:lvlJc w:val="left"/>
      <w:pPr>
        <w:ind w:left="3600" w:hanging="360"/>
      </w:pPr>
      <w:rPr>
        <w:rFonts w:ascii="Courier New" w:hAnsi="Courier New" w:hint="default"/>
      </w:rPr>
    </w:lvl>
    <w:lvl w:ilvl="5" w:tplc="42E84596">
      <w:start w:val="1"/>
      <w:numFmt w:val="bullet"/>
      <w:lvlText w:val=""/>
      <w:lvlJc w:val="left"/>
      <w:pPr>
        <w:ind w:left="4320" w:hanging="360"/>
      </w:pPr>
      <w:rPr>
        <w:rFonts w:ascii="Wingdings" w:hAnsi="Wingdings" w:hint="default"/>
      </w:rPr>
    </w:lvl>
    <w:lvl w:ilvl="6" w:tplc="1E482BE0">
      <w:start w:val="1"/>
      <w:numFmt w:val="bullet"/>
      <w:lvlText w:val=""/>
      <w:lvlJc w:val="left"/>
      <w:pPr>
        <w:ind w:left="5040" w:hanging="360"/>
      </w:pPr>
      <w:rPr>
        <w:rFonts w:ascii="Symbol" w:hAnsi="Symbol" w:hint="default"/>
      </w:rPr>
    </w:lvl>
    <w:lvl w:ilvl="7" w:tplc="806E702E">
      <w:start w:val="1"/>
      <w:numFmt w:val="bullet"/>
      <w:lvlText w:val="o"/>
      <w:lvlJc w:val="left"/>
      <w:pPr>
        <w:ind w:left="5760" w:hanging="360"/>
      </w:pPr>
      <w:rPr>
        <w:rFonts w:ascii="Courier New" w:hAnsi="Courier New" w:hint="default"/>
      </w:rPr>
    </w:lvl>
    <w:lvl w:ilvl="8" w:tplc="0134A128">
      <w:start w:val="1"/>
      <w:numFmt w:val="bullet"/>
      <w:lvlText w:val=""/>
      <w:lvlJc w:val="left"/>
      <w:pPr>
        <w:ind w:left="6480" w:hanging="360"/>
      </w:pPr>
      <w:rPr>
        <w:rFonts w:ascii="Wingdings" w:hAnsi="Wingdings" w:hint="default"/>
      </w:rPr>
    </w:lvl>
  </w:abstractNum>
  <w:abstractNum w:abstractNumId="66" w15:restartNumberingAfterBreak="0">
    <w:nsid w:val="1599A137"/>
    <w:multiLevelType w:val="hybridMultilevel"/>
    <w:tmpl w:val="FFFFFFFF"/>
    <w:lvl w:ilvl="0" w:tplc="08421836">
      <w:start w:val="5"/>
      <w:numFmt w:val="lowerLetter"/>
      <w:lvlText w:val="%1)"/>
      <w:lvlJc w:val="left"/>
      <w:pPr>
        <w:ind w:left="720" w:hanging="360"/>
      </w:pPr>
    </w:lvl>
    <w:lvl w:ilvl="1" w:tplc="2FF40366">
      <w:start w:val="1"/>
      <w:numFmt w:val="lowerLetter"/>
      <w:lvlText w:val="%2."/>
      <w:lvlJc w:val="left"/>
      <w:pPr>
        <w:ind w:left="1440" w:hanging="360"/>
      </w:pPr>
    </w:lvl>
    <w:lvl w:ilvl="2" w:tplc="CB78795C">
      <w:start w:val="1"/>
      <w:numFmt w:val="lowerRoman"/>
      <w:lvlText w:val="%3."/>
      <w:lvlJc w:val="right"/>
      <w:pPr>
        <w:ind w:left="2160" w:hanging="180"/>
      </w:pPr>
    </w:lvl>
    <w:lvl w:ilvl="3" w:tplc="35764EB0">
      <w:start w:val="1"/>
      <w:numFmt w:val="decimal"/>
      <w:lvlText w:val="%4."/>
      <w:lvlJc w:val="left"/>
      <w:pPr>
        <w:ind w:left="2880" w:hanging="360"/>
      </w:pPr>
    </w:lvl>
    <w:lvl w:ilvl="4" w:tplc="40544C38">
      <w:start w:val="1"/>
      <w:numFmt w:val="lowerLetter"/>
      <w:lvlText w:val="%5."/>
      <w:lvlJc w:val="left"/>
      <w:pPr>
        <w:ind w:left="3600" w:hanging="360"/>
      </w:pPr>
    </w:lvl>
    <w:lvl w:ilvl="5" w:tplc="86807146">
      <w:start w:val="1"/>
      <w:numFmt w:val="lowerRoman"/>
      <w:lvlText w:val="%6."/>
      <w:lvlJc w:val="right"/>
      <w:pPr>
        <w:ind w:left="4320" w:hanging="180"/>
      </w:pPr>
    </w:lvl>
    <w:lvl w:ilvl="6" w:tplc="ED56A4EC">
      <w:start w:val="1"/>
      <w:numFmt w:val="decimal"/>
      <w:lvlText w:val="%7."/>
      <w:lvlJc w:val="left"/>
      <w:pPr>
        <w:ind w:left="5040" w:hanging="360"/>
      </w:pPr>
    </w:lvl>
    <w:lvl w:ilvl="7" w:tplc="A0D4505C">
      <w:start w:val="1"/>
      <w:numFmt w:val="lowerLetter"/>
      <w:lvlText w:val="%8."/>
      <w:lvlJc w:val="left"/>
      <w:pPr>
        <w:ind w:left="5760" w:hanging="360"/>
      </w:pPr>
    </w:lvl>
    <w:lvl w:ilvl="8" w:tplc="435A6314">
      <w:start w:val="1"/>
      <w:numFmt w:val="lowerRoman"/>
      <w:lvlText w:val="%9."/>
      <w:lvlJc w:val="right"/>
      <w:pPr>
        <w:ind w:left="6480" w:hanging="180"/>
      </w:pPr>
    </w:lvl>
  </w:abstractNum>
  <w:abstractNum w:abstractNumId="67" w15:restartNumberingAfterBreak="0">
    <w:nsid w:val="15FB003C"/>
    <w:multiLevelType w:val="hybridMultilevel"/>
    <w:tmpl w:val="576885C8"/>
    <w:lvl w:ilvl="0" w:tplc="DC4C000A">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163C9E05"/>
    <w:multiLevelType w:val="hybridMultilevel"/>
    <w:tmpl w:val="FFFFFFFF"/>
    <w:lvl w:ilvl="0" w:tplc="E78EDFA2">
      <w:start w:val="2"/>
      <w:numFmt w:val="lowerLetter"/>
      <w:lvlText w:val="%1."/>
      <w:lvlJc w:val="left"/>
      <w:pPr>
        <w:ind w:left="720" w:hanging="360"/>
      </w:pPr>
    </w:lvl>
    <w:lvl w:ilvl="1" w:tplc="0BBA5CCC">
      <w:start w:val="1"/>
      <w:numFmt w:val="lowerLetter"/>
      <w:lvlText w:val="%2."/>
      <w:lvlJc w:val="left"/>
      <w:pPr>
        <w:ind w:left="1440" w:hanging="360"/>
      </w:pPr>
    </w:lvl>
    <w:lvl w:ilvl="2" w:tplc="57608EBA">
      <w:start w:val="1"/>
      <w:numFmt w:val="lowerRoman"/>
      <w:lvlText w:val="%3."/>
      <w:lvlJc w:val="right"/>
      <w:pPr>
        <w:ind w:left="2160" w:hanging="180"/>
      </w:pPr>
    </w:lvl>
    <w:lvl w:ilvl="3" w:tplc="0AE8DA6E">
      <w:start w:val="1"/>
      <w:numFmt w:val="decimal"/>
      <w:lvlText w:val="%4."/>
      <w:lvlJc w:val="left"/>
      <w:pPr>
        <w:ind w:left="2880" w:hanging="360"/>
      </w:pPr>
    </w:lvl>
    <w:lvl w:ilvl="4" w:tplc="5400DFAE">
      <w:start w:val="1"/>
      <w:numFmt w:val="lowerLetter"/>
      <w:lvlText w:val="%5."/>
      <w:lvlJc w:val="left"/>
      <w:pPr>
        <w:ind w:left="3600" w:hanging="360"/>
      </w:pPr>
    </w:lvl>
    <w:lvl w:ilvl="5" w:tplc="C5A49B94">
      <w:start w:val="1"/>
      <w:numFmt w:val="lowerRoman"/>
      <w:lvlText w:val="%6."/>
      <w:lvlJc w:val="right"/>
      <w:pPr>
        <w:ind w:left="4320" w:hanging="180"/>
      </w:pPr>
    </w:lvl>
    <w:lvl w:ilvl="6" w:tplc="050CF3C2">
      <w:start w:val="1"/>
      <w:numFmt w:val="decimal"/>
      <w:lvlText w:val="%7."/>
      <w:lvlJc w:val="left"/>
      <w:pPr>
        <w:ind w:left="5040" w:hanging="360"/>
      </w:pPr>
    </w:lvl>
    <w:lvl w:ilvl="7" w:tplc="F0BCFEC2">
      <w:start w:val="1"/>
      <w:numFmt w:val="lowerLetter"/>
      <w:lvlText w:val="%8."/>
      <w:lvlJc w:val="left"/>
      <w:pPr>
        <w:ind w:left="5760" w:hanging="360"/>
      </w:pPr>
    </w:lvl>
    <w:lvl w:ilvl="8" w:tplc="0E204C92">
      <w:start w:val="1"/>
      <w:numFmt w:val="lowerRoman"/>
      <w:lvlText w:val="%9."/>
      <w:lvlJc w:val="right"/>
      <w:pPr>
        <w:ind w:left="6480" w:hanging="180"/>
      </w:pPr>
    </w:lvl>
  </w:abstractNum>
  <w:abstractNum w:abstractNumId="69" w15:restartNumberingAfterBreak="0">
    <w:nsid w:val="164347F5"/>
    <w:multiLevelType w:val="hybridMultilevel"/>
    <w:tmpl w:val="FA82FA80"/>
    <w:lvl w:ilvl="0" w:tplc="A28A392A">
      <w:start w:val="1"/>
      <w:numFmt w:val="bullet"/>
      <w:lvlText w:val=""/>
      <w:lvlJc w:val="left"/>
      <w:pPr>
        <w:ind w:left="720" w:hanging="360"/>
      </w:pPr>
      <w:rPr>
        <w:rFonts w:ascii="Symbol" w:hAnsi="Symbol" w:hint="default"/>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16E4F319"/>
    <w:multiLevelType w:val="hybridMultilevel"/>
    <w:tmpl w:val="FFFFFFFF"/>
    <w:lvl w:ilvl="0" w:tplc="67708FC6">
      <w:start w:val="1"/>
      <w:numFmt w:val="bullet"/>
      <w:lvlText w:val=""/>
      <w:lvlJc w:val="left"/>
      <w:pPr>
        <w:ind w:left="720" w:hanging="360"/>
      </w:pPr>
      <w:rPr>
        <w:rFonts w:ascii="Symbol" w:hAnsi="Symbol" w:hint="default"/>
      </w:rPr>
    </w:lvl>
    <w:lvl w:ilvl="1" w:tplc="09AEDC1E">
      <w:start w:val="1"/>
      <w:numFmt w:val="bullet"/>
      <w:lvlText w:val="o"/>
      <w:lvlJc w:val="left"/>
      <w:pPr>
        <w:ind w:left="1440" w:hanging="360"/>
      </w:pPr>
      <w:rPr>
        <w:rFonts w:ascii="Courier New" w:hAnsi="Courier New" w:hint="default"/>
      </w:rPr>
    </w:lvl>
    <w:lvl w:ilvl="2" w:tplc="E4842132">
      <w:start w:val="1"/>
      <w:numFmt w:val="bullet"/>
      <w:lvlText w:val=""/>
      <w:lvlJc w:val="left"/>
      <w:pPr>
        <w:ind w:left="2160" w:hanging="360"/>
      </w:pPr>
      <w:rPr>
        <w:rFonts w:ascii="Wingdings" w:hAnsi="Wingdings" w:hint="default"/>
      </w:rPr>
    </w:lvl>
    <w:lvl w:ilvl="3" w:tplc="0062F8F0">
      <w:start w:val="1"/>
      <w:numFmt w:val="bullet"/>
      <w:lvlText w:val=""/>
      <w:lvlJc w:val="left"/>
      <w:pPr>
        <w:ind w:left="2880" w:hanging="360"/>
      </w:pPr>
      <w:rPr>
        <w:rFonts w:ascii="Symbol" w:hAnsi="Symbol" w:hint="default"/>
      </w:rPr>
    </w:lvl>
    <w:lvl w:ilvl="4" w:tplc="A7248A28">
      <w:start w:val="1"/>
      <w:numFmt w:val="bullet"/>
      <w:lvlText w:val="o"/>
      <w:lvlJc w:val="left"/>
      <w:pPr>
        <w:ind w:left="3600" w:hanging="360"/>
      </w:pPr>
      <w:rPr>
        <w:rFonts w:ascii="Courier New" w:hAnsi="Courier New" w:hint="default"/>
      </w:rPr>
    </w:lvl>
    <w:lvl w:ilvl="5" w:tplc="A71699DA">
      <w:start w:val="1"/>
      <w:numFmt w:val="bullet"/>
      <w:lvlText w:val=""/>
      <w:lvlJc w:val="left"/>
      <w:pPr>
        <w:ind w:left="4320" w:hanging="360"/>
      </w:pPr>
      <w:rPr>
        <w:rFonts w:ascii="Wingdings" w:hAnsi="Wingdings" w:hint="default"/>
      </w:rPr>
    </w:lvl>
    <w:lvl w:ilvl="6" w:tplc="C25AA552">
      <w:start w:val="1"/>
      <w:numFmt w:val="bullet"/>
      <w:lvlText w:val=""/>
      <w:lvlJc w:val="left"/>
      <w:pPr>
        <w:ind w:left="5040" w:hanging="360"/>
      </w:pPr>
      <w:rPr>
        <w:rFonts w:ascii="Symbol" w:hAnsi="Symbol" w:hint="default"/>
      </w:rPr>
    </w:lvl>
    <w:lvl w:ilvl="7" w:tplc="CDE0BA8C">
      <w:start w:val="1"/>
      <w:numFmt w:val="bullet"/>
      <w:lvlText w:val="o"/>
      <w:lvlJc w:val="left"/>
      <w:pPr>
        <w:ind w:left="5760" w:hanging="360"/>
      </w:pPr>
      <w:rPr>
        <w:rFonts w:ascii="Courier New" w:hAnsi="Courier New" w:hint="default"/>
      </w:rPr>
    </w:lvl>
    <w:lvl w:ilvl="8" w:tplc="4508B44E">
      <w:start w:val="1"/>
      <w:numFmt w:val="bullet"/>
      <w:lvlText w:val=""/>
      <w:lvlJc w:val="left"/>
      <w:pPr>
        <w:ind w:left="6480" w:hanging="360"/>
      </w:pPr>
      <w:rPr>
        <w:rFonts w:ascii="Wingdings" w:hAnsi="Wingdings" w:hint="default"/>
      </w:rPr>
    </w:lvl>
  </w:abstractNum>
  <w:abstractNum w:abstractNumId="71" w15:restartNumberingAfterBreak="0">
    <w:nsid w:val="18220F9B"/>
    <w:multiLevelType w:val="hybridMultilevel"/>
    <w:tmpl w:val="BCACA684"/>
    <w:lvl w:ilvl="0" w:tplc="18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8C66047"/>
    <w:multiLevelType w:val="hybridMultilevel"/>
    <w:tmpl w:val="FFFFFFFF"/>
    <w:lvl w:ilvl="0" w:tplc="8F0EB536">
      <w:start w:val="5"/>
      <w:numFmt w:val="lowerLetter"/>
      <w:lvlText w:val="%1)"/>
      <w:lvlJc w:val="left"/>
      <w:pPr>
        <w:ind w:left="720" w:hanging="360"/>
      </w:pPr>
    </w:lvl>
    <w:lvl w:ilvl="1" w:tplc="491E7AD4">
      <w:start w:val="1"/>
      <w:numFmt w:val="lowerLetter"/>
      <w:lvlText w:val="%2."/>
      <w:lvlJc w:val="left"/>
      <w:pPr>
        <w:ind w:left="1440" w:hanging="360"/>
      </w:pPr>
    </w:lvl>
    <w:lvl w:ilvl="2" w:tplc="8D84823C">
      <w:start w:val="1"/>
      <w:numFmt w:val="lowerRoman"/>
      <w:lvlText w:val="%3."/>
      <w:lvlJc w:val="right"/>
      <w:pPr>
        <w:ind w:left="2160" w:hanging="180"/>
      </w:pPr>
    </w:lvl>
    <w:lvl w:ilvl="3" w:tplc="AAAC0128">
      <w:start w:val="1"/>
      <w:numFmt w:val="decimal"/>
      <w:lvlText w:val="%4."/>
      <w:lvlJc w:val="left"/>
      <w:pPr>
        <w:ind w:left="2880" w:hanging="360"/>
      </w:pPr>
    </w:lvl>
    <w:lvl w:ilvl="4" w:tplc="BF7C7AE2">
      <w:start w:val="1"/>
      <w:numFmt w:val="lowerLetter"/>
      <w:lvlText w:val="%5."/>
      <w:lvlJc w:val="left"/>
      <w:pPr>
        <w:ind w:left="3600" w:hanging="360"/>
      </w:pPr>
    </w:lvl>
    <w:lvl w:ilvl="5" w:tplc="A148C840">
      <w:start w:val="1"/>
      <w:numFmt w:val="lowerRoman"/>
      <w:lvlText w:val="%6."/>
      <w:lvlJc w:val="right"/>
      <w:pPr>
        <w:ind w:left="4320" w:hanging="180"/>
      </w:pPr>
    </w:lvl>
    <w:lvl w:ilvl="6" w:tplc="DAF0ABE4">
      <w:start w:val="1"/>
      <w:numFmt w:val="decimal"/>
      <w:lvlText w:val="%7."/>
      <w:lvlJc w:val="left"/>
      <w:pPr>
        <w:ind w:left="5040" w:hanging="360"/>
      </w:pPr>
    </w:lvl>
    <w:lvl w:ilvl="7" w:tplc="C4C8AA1C">
      <w:start w:val="1"/>
      <w:numFmt w:val="lowerLetter"/>
      <w:lvlText w:val="%8."/>
      <w:lvlJc w:val="left"/>
      <w:pPr>
        <w:ind w:left="5760" w:hanging="360"/>
      </w:pPr>
    </w:lvl>
    <w:lvl w:ilvl="8" w:tplc="A2063206">
      <w:start w:val="1"/>
      <w:numFmt w:val="lowerRoman"/>
      <w:lvlText w:val="%9."/>
      <w:lvlJc w:val="right"/>
      <w:pPr>
        <w:ind w:left="6480" w:hanging="180"/>
      </w:pPr>
    </w:lvl>
  </w:abstractNum>
  <w:abstractNum w:abstractNumId="73" w15:restartNumberingAfterBreak="0">
    <w:nsid w:val="192CB88E"/>
    <w:multiLevelType w:val="hybridMultilevel"/>
    <w:tmpl w:val="943AF720"/>
    <w:lvl w:ilvl="0" w:tplc="0D9EA948">
      <w:start w:val="1"/>
      <w:numFmt w:val="decimal"/>
      <w:lvlText w:val="%1."/>
      <w:lvlJc w:val="left"/>
      <w:pPr>
        <w:ind w:left="720" w:hanging="360"/>
      </w:pPr>
    </w:lvl>
    <w:lvl w:ilvl="1" w:tplc="D7F8DF3A">
      <w:start w:val="1"/>
      <w:numFmt w:val="lowerLetter"/>
      <w:lvlText w:val="%2."/>
      <w:lvlJc w:val="left"/>
      <w:pPr>
        <w:ind w:left="1440" w:hanging="360"/>
      </w:pPr>
    </w:lvl>
    <w:lvl w:ilvl="2" w:tplc="461ABB7E">
      <w:start w:val="1"/>
      <w:numFmt w:val="lowerRoman"/>
      <w:lvlText w:val="%3."/>
      <w:lvlJc w:val="right"/>
      <w:pPr>
        <w:ind w:left="2160" w:hanging="180"/>
      </w:pPr>
    </w:lvl>
    <w:lvl w:ilvl="3" w:tplc="4FF6E780">
      <w:start w:val="1"/>
      <w:numFmt w:val="decimal"/>
      <w:lvlText w:val="%4."/>
      <w:lvlJc w:val="left"/>
      <w:pPr>
        <w:ind w:left="2880" w:hanging="360"/>
      </w:pPr>
    </w:lvl>
    <w:lvl w:ilvl="4" w:tplc="C72A128E">
      <w:start w:val="1"/>
      <w:numFmt w:val="lowerLetter"/>
      <w:lvlText w:val="%5."/>
      <w:lvlJc w:val="left"/>
      <w:pPr>
        <w:ind w:left="3600" w:hanging="360"/>
      </w:pPr>
    </w:lvl>
    <w:lvl w:ilvl="5" w:tplc="301E55BE">
      <w:start w:val="1"/>
      <w:numFmt w:val="lowerRoman"/>
      <w:lvlText w:val="%6."/>
      <w:lvlJc w:val="right"/>
      <w:pPr>
        <w:ind w:left="4320" w:hanging="180"/>
      </w:pPr>
    </w:lvl>
    <w:lvl w:ilvl="6" w:tplc="E5B4A998">
      <w:start w:val="1"/>
      <w:numFmt w:val="decimal"/>
      <w:lvlText w:val="%7."/>
      <w:lvlJc w:val="left"/>
      <w:pPr>
        <w:ind w:left="5040" w:hanging="360"/>
      </w:pPr>
    </w:lvl>
    <w:lvl w:ilvl="7" w:tplc="9EF841C0">
      <w:start w:val="1"/>
      <w:numFmt w:val="lowerLetter"/>
      <w:lvlText w:val="%8."/>
      <w:lvlJc w:val="left"/>
      <w:pPr>
        <w:ind w:left="5760" w:hanging="360"/>
      </w:pPr>
    </w:lvl>
    <w:lvl w:ilvl="8" w:tplc="E0547A68">
      <w:start w:val="1"/>
      <w:numFmt w:val="lowerRoman"/>
      <w:lvlText w:val="%9."/>
      <w:lvlJc w:val="right"/>
      <w:pPr>
        <w:ind w:left="6480" w:hanging="180"/>
      </w:pPr>
    </w:lvl>
  </w:abstractNum>
  <w:abstractNum w:abstractNumId="74" w15:restartNumberingAfterBreak="0">
    <w:nsid w:val="194F1A20"/>
    <w:multiLevelType w:val="hybridMultilevel"/>
    <w:tmpl w:val="C28ADDEA"/>
    <w:lvl w:ilvl="0" w:tplc="E0BAC110">
      <w:start w:val="1"/>
      <w:numFmt w:val="decimal"/>
      <w:lvlText w:val="%1)"/>
      <w:lvlJc w:val="left"/>
      <w:pPr>
        <w:ind w:left="1800" w:hanging="360"/>
      </w:pPr>
    </w:lvl>
    <w:lvl w:ilvl="1" w:tplc="354E5DE8">
      <w:start w:val="1"/>
      <w:numFmt w:val="decimal"/>
      <w:lvlText w:val="%2)"/>
      <w:lvlJc w:val="left"/>
      <w:pPr>
        <w:ind w:left="1800" w:hanging="360"/>
      </w:pPr>
    </w:lvl>
    <w:lvl w:ilvl="2" w:tplc="2A30D2A4">
      <w:start w:val="1"/>
      <w:numFmt w:val="decimal"/>
      <w:lvlText w:val="%3)"/>
      <w:lvlJc w:val="left"/>
      <w:pPr>
        <w:ind w:left="1800" w:hanging="360"/>
      </w:pPr>
    </w:lvl>
    <w:lvl w:ilvl="3" w:tplc="78A0EF02">
      <w:start w:val="1"/>
      <w:numFmt w:val="decimal"/>
      <w:lvlText w:val="%4)"/>
      <w:lvlJc w:val="left"/>
      <w:pPr>
        <w:ind w:left="1800" w:hanging="360"/>
      </w:pPr>
    </w:lvl>
    <w:lvl w:ilvl="4" w:tplc="E7F4406C">
      <w:start w:val="1"/>
      <w:numFmt w:val="decimal"/>
      <w:lvlText w:val="%5)"/>
      <w:lvlJc w:val="left"/>
      <w:pPr>
        <w:ind w:left="1800" w:hanging="360"/>
      </w:pPr>
    </w:lvl>
    <w:lvl w:ilvl="5" w:tplc="E962E90C">
      <w:start w:val="1"/>
      <w:numFmt w:val="decimal"/>
      <w:lvlText w:val="%6)"/>
      <w:lvlJc w:val="left"/>
      <w:pPr>
        <w:ind w:left="1800" w:hanging="360"/>
      </w:pPr>
    </w:lvl>
    <w:lvl w:ilvl="6" w:tplc="20001BB6">
      <w:start w:val="1"/>
      <w:numFmt w:val="decimal"/>
      <w:lvlText w:val="%7)"/>
      <w:lvlJc w:val="left"/>
      <w:pPr>
        <w:ind w:left="1800" w:hanging="360"/>
      </w:pPr>
    </w:lvl>
    <w:lvl w:ilvl="7" w:tplc="7E449414">
      <w:start w:val="1"/>
      <w:numFmt w:val="decimal"/>
      <w:lvlText w:val="%8)"/>
      <w:lvlJc w:val="left"/>
      <w:pPr>
        <w:ind w:left="1800" w:hanging="360"/>
      </w:pPr>
    </w:lvl>
    <w:lvl w:ilvl="8" w:tplc="33C44BA4">
      <w:start w:val="1"/>
      <w:numFmt w:val="decimal"/>
      <w:lvlText w:val="%9)"/>
      <w:lvlJc w:val="left"/>
      <w:pPr>
        <w:ind w:left="1800" w:hanging="360"/>
      </w:pPr>
    </w:lvl>
  </w:abstractNum>
  <w:abstractNum w:abstractNumId="75" w15:restartNumberingAfterBreak="0">
    <w:nsid w:val="1991396D"/>
    <w:multiLevelType w:val="multilevel"/>
    <w:tmpl w:val="A086D35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1A6140E9"/>
    <w:multiLevelType w:val="hybridMultilevel"/>
    <w:tmpl w:val="B81804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1A8DBD7B"/>
    <w:multiLevelType w:val="hybridMultilevel"/>
    <w:tmpl w:val="FFFFFFFF"/>
    <w:lvl w:ilvl="0" w:tplc="7E0CF870">
      <w:start w:val="10"/>
      <w:numFmt w:val="decimal"/>
      <w:lvlText w:val="%1."/>
      <w:lvlJc w:val="left"/>
      <w:pPr>
        <w:ind w:left="720" w:hanging="360"/>
      </w:pPr>
    </w:lvl>
    <w:lvl w:ilvl="1" w:tplc="6C463A86">
      <w:start w:val="1"/>
      <w:numFmt w:val="lowerLetter"/>
      <w:lvlText w:val="%2."/>
      <w:lvlJc w:val="left"/>
      <w:pPr>
        <w:ind w:left="1440" w:hanging="360"/>
      </w:pPr>
    </w:lvl>
    <w:lvl w:ilvl="2" w:tplc="9CDC542C">
      <w:start w:val="1"/>
      <w:numFmt w:val="lowerRoman"/>
      <w:lvlText w:val="%3."/>
      <w:lvlJc w:val="right"/>
      <w:pPr>
        <w:ind w:left="2160" w:hanging="180"/>
      </w:pPr>
    </w:lvl>
    <w:lvl w:ilvl="3" w:tplc="A880A4C4">
      <w:start w:val="1"/>
      <w:numFmt w:val="decimal"/>
      <w:lvlText w:val="%4."/>
      <w:lvlJc w:val="left"/>
      <w:pPr>
        <w:ind w:left="2880" w:hanging="360"/>
      </w:pPr>
    </w:lvl>
    <w:lvl w:ilvl="4" w:tplc="62166188">
      <w:start w:val="1"/>
      <w:numFmt w:val="lowerLetter"/>
      <w:lvlText w:val="%5."/>
      <w:lvlJc w:val="left"/>
      <w:pPr>
        <w:ind w:left="3600" w:hanging="360"/>
      </w:pPr>
    </w:lvl>
    <w:lvl w:ilvl="5" w:tplc="18EC92FC">
      <w:start w:val="1"/>
      <w:numFmt w:val="lowerRoman"/>
      <w:lvlText w:val="%6."/>
      <w:lvlJc w:val="right"/>
      <w:pPr>
        <w:ind w:left="4320" w:hanging="180"/>
      </w:pPr>
    </w:lvl>
    <w:lvl w:ilvl="6" w:tplc="31665B10">
      <w:start w:val="1"/>
      <w:numFmt w:val="decimal"/>
      <w:lvlText w:val="%7."/>
      <w:lvlJc w:val="left"/>
      <w:pPr>
        <w:ind w:left="5040" w:hanging="360"/>
      </w:pPr>
    </w:lvl>
    <w:lvl w:ilvl="7" w:tplc="E272BEDA">
      <w:start w:val="1"/>
      <w:numFmt w:val="lowerLetter"/>
      <w:lvlText w:val="%8."/>
      <w:lvlJc w:val="left"/>
      <w:pPr>
        <w:ind w:left="5760" w:hanging="360"/>
      </w:pPr>
    </w:lvl>
    <w:lvl w:ilvl="8" w:tplc="28C4744A">
      <w:start w:val="1"/>
      <w:numFmt w:val="lowerRoman"/>
      <w:lvlText w:val="%9."/>
      <w:lvlJc w:val="right"/>
      <w:pPr>
        <w:ind w:left="6480" w:hanging="180"/>
      </w:pPr>
    </w:lvl>
  </w:abstractNum>
  <w:abstractNum w:abstractNumId="78" w15:restartNumberingAfterBreak="0">
    <w:nsid w:val="1B275DC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0" w15:restartNumberingAfterBreak="0">
    <w:nsid w:val="1B7CBF49"/>
    <w:multiLevelType w:val="hybridMultilevel"/>
    <w:tmpl w:val="384295A0"/>
    <w:lvl w:ilvl="0" w:tplc="9402903A">
      <w:start w:val="2"/>
      <w:numFmt w:val="decimal"/>
      <w:lvlText w:val="%1."/>
      <w:lvlJc w:val="left"/>
      <w:pPr>
        <w:ind w:left="720" w:hanging="360"/>
      </w:pPr>
    </w:lvl>
    <w:lvl w:ilvl="1" w:tplc="A2DA220E">
      <w:start w:val="1"/>
      <w:numFmt w:val="lowerLetter"/>
      <w:lvlText w:val="%2."/>
      <w:lvlJc w:val="left"/>
      <w:pPr>
        <w:ind w:left="1440" w:hanging="360"/>
      </w:pPr>
    </w:lvl>
    <w:lvl w:ilvl="2" w:tplc="EED2A35A">
      <w:start w:val="1"/>
      <w:numFmt w:val="lowerRoman"/>
      <w:lvlText w:val="%3."/>
      <w:lvlJc w:val="right"/>
      <w:pPr>
        <w:ind w:left="2160" w:hanging="180"/>
      </w:pPr>
    </w:lvl>
    <w:lvl w:ilvl="3" w:tplc="204EB55E">
      <w:start w:val="1"/>
      <w:numFmt w:val="decimal"/>
      <w:lvlText w:val="%4."/>
      <w:lvlJc w:val="left"/>
      <w:pPr>
        <w:ind w:left="2880" w:hanging="360"/>
      </w:pPr>
    </w:lvl>
    <w:lvl w:ilvl="4" w:tplc="49B033EC">
      <w:start w:val="1"/>
      <w:numFmt w:val="lowerLetter"/>
      <w:lvlText w:val="%5."/>
      <w:lvlJc w:val="left"/>
      <w:pPr>
        <w:ind w:left="3600" w:hanging="360"/>
      </w:pPr>
    </w:lvl>
    <w:lvl w:ilvl="5" w:tplc="67CEA352">
      <w:start w:val="1"/>
      <w:numFmt w:val="lowerRoman"/>
      <w:lvlText w:val="%6."/>
      <w:lvlJc w:val="right"/>
      <w:pPr>
        <w:ind w:left="4320" w:hanging="180"/>
      </w:pPr>
    </w:lvl>
    <w:lvl w:ilvl="6" w:tplc="1B76FC48">
      <w:start w:val="1"/>
      <w:numFmt w:val="decimal"/>
      <w:lvlText w:val="%7."/>
      <w:lvlJc w:val="left"/>
      <w:pPr>
        <w:ind w:left="5040" w:hanging="360"/>
      </w:pPr>
    </w:lvl>
    <w:lvl w:ilvl="7" w:tplc="D8D87BFC">
      <w:start w:val="1"/>
      <w:numFmt w:val="lowerLetter"/>
      <w:lvlText w:val="%8."/>
      <w:lvlJc w:val="left"/>
      <w:pPr>
        <w:ind w:left="5760" w:hanging="360"/>
      </w:pPr>
    </w:lvl>
    <w:lvl w:ilvl="8" w:tplc="DC6806DE">
      <w:start w:val="1"/>
      <w:numFmt w:val="lowerRoman"/>
      <w:lvlText w:val="%9."/>
      <w:lvlJc w:val="right"/>
      <w:pPr>
        <w:ind w:left="6480" w:hanging="180"/>
      </w:pPr>
    </w:lvl>
  </w:abstractNum>
  <w:abstractNum w:abstractNumId="81" w15:restartNumberingAfterBreak="0">
    <w:nsid w:val="1B85B42E"/>
    <w:multiLevelType w:val="hybridMultilevel"/>
    <w:tmpl w:val="FFFFFFFF"/>
    <w:lvl w:ilvl="0" w:tplc="D416D78A">
      <w:start w:val="12"/>
      <w:numFmt w:val="decimal"/>
      <w:lvlText w:val="%1."/>
      <w:lvlJc w:val="left"/>
      <w:pPr>
        <w:ind w:left="720" w:hanging="360"/>
      </w:pPr>
    </w:lvl>
    <w:lvl w:ilvl="1" w:tplc="6546A324">
      <w:start w:val="1"/>
      <w:numFmt w:val="lowerLetter"/>
      <w:lvlText w:val="%2."/>
      <w:lvlJc w:val="left"/>
      <w:pPr>
        <w:ind w:left="1440" w:hanging="360"/>
      </w:pPr>
    </w:lvl>
    <w:lvl w:ilvl="2" w:tplc="4D50897A">
      <w:start w:val="1"/>
      <w:numFmt w:val="lowerRoman"/>
      <w:lvlText w:val="%3."/>
      <w:lvlJc w:val="right"/>
      <w:pPr>
        <w:ind w:left="2160" w:hanging="180"/>
      </w:pPr>
    </w:lvl>
    <w:lvl w:ilvl="3" w:tplc="A1829E32">
      <w:start w:val="1"/>
      <w:numFmt w:val="decimal"/>
      <w:lvlText w:val="%4."/>
      <w:lvlJc w:val="left"/>
      <w:pPr>
        <w:ind w:left="2880" w:hanging="360"/>
      </w:pPr>
    </w:lvl>
    <w:lvl w:ilvl="4" w:tplc="58621286">
      <w:start w:val="1"/>
      <w:numFmt w:val="lowerLetter"/>
      <w:lvlText w:val="%5."/>
      <w:lvlJc w:val="left"/>
      <w:pPr>
        <w:ind w:left="3600" w:hanging="360"/>
      </w:pPr>
    </w:lvl>
    <w:lvl w:ilvl="5" w:tplc="077A4458">
      <w:start w:val="1"/>
      <w:numFmt w:val="lowerRoman"/>
      <w:lvlText w:val="%6."/>
      <w:lvlJc w:val="right"/>
      <w:pPr>
        <w:ind w:left="4320" w:hanging="180"/>
      </w:pPr>
    </w:lvl>
    <w:lvl w:ilvl="6" w:tplc="4E241660">
      <w:start w:val="1"/>
      <w:numFmt w:val="decimal"/>
      <w:lvlText w:val="%7."/>
      <w:lvlJc w:val="left"/>
      <w:pPr>
        <w:ind w:left="5040" w:hanging="360"/>
      </w:pPr>
    </w:lvl>
    <w:lvl w:ilvl="7" w:tplc="A1E4366E">
      <w:start w:val="1"/>
      <w:numFmt w:val="lowerLetter"/>
      <w:lvlText w:val="%8."/>
      <w:lvlJc w:val="left"/>
      <w:pPr>
        <w:ind w:left="5760" w:hanging="360"/>
      </w:pPr>
    </w:lvl>
    <w:lvl w:ilvl="8" w:tplc="65A864D8">
      <w:start w:val="1"/>
      <w:numFmt w:val="lowerRoman"/>
      <w:lvlText w:val="%9."/>
      <w:lvlJc w:val="right"/>
      <w:pPr>
        <w:ind w:left="6480" w:hanging="180"/>
      </w:pPr>
    </w:lvl>
  </w:abstractNum>
  <w:abstractNum w:abstractNumId="82" w15:restartNumberingAfterBreak="0">
    <w:nsid w:val="1BB9CC5B"/>
    <w:multiLevelType w:val="hybridMultilevel"/>
    <w:tmpl w:val="FFFFFFFF"/>
    <w:lvl w:ilvl="0" w:tplc="8258CEE4">
      <w:start w:val="2"/>
      <w:numFmt w:val="lowerLetter"/>
      <w:lvlText w:val="%1."/>
      <w:lvlJc w:val="left"/>
      <w:pPr>
        <w:ind w:left="720" w:hanging="360"/>
      </w:pPr>
    </w:lvl>
    <w:lvl w:ilvl="1" w:tplc="AD1C7FBE">
      <w:start w:val="1"/>
      <w:numFmt w:val="lowerLetter"/>
      <w:lvlText w:val="%2."/>
      <w:lvlJc w:val="left"/>
      <w:pPr>
        <w:ind w:left="1440" w:hanging="360"/>
      </w:pPr>
    </w:lvl>
    <w:lvl w:ilvl="2" w:tplc="4178F8D8">
      <w:start w:val="1"/>
      <w:numFmt w:val="lowerRoman"/>
      <w:lvlText w:val="%3."/>
      <w:lvlJc w:val="right"/>
      <w:pPr>
        <w:ind w:left="2160" w:hanging="180"/>
      </w:pPr>
    </w:lvl>
    <w:lvl w:ilvl="3" w:tplc="3EAA75A8">
      <w:start w:val="1"/>
      <w:numFmt w:val="decimal"/>
      <w:lvlText w:val="%4."/>
      <w:lvlJc w:val="left"/>
      <w:pPr>
        <w:ind w:left="2880" w:hanging="360"/>
      </w:pPr>
    </w:lvl>
    <w:lvl w:ilvl="4" w:tplc="2C448A1C">
      <w:start w:val="1"/>
      <w:numFmt w:val="lowerLetter"/>
      <w:lvlText w:val="%5."/>
      <w:lvlJc w:val="left"/>
      <w:pPr>
        <w:ind w:left="3600" w:hanging="360"/>
      </w:pPr>
    </w:lvl>
    <w:lvl w:ilvl="5" w:tplc="E94E111E">
      <w:start w:val="1"/>
      <w:numFmt w:val="lowerRoman"/>
      <w:lvlText w:val="%6."/>
      <w:lvlJc w:val="right"/>
      <w:pPr>
        <w:ind w:left="4320" w:hanging="180"/>
      </w:pPr>
    </w:lvl>
    <w:lvl w:ilvl="6" w:tplc="2CB0D928">
      <w:start w:val="1"/>
      <w:numFmt w:val="decimal"/>
      <w:lvlText w:val="%7."/>
      <w:lvlJc w:val="left"/>
      <w:pPr>
        <w:ind w:left="5040" w:hanging="360"/>
      </w:pPr>
    </w:lvl>
    <w:lvl w:ilvl="7" w:tplc="7C88E9E8">
      <w:start w:val="1"/>
      <w:numFmt w:val="lowerLetter"/>
      <w:lvlText w:val="%8."/>
      <w:lvlJc w:val="left"/>
      <w:pPr>
        <w:ind w:left="5760" w:hanging="360"/>
      </w:pPr>
    </w:lvl>
    <w:lvl w:ilvl="8" w:tplc="178C9C84">
      <w:start w:val="1"/>
      <w:numFmt w:val="lowerRoman"/>
      <w:lvlText w:val="%9."/>
      <w:lvlJc w:val="right"/>
      <w:pPr>
        <w:ind w:left="6480" w:hanging="180"/>
      </w:pPr>
    </w:lvl>
  </w:abstractNum>
  <w:abstractNum w:abstractNumId="83" w15:restartNumberingAfterBreak="0">
    <w:nsid w:val="1BFE17CE"/>
    <w:multiLevelType w:val="hybridMultilevel"/>
    <w:tmpl w:val="D608A136"/>
    <w:lvl w:ilvl="0" w:tplc="02BC345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1D303C89"/>
    <w:multiLevelType w:val="hybridMultilevel"/>
    <w:tmpl w:val="FFFFFFFF"/>
    <w:lvl w:ilvl="0" w:tplc="A21A6128">
      <w:start w:val="4"/>
      <w:numFmt w:val="lowerRoman"/>
      <w:lvlText w:val="%1."/>
      <w:lvlJc w:val="right"/>
      <w:pPr>
        <w:ind w:left="1080" w:hanging="360"/>
      </w:pPr>
    </w:lvl>
    <w:lvl w:ilvl="1" w:tplc="D4601282">
      <w:start w:val="1"/>
      <w:numFmt w:val="lowerLetter"/>
      <w:lvlText w:val="%2."/>
      <w:lvlJc w:val="left"/>
      <w:pPr>
        <w:ind w:left="1440" w:hanging="360"/>
      </w:pPr>
    </w:lvl>
    <w:lvl w:ilvl="2" w:tplc="74069D66">
      <w:start w:val="1"/>
      <w:numFmt w:val="lowerRoman"/>
      <w:lvlText w:val="%3."/>
      <w:lvlJc w:val="right"/>
      <w:pPr>
        <w:ind w:left="2160" w:hanging="180"/>
      </w:pPr>
    </w:lvl>
    <w:lvl w:ilvl="3" w:tplc="EF566B32">
      <w:start w:val="1"/>
      <w:numFmt w:val="decimal"/>
      <w:lvlText w:val="%4."/>
      <w:lvlJc w:val="left"/>
      <w:pPr>
        <w:ind w:left="2880" w:hanging="360"/>
      </w:pPr>
    </w:lvl>
    <w:lvl w:ilvl="4" w:tplc="C63473CE">
      <w:start w:val="1"/>
      <w:numFmt w:val="lowerLetter"/>
      <w:lvlText w:val="%5."/>
      <w:lvlJc w:val="left"/>
      <w:pPr>
        <w:ind w:left="3600" w:hanging="360"/>
      </w:pPr>
    </w:lvl>
    <w:lvl w:ilvl="5" w:tplc="1FE2808C">
      <w:start w:val="1"/>
      <w:numFmt w:val="lowerRoman"/>
      <w:lvlText w:val="%6."/>
      <w:lvlJc w:val="right"/>
      <w:pPr>
        <w:ind w:left="4320" w:hanging="180"/>
      </w:pPr>
    </w:lvl>
    <w:lvl w:ilvl="6" w:tplc="0D223CF0">
      <w:start w:val="1"/>
      <w:numFmt w:val="decimal"/>
      <w:lvlText w:val="%7."/>
      <w:lvlJc w:val="left"/>
      <w:pPr>
        <w:ind w:left="5040" w:hanging="360"/>
      </w:pPr>
    </w:lvl>
    <w:lvl w:ilvl="7" w:tplc="1570D4C4">
      <w:start w:val="1"/>
      <w:numFmt w:val="lowerLetter"/>
      <w:lvlText w:val="%8."/>
      <w:lvlJc w:val="left"/>
      <w:pPr>
        <w:ind w:left="5760" w:hanging="360"/>
      </w:pPr>
    </w:lvl>
    <w:lvl w:ilvl="8" w:tplc="18A6ED02">
      <w:start w:val="1"/>
      <w:numFmt w:val="lowerRoman"/>
      <w:lvlText w:val="%9."/>
      <w:lvlJc w:val="right"/>
      <w:pPr>
        <w:ind w:left="6480" w:hanging="180"/>
      </w:pPr>
    </w:lvl>
  </w:abstractNum>
  <w:abstractNum w:abstractNumId="85" w15:restartNumberingAfterBreak="0">
    <w:nsid w:val="1DEB14F1"/>
    <w:multiLevelType w:val="hybridMultilevel"/>
    <w:tmpl w:val="FFFFFFFF"/>
    <w:lvl w:ilvl="0" w:tplc="C5387018">
      <w:start w:val="1"/>
      <w:numFmt w:val="bullet"/>
      <w:lvlText w:val=""/>
      <w:lvlJc w:val="left"/>
      <w:pPr>
        <w:ind w:left="720" w:hanging="360"/>
      </w:pPr>
      <w:rPr>
        <w:rFonts w:ascii="Symbol" w:hAnsi="Symbol" w:hint="default"/>
      </w:rPr>
    </w:lvl>
    <w:lvl w:ilvl="1" w:tplc="B6BCFFAC">
      <w:start w:val="1"/>
      <w:numFmt w:val="bullet"/>
      <w:lvlText w:val="o"/>
      <w:lvlJc w:val="left"/>
      <w:pPr>
        <w:ind w:left="1440" w:hanging="360"/>
      </w:pPr>
      <w:rPr>
        <w:rFonts w:ascii="Courier New" w:hAnsi="Courier New" w:hint="default"/>
      </w:rPr>
    </w:lvl>
    <w:lvl w:ilvl="2" w:tplc="1698049A">
      <w:start w:val="1"/>
      <w:numFmt w:val="bullet"/>
      <w:lvlText w:val=""/>
      <w:lvlJc w:val="left"/>
      <w:pPr>
        <w:ind w:left="2160" w:hanging="360"/>
      </w:pPr>
      <w:rPr>
        <w:rFonts w:ascii="Wingdings" w:hAnsi="Wingdings" w:hint="default"/>
      </w:rPr>
    </w:lvl>
    <w:lvl w:ilvl="3" w:tplc="FCC4A536">
      <w:start w:val="1"/>
      <w:numFmt w:val="bullet"/>
      <w:lvlText w:val=""/>
      <w:lvlJc w:val="left"/>
      <w:pPr>
        <w:ind w:left="2880" w:hanging="360"/>
      </w:pPr>
      <w:rPr>
        <w:rFonts w:ascii="Symbol" w:hAnsi="Symbol" w:hint="default"/>
      </w:rPr>
    </w:lvl>
    <w:lvl w:ilvl="4" w:tplc="89E8106C">
      <w:start w:val="1"/>
      <w:numFmt w:val="bullet"/>
      <w:lvlText w:val="o"/>
      <w:lvlJc w:val="left"/>
      <w:pPr>
        <w:ind w:left="3600" w:hanging="360"/>
      </w:pPr>
      <w:rPr>
        <w:rFonts w:ascii="Courier New" w:hAnsi="Courier New" w:hint="default"/>
      </w:rPr>
    </w:lvl>
    <w:lvl w:ilvl="5" w:tplc="738AFEC8">
      <w:start w:val="1"/>
      <w:numFmt w:val="bullet"/>
      <w:lvlText w:val=""/>
      <w:lvlJc w:val="left"/>
      <w:pPr>
        <w:ind w:left="4320" w:hanging="360"/>
      </w:pPr>
      <w:rPr>
        <w:rFonts w:ascii="Wingdings" w:hAnsi="Wingdings" w:hint="default"/>
      </w:rPr>
    </w:lvl>
    <w:lvl w:ilvl="6" w:tplc="C9CE7C30">
      <w:start w:val="1"/>
      <w:numFmt w:val="bullet"/>
      <w:lvlText w:val=""/>
      <w:lvlJc w:val="left"/>
      <w:pPr>
        <w:ind w:left="5040" w:hanging="360"/>
      </w:pPr>
      <w:rPr>
        <w:rFonts w:ascii="Symbol" w:hAnsi="Symbol" w:hint="default"/>
      </w:rPr>
    </w:lvl>
    <w:lvl w:ilvl="7" w:tplc="AA9CB930">
      <w:start w:val="1"/>
      <w:numFmt w:val="bullet"/>
      <w:lvlText w:val="o"/>
      <w:lvlJc w:val="left"/>
      <w:pPr>
        <w:ind w:left="5760" w:hanging="360"/>
      </w:pPr>
      <w:rPr>
        <w:rFonts w:ascii="Courier New" w:hAnsi="Courier New" w:hint="default"/>
      </w:rPr>
    </w:lvl>
    <w:lvl w:ilvl="8" w:tplc="11C28648">
      <w:start w:val="1"/>
      <w:numFmt w:val="bullet"/>
      <w:lvlText w:val=""/>
      <w:lvlJc w:val="left"/>
      <w:pPr>
        <w:ind w:left="6480" w:hanging="360"/>
      </w:pPr>
      <w:rPr>
        <w:rFonts w:ascii="Wingdings" w:hAnsi="Wingdings" w:hint="default"/>
      </w:rPr>
    </w:lvl>
  </w:abstractNum>
  <w:abstractNum w:abstractNumId="86" w15:restartNumberingAfterBreak="0">
    <w:nsid w:val="1EA337E1"/>
    <w:multiLevelType w:val="hybridMultilevel"/>
    <w:tmpl w:val="FFFFFFFF"/>
    <w:lvl w:ilvl="0" w:tplc="6978BCA6">
      <w:start w:val="5"/>
      <w:numFmt w:val="lowerRoman"/>
      <w:lvlText w:val="%1."/>
      <w:lvlJc w:val="right"/>
      <w:pPr>
        <w:ind w:left="1080" w:hanging="360"/>
      </w:pPr>
    </w:lvl>
    <w:lvl w:ilvl="1" w:tplc="CF06B36E">
      <w:start w:val="1"/>
      <w:numFmt w:val="lowerLetter"/>
      <w:lvlText w:val="%2."/>
      <w:lvlJc w:val="left"/>
      <w:pPr>
        <w:ind w:left="1440" w:hanging="360"/>
      </w:pPr>
    </w:lvl>
    <w:lvl w:ilvl="2" w:tplc="2066629C">
      <w:start w:val="1"/>
      <w:numFmt w:val="lowerRoman"/>
      <w:lvlText w:val="%3."/>
      <w:lvlJc w:val="right"/>
      <w:pPr>
        <w:ind w:left="2160" w:hanging="180"/>
      </w:pPr>
    </w:lvl>
    <w:lvl w:ilvl="3" w:tplc="5F362CC0">
      <w:start w:val="1"/>
      <w:numFmt w:val="decimal"/>
      <w:lvlText w:val="%4."/>
      <w:lvlJc w:val="left"/>
      <w:pPr>
        <w:ind w:left="2880" w:hanging="360"/>
      </w:pPr>
    </w:lvl>
    <w:lvl w:ilvl="4" w:tplc="09380F30">
      <w:start w:val="1"/>
      <w:numFmt w:val="lowerLetter"/>
      <w:lvlText w:val="%5."/>
      <w:lvlJc w:val="left"/>
      <w:pPr>
        <w:ind w:left="3600" w:hanging="360"/>
      </w:pPr>
    </w:lvl>
    <w:lvl w:ilvl="5" w:tplc="F9502D82">
      <w:start w:val="1"/>
      <w:numFmt w:val="lowerRoman"/>
      <w:lvlText w:val="%6."/>
      <w:lvlJc w:val="right"/>
      <w:pPr>
        <w:ind w:left="4320" w:hanging="180"/>
      </w:pPr>
    </w:lvl>
    <w:lvl w:ilvl="6" w:tplc="2A5EC638">
      <w:start w:val="1"/>
      <w:numFmt w:val="decimal"/>
      <w:lvlText w:val="%7."/>
      <w:lvlJc w:val="left"/>
      <w:pPr>
        <w:ind w:left="5040" w:hanging="360"/>
      </w:pPr>
    </w:lvl>
    <w:lvl w:ilvl="7" w:tplc="D8C22C08">
      <w:start w:val="1"/>
      <w:numFmt w:val="lowerLetter"/>
      <w:lvlText w:val="%8."/>
      <w:lvlJc w:val="left"/>
      <w:pPr>
        <w:ind w:left="5760" w:hanging="360"/>
      </w:pPr>
    </w:lvl>
    <w:lvl w:ilvl="8" w:tplc="9BC20440">
      <w:start w:val="1"/>
      <w:numFmt w:val="lowerRoman"/>
      <w:lvlText w:val="%9."/>
      <w:lvlJc w:val="right"/>
      <w:pPr>
        <w:ind w:left="6480" w:hanging="180"/>
      </w:pPr>
    </w:lvl>
  </w:abstractNum>
  <w:abstractNum w:abstractNumId="87" w15:restartNumberingAfterBreak="0">
    <w:nsid w:val="1EDD5151"/>
    <w:multiLevelType w:val="hybridMultilevel"/>
    <w:tmpl w:val="FFFFFFFF"/>
    <w:lvl w:ilvl="0" w:tplc="73088188">
      <w:start w:val="1"/>
      <w:numFmt w:val="bullet"/>
      <w:lvlText w:val=""/>
      <w:lvlJc w:val="left"/>
      <w:pPr>
        <w:ind w:left="720" w:hanging="360"/>
      </w:pPr>
      <w:rPr>
        <w:rFonts w:ascii="Symbol" w:hAnsi="Symbol" w:hint="default"/>
      </w:rPr>
    </w:lvl>
    <w:lvl w:ilvl="1" w:tplc="9CA2682C">
      <w:start w:val="1"/>
      <w:numFmt w:val="bullet"/>
      <w:lvlText w:val="o"/>
      <w:lvlJc w:val="left"/>
      <w:pPr>
        <w:ind w:left="1440" w:hanging="360"/>
      </w:pPr>
      <w:rPr>
        <w:rFonts w:ascii="Courier New" w:hAnsi="Courier New" w:hint="default"/>
      </w:rPr>
    </w:lvl>
    <w:lvl w:ilvl="2" w:tplc="BACE261C">
      <w:start w:val="1"/>
      <w:numFmt w:val="bullet"/>
      <w:lvlText w:val=""/>
      <w:lvlJc w:val="left"/>
      <w:pPr>
        <w:ind w:left="2160" w:hanging="360"/>
      </w:pPr>
      <w:rPr>
        <w:rFonts w:ascii="Wingdings" w:hAnsi="Wingdings" w:hint="default"/>
      </w:rPr>
    </w:lvl>
    <w:lvl w:ilvl="3" w:tplc="4F223560">
      <w:start w:val="1"/>
      <w:numFmt w:val="bullet"/>
      <w:lvlText w:val=""/>
      <w:lvlJc w:val="left"/>
      <w:pPr>
        <w:ind w:left="2880" w:hanging="360"/>
      </w:pPr>
      <w:rPr>
        <w:rFonts w:ascii="Symbol" w:hAnsi="Symbol" w:hint="default"/>
      </w:rPr>
    </w:lvl>
    <w:lvl w:ilvl="4" w:tplc="197AADD8">
      <w:start w:val="1"/>
      <w:numFmt w:val="bullet"/>
      <w:lvlText w:val="o"/>
      <w:lvlJc w:val="left"/>
      <w:pPr>
        <w:ind w:left="3600" w:hanging="360"/>
      </w:pPr>
      <w:rPr>
        <w:rFonts w:ascii="Courier New" w:hAnsi="Courier New" w:hint="default"/>
      </w:rPr>
    </w:lvl>
    <w:lvl w:ilvl="5" w:tplc="D750D7B4">
      <w:start w:val="1"/>
      <w:numFmt w:val="bullet"/>
      <w:lvlText w:val=""/>
      <w:lvlJc w:val="left"/>
      <w:pPr>
        <w:ind w:left="4320" w:hanging="360"/>
      </w:pPr>
      <w:rPr>
        <w:rFonts w:ascii="Wingdings" w:hAnsi="Wingdings" w:hint="default"/>
      </w:rPr>
    </w:lvl>
    <w:lvl w:ilvl="6" w:tplc="A46AFE8A">
      <w:start w:val="1"/>
      <w:numFmt w:val="bullet"/>
      <w:lvlText w:val=""/>
      <w:lvlJc w:val="left"/>
      <w:pPr>
        <w:ind w:left="5040" w:hanging="360"/>
      </w:pPr>
      <w:rPr>
        <w:rFonts w:ascii="Symbol" w:hAnsi="Symbol" w:hint="default"/>
      </w:rPr>
    </w:lvl>
    <w:lvl w:ilvl="7" w:tplc="7BDAF140">
      <w:start w:val="1"/>
      <w:numFmt w:val="bullet"/>
      <w:lvlText w:val="o"/>
      <w:lvlJc w:val="left"/>
      <w:pPr>
        <w:ind w:left="5760" w:hanging="360"/>
      </w:pPr>
      <w:rPr>
        <w:rFonts w:ascii="Courier New" w:hAnsi="Courier New" w:hint="default"/>
      </w:rPr>
    </w:lvl>
    <w:lvl w:ilvl="8" w:tplc="D3E24386">
      <w:start w:val="1"/>
      <w:numFmt w:val="bullet"/>
      <w:lvlText w:val=""/>
      <w:lvlJc w:val="left"/>
      <w:pPr>
        <w:ind w:left="6480" w:hanging="360"/>
      </w:pPr>
      <w:rPr>
        <w:rFonts w:ascii="Wingdings" w:hAnsi="Wingdings" w:hint="default"/>
      </w:rPr>
    </w:lvl>
  </w:abstractNum>
  <w:abstractNum w:abstractNumId="88" w15:restartNumberingAfterBreak="0">
    <w:nsid w:val="1F42C193"/>
    <w:multiLevelType w:val="hybridMultilevel"/>
    <w:tmpl w:val="FFFFFFFF"/>
    <w:lvl w:ilvl="0" w:tplc="90906BD8">
      <w:start w:val="3"/>
      <w:numFmt w:val="lowerLetter"/>
      <w:lvlText w:val="%1."/>
      <w:lvlJc w:val="left"/>
      <w:pPr>
        <w:ind w:left="720" w:hanging="360"/>
      </w:pPr>
    </w:lvl>
    <w:lvl w:ilvl="1" w:tplc="C7F0D1B6">
      <w:start w:val="1"/>
      <w:numFmt w:val="lowerLetter"/>
      <w:lvlText w:val="%2."/>
      <w:lvlJc w:val="left"/>
      <w:pPr>
        <w:ind w:left="1440" w:hanging="360"/>
      </w:pPr>
    </w:lvl>
    <w:lvl w:ilvl="2" w:tplc="EBD84E3E">
      <w:start w:val="1"/>
      <w:numFmt w:val="lowerRoman"/>
      <w:lvlText w:val="%3."/>
      <w:lvlJc w:val="right"/>
      <w:pPr>
        <w:ind w:left="2160" w:hanging="180"/>
      </w:pPr>
    </w:lvl>
    <w:lvl w:ilvl="3" w:tplc="147E7466">
      <w:start w:val="1"/>
      <w:numFmt w:val="decimal"/>
      <w:lvlText w:val="%4."/>
      <w:lvlJc w:val="left"/>
      <w:pPr>
        <w:ind w:left="2880" w:hanging="360"/>
      </w:pPr>
    </w:lvl>
    <w:lvl w:ilvl="4" w:tplc="0EE24A0E">
      <w:start w:val="1"/>
      <w:numFmt w:val="lowerLetter"/>
      <w:lvlText w:val="%5."/>
      <w:lvlJc w:val="left"/>
      <w:pPr>
        <w:ind w:left="3600" w:hanging="360"/>
      </w:pPr>
    </w:lvl>
    <w:lvl w:ilvl="5" w:tplc="4FA27688">
      <w:start w:val="1"/>
      <w:numFmt w:val="lowerRoman"/>
      <w:lvlText w:val="%6."/>
      <w:lvlJc w:val="right"/>
      <w:pPr>
        <w:ind w:left="4320" w:hanging="180"/>
      </w:pPr>
    </w:lvl>
    <w:lvl w:ilvl="6" w:tplc="B484BC7A">
      <w:start w:val="1"/>
      <w:numFmt w:val="decimal"/>
      <w:lvlText w:val="%7."/>
      <w:lvlJc w:val="left"/>
      <w:pPr>
        <w:ind w:left="5040" w:hanging="360"/>
      </w:pPr>
    </w:lvl>
    <w:lvl w:ilvl="7" w:tplc="24AE7360">
      <w:start w:val="1"/>
      <w:numFmt w:val="lowerLetter"/>
      <w:lvlText w:val="%8."/>
      <w:lvlJc w:val="left"/>
      <w:pPr>
        <w:ind w:left="5760" w:hanging="360"/>
      </w:pPr>
    </w:lvl>
    <w:lvl w:ilvl="8" w:tplc="BB7644AA">
      <w:start w:val="1"/>
      <w:numFmt w:val="lowerRoman"/>
      <w:lvlText w:val="%9."/>
      <w:lvlJc w:val="right"/>
      <w:pPr>
        <w:ind w:left="6480" w:hanging="180"/>
      </w:pPr>
    </w:lvl>
  </w:abstractNum>
  <w:abstractNum w:abstractNumId="89" w15:restartNumberingAfterBreak="0">
    <w:nsid w:val="1F923B1D"/>
    <w:multiLevelType w:val="hybridMultilevel"/>
    <w:tmpl w:val="FFFFFFFF"/>
    <w:lvl w:ilvl="0" w:tplc="5DBEA212">
      <w:start w:val="1"/>
      <w:numFmt w:val="decimal"/>
      <w:lvlText w:val="%1."/>
      <w:lvlJc w:val="left"/>
      <w:pPr>
        <w:ind w:left="720" w:hanging="360"/>
      </w:pPr>
    </w:lvl>
    <w:lvl w:ilvl="1" w:tplc="31A4AE6A">
      <w:start w:val="1"/>
      <w:numFmt w:val="lowerLetter"/>
      <w:lvlText w:val="%2."/>
      <w:lvlJc w:val="left"/>
      <w:pPr>
        <w:ind w:left="1440" w:hanging="360"/>
      </w:pPr>
    </w:lvl>
    <w:lvl w:ilvl="2" w:tplc="C76ABF64">
      <w:start w:val="1"/>
      <w:numFmt w:val="lowerRoman"/>
      <w:lvlText w:val="%3."/>
      <w:lvlJc w:val="right"/>
      <w:pPr>
        <w:ind w:left="2160" w:hanging="180"/>
      </w:pPr>
    </w:lvl>
    <w:lvl w:ilvl="3" w:tplc="072A4102">
      <w:start w:val="1"/>
      <w:numFmt w:val="decimal"/>
      <w:lvlText w:val="%4."/>
      <w:lvlJc w:val="left"/>
      <w:pPr>
        <w:ind w:left="2880" w:hanging="360"/>
      </w:pPr>
    </w:lvl>
    <w:lvl w:ilvl="4" w:tplc="772E7F44">
      <w:start w:val="1"/>
      <w:numFmt w:val="lowerLetter"/>
      <w:lvlText w:val="%5."/>
      <w:lvlJc w:val="left"/>
      <w:pPr>
        <w:ind w:left="3600" w:hanging="360"/>
      </w:pPr>
    </w:lvl>
    <w:lvl w:ilvl="5" w:tplc="C938F9F8">
      <w:start w:val="1"/>
      <w:numFmt w:val="lowerRoman"/>
      <w:lvlText w:val="%6."/>
      <w:lvlJc w:val="right"/>
      <w:pPr>
        <w:ind w:left="4320" w:hanging="180"/>
      </w:pPr>
    </w:lvl>
    <w:lvl w:ilvl="6" w:tplc="68AC161A">
      <w:start w:val="1"/>
      <w:numFmt w:val="decimal"/>
      <w:lvlText w:val="%7."/>
      <w:lvlJc w:val="left"/>
      <w:pPr>
        <w:ind w:left="5040" w:hanging="360"/>
      </w:pPr>
    </w:lvl>
    <w:lvl w:ilvl="7" w:tplc="26447188">
      <w:start w:val="1"/>
      <w:numFmt w:val="lowerLetter"/>
      <w:lvlText w:val="%8."/>
      <w:lvlJc w:val="left"/>
      <w:pPr>
        <w:ind w:left="5760" w:hanging="360"/>
      </w:pPr>
    </w:lvl>
    <w:lvl w:ilvl="8" w:tplc="C722E034">
      <w:start w:val="1"/>
      <w:numFmt w:val="lowerRoman"/>
      <w:lvlText w:val="%9."/>
      <w:lvlJc w:val="right"/>
      <w:pPr>
        <w:ind w:left="6480" w:hanging="180"/>
      </w:pPr>
    </w:lvl>
  </w:abstractNum>
  <w:abstractNum w:abstractNumId="90" w15:restartNumberingAfterBreak="0">
    <w:nsid w:val="201467A4"/>
    <w:multiLevelType w:val="hybridMultilevel"/>
    <w:tmpl w:val="915E4A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2021550C"/>
    <w:multiLevelType w:val="hybridMultilevel"/>
    <w:tmpl w:val="FFFFFFFF"/>
    <w:lvl w:ilvl="0" w:tplc="46CC776E">
      <w:start w:val="4"/>
      <w:numFmt w:val="lowerLetter"/>
      <w:lvlText w:val="%1."/>
      <w:lvlJc w:val="left"/>
      <w:pPr>
        <w:ind w:left="720" w:hanging="360"/>
      </w:pPr>
    </w:lvl>
    <w:lvl w:ilvl="1" w:tplc="54107AF6">
      <w:start w:val="1"/>
      <w:numFmt w:val="lowerLetter"/>
      <w:lvlText w:val="%2."/>
      <w:lvlJc w:val="left"/>
      <w:pPr>
        <w:ind w:left="1440" w:hanging="360"/>
      </w:pPr>
    </w:lvl>
    <w:lvl w:ilvl="2" w:tplc="BF06D392">
      <w:start w:val="1"/>
      <w:numFmt w:val="lowerRoman"/>
      <w:lvlText w:val="%3."/>
      <w:lvlJc w:val="right"/>
      <w:pPr>
        <w:ind w:left="2160" w:hanging="180"/>
      </w:pPr>
    </w:lvl>
    <w:lvl w:ilvl="3" w:tplc="31C80EC8">
      <w:start w:val="1"/>
      <w:numFmt w:val="decimal"/>
      <w:lvlText w:val="%4."/>
      <w:lvlJc w:val="left"/>
      <w:pPr>
        <w:ind w:left="2880" w:hanging="360"/>
      </w:pPr>
    </w:lvl>
    <w:lvl w:ilvl="4" w:tplc="74E01070">
      <w:start w:val="1"/>
      <w:numFmt w:val="lowerLetter"/>
      <w:lvlText w:val="%5."/>
      <w:lvlJc w:val="left"/>
      <w:pPr>
        <w:ind w:left="3600" w:hanging="360"/>
      </w:pPr>
    </w:lvl>
    <w:lvl w:ilvl="5" w:tplc="086C5780">
      <w:start w:val="1"/>
      <w:numFmt w:val="lowerRoman"/>
      <w:lvlText w:val="%6."/>
      <w:lvlJc w:val="right"/>
      <w:pPr>
        <w:ind w:left="4320" w:hanging="180"/>
      </w:pPr>
    </w:lvl>
    <w:lvl w:ilvl="6" w:tplc="402C5264">
      <w:start w:val="1"/>
      <w:numFmt w:val="decimal"/>
      <w:lvlText w:val="%7."/>
      <w:lvlJc w:val="left"/>
      <w:pPr>
        <w:ind w:left="5040" w:hanging="360"/>
      </w:pPr>
    </w:lvl>
    <w:lvl w:ilvl="7" w:tplc="2A763656">
      <w:start w:val="1"/>
      <w:numFmt w:val="lowerLetter"/>
      <w:lvlText w:val="%8."/>
      <w:lvlJc w:val="left"/>
      <w:pPr>
        <w:ind w:left="5760" w:hanging="360"/>
      </w:pPr>
    </w:lvl>
    <w:lvl w:ilvl="8" w:tplc="D07A95CA">
      <w:start w:val="1"/>
      <w:numFmt w:val="lowerRoman"/>
      <w:lvlText w:val="%9."/>
      <w:lvlJc w:val="right"/>
      <w:pPr>
        <w:ind w:left="6480" w:hanging="180"/>
      </w:pPr>
    </w:lvl>
  </w:abstractNum>
  <w:abstractNum w:abstractNumId="92" w15:restartNumberingAfterBreak="0">
    <w:nsid w:val="20BA3079"/>
    <w:multiLevelType w:val="hybridMultilevel"/>
    <w:tmpl w:val="3FD66F18"/>
    <w:lvl w:ilvl="0" w:tplc="4DF2958C">
      <w:start w:val="1"/>
      <w:numFmt w:val="bullet"/>
      <w:lvlText w:val="-"/>
      <w:lvlJc w:val="left"/>
      <w:pPr>
        <w:ind w:left="720" w:hanging="360"/>
      </w:pPr>
      <w:rPr>
        <w:rFonts w:ascii="Calibri" w:hAnsi="Calibri" w:hint="default"/>
      </w:rPr>
    </w:lvl>
    <w:lvl w:ilvl="1" w:tplc="84EE432E">
      <w:start w:val="1"/>
      <w:numFmt w:val="bullet"/>
      <w:lvlText w:val="o"/>
      <w:lvlJc w:val="left"/>
      <w:pPr>
        <w:ind w:left="1440" w:hanging="360"/>
      </w:pPr>
      <w:rPr>
        <w:rFonts w:ascii="Courier New" w:hAnsi="Courier New" w:hint="default"/>
      </w:rPr>
    </w:lvl>
    <w:lvl w:ilvl="2" w:tplc="A9E2F49E">
      <w:start w:val="1"/>
      <w:numFmt w:val="bullet"/>
      <w:lvlText w:val=""/>
      <w:lvlJc w:val="left"/>
      <w:pPr>
        <w:ind w:left="2160" w:hanging="360"/>
      </w:pPr>
      <w:rPr>
        <w:rFonts w:ascii="Wingdings" w:hAnsi="Wingdings" w:hint="default"/>
      </w:rPr>
    </w:lvl>
    <w:lvl w:ilvl="3" w:tplc="DD467064">
      <w:start w:val="1"/>
      <w:numFmt w:val="bullet"/>
      <w:lvlText w:val=""/>
      <w:lvlJc w:val="left"/>
      <w:pPr>
        <w:ind w:left="2880" w:hanging="360"/>
      </w:pPr>
      <w:rPr>
        <w:rFonts w:ascii="Symbol" w:hAnsi="Symbol" w:hint="default"/>
      </w:rPr>
    </w:lvl>
    <w:lvl w:ilvl="4" w:tplc="2020D88C">
      <w:start w:val="1"/>
      <w:numFmt w:val="bullet"/>
      <w:lvlText w:val="o"/>
      <w:lvlJc w:val="left"/>
      <w:pPr>
        <w:ind w:left="3600" w:hanging="360"/>
      </w:pPr>
      <w:rPr>
        <w:rFonts w:ascii="Courier New" w:hAnsi="Courier New" w:hint="default"/>
      </w:rPr>
    </w:lvl>
    <w:lvl w:ilvl="5" w:tplc="2AF67C26">
      <w:start w:val="1"/>
      <w:numFmt w:val="bullet"/>
      <w:lvlText w:val=""/>
      <w:lvlJc w:val="left"/>
      <w:pPr>
        <w:ind w:left="4320" w:hanging="360"/>
      </w:pPr>
      <w:rPr>
        <w:rFonts w:ascii="Wingdings" w:hAnsi="Wingdings" w:hint="default"/>
      </w:rPr>
    </w:lvl>
    <w:lvl w:ilvl="6" w:tplc="61AEABF2">
      <w:start w:val="1"/>
      <w:numFmt w:val="bullet"/>
      <w:lvlText w:val=""/>
      <w:lvlJc w:val="left"/>
      <w:pPr>
        <w:ind w:left="5040" w:hanging="360"/>
      </w:pPr>
      <w:rPr>
        <w:rFonts w:ascii="Symbol" w:hAnsi="Symbol" w:hint="default"/>
      </w:rPr>
    </w:lvl>
    <w:lvl w:ilvl="7" w:tplc="F39E73C8">
      <w:start w:val="1"/>
      <w:numFmt w:val="bullet"/>
      <w:lvlText w:val="o"/>
      <w:lvlJc w:val="left"/>
      <w:pPr>
        <w:ind w:left="5760" w:hanging="360"/>
      </w:pPr>
      <w:rPr>
        <w:rFonts w:ascii="Courier New" w:hAnsi="Courier New" w:hint="default"/>
      </w:rPr>
    </w:lvl>
    <w:lvl w:ilvl="8" w:tplc="2D1E49F8">
      <w:start w:val="1"/>
      <w:numFmt w:val="bullet"/>
      <w:lvlText w:val=""/>
      <w:lvlJc w:val="left"/>
      <w:pPr>
        <w:ind w:left="6480" w:hanging="360"/>
      </w:pPr>
      <w:rPr>
        <w:rFonts w:ascii="Wingdings" w:hAnsi="Wingdings" w:hint="default"/>
      </w:rPr>
    </w:lvl>
  </w:abstractNum>
  <w:abstractNum w:abstractNumId="93" w15:restartNumberingAfterBreak="0">
    <w:nsid w:val="20DE47CF"/>
    <w:multiLevelType w:val="hybridMultilevel"/>
    <w:tmpl w:val="FFFFFFFF"/>
    <w:lvl w:ilvl="0" w:tplc="774AEB34">
      <w:start w:val="1"/>
      <w:numFmt w:val="bullet"/>
      <w:lvlText w:val=""/>
      <w:lvlJc w:val="left"/>
      <w:pPr>
        <w:ind w:left="720" w:hanging="360"/>
      </w:pPr>
      <w:rPr>
        <w:rFonts w:ascii="Symbol" w:hAnsi="Symbol" w:hint="default"/>
      </w:rPr>
    </w:lvl>
    <w:lvl w:ilvl="1" w:tplc="E3968868">
      <w:start w:val="1"/>
      <w:numFmt w:val="bullet"/>
      <w:lvlText w:val="o"/>
      <w:lvlJc w:val="left"/>
      <w:pPr>
        <w:ind w:left="1440" w:hanging="360"/>
      </w:pPr>
      <w:rPr>
        <w:rFonts w:ascii="Courier New" w:hAnsi="Courier New" w:hint="default"/>
      </w:rPr>
    </w:lvl>
    <w:lvl w:ilvl="2" w:tplc="8BB62982">
      <w:start w:val="1"/>
      <w:numFmt w:val="bullet"/>
      <w:lvlText w:val=""/>
      <w:lvlJc w:val="left"/>
      <w:pPr>
        <w:ind w:left="2160" w:hanging="360"/>
      </w:pPr>
      <w:rPr>
        <w:rFonts w:ascii="Wingdings" w:hAnsi="Wingdings" w:hint="default"/>
      </w:rPr>
    </w:lvl>
    <w:lvl w:ilvl="3" w:tplc="DDD6E5C2">
      <w:start w:val="1"/>
      <w:numFmt w:val="bullet"/>
      <w:lvlText w:val=""/>
      <w:lvlJc w:val="left"/>
      <w:pPr>
        <w:ind w:left="2880" w:hanging="360"/>
      </w:pPr>
      <w:rPr>
        <w:rFonts w:ascii="Symbol" w:hAnsi="Symbol" w:hint="default"/>
      </w:rPr>
    </w:lvl>
    <w:lvl w:ilvl="4" w:tplc="E650437A">
      <w:start w:val="1"/>
      <w:numFmt w:val="bullet"/>
      <w:lvlText w:val="o"/>
      <w:lvlJc w:val="left"/>
      <w:pPr>
        <w:ind w:left="3600" w:hanging="360"/>
      </w:pPr>
      <w:rPr>
        <w:rFonts w:ascii="Courier New" w:hAnsi="Courier New" w:hint="default"/>
      </w:rPr>
    </w:lvl>
    <w:lvl w:ilvl="5" w:tplc="112C2E44">
      <w:start w:val="1"/>
      <w:numFmt w:val="bullet"/>
      <w:lvlText w:val=""/>
      <w:lvlJc w:val="left"/>
      <w:pPr>
        <w:ind w:left="4320" w:hanging="360"/>
      </w:pPr>
      <w:rPr>
        <w:rFonts w:ascii="Wingdings" w:hAnsi="Wingdings" w:hint="default"/>
      </w:rPr>
    </w:lvl>
    <w:lvl w:ilvl="6" w:tplc="46F224F8">
      <w:start w:val="1"/>
      <w:numFmt w:val="bullet"/>
      <w:lvlText w:val=""/>
      <w:lvlJc w:val="left"/>
      <w:pPr>
        <w:ind w:left="5040" w:hanging="360"/>
      </w:pPr>
      <w:rPr>
        <w:rFonts w:ascii="Symbol" w:hAnsi="Symbol" w:hint="default"/>
      </w:rPr>
    </w:lvl>
    <w:lvl w:ilvl="7" w:tplc="9878D96A">
      <w:start w:val="1"/>
      <w:numFmt w:val="bullet"/>
      <w:lvlText w:val="o"/>
      <w:lvlJc w:val="left"/>
      <w:pPr>
        <w:ind w:left="5760" w:hanging="360"/>
      </w:pPr>
      <w:rPr>
        <w:rFonts w:ascii="Courier New" w:hAnsi="Courier New" w:hint="default"/>
      </w:rPr>
    </w:lvl>
    <w:lvl w:ilvl="8" w:tplc="5198CAA4">
      <w:start w:val="1"/>
      <w:numFmt w:val="bullet"/>
      <w:lvlText w:val=""/>
      <w:lvlJc w:val="left"/>
      <w:pPr>
        <w:ind w:left="6480" w:hanging="360"/>
      </w:pPr>
      <w:rPr>
        <w:rFonts w:ascii="Wingdings" w:hAnsi="Wingdings" w:hint="default"/>
      </w:rPr>
    </w:lvl>
  </w:abstractNum>
  <w:abstractNum w:abstractNumId="94" w15:restartNumberingAfterBreak="0">
    <w:nsid w:val="212F2E97"/>
    <w:multiLevelType w:val="hybridMultilevel"/>
    <w:tmpl w:val="061EF00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95" w15:restartNumberingAfterBreak="0">
    <w:nsid w:val="214C450B"/>
    <w:multiLevelType w:val="hybridMultilevel"/>
    <w:tmpl w:val="FFFFFFFF"/>
    <w:lvl w:ilvl="0" w:tplc="63B814AA">
      <w:start w:val="1"/>
      <w:numFmt w:val="decimal"/>
      <w:lvlText w:val="%1."/>
      <w:lvlJc w:val="left"/>
      <w:pPr>
        <w:ind w:left="720" w:hanging="360"/>
      </w:pPr>
    </w:lvl>
    <w:lvl w:ilvl="1" w:tplc="2D94FFB2">
      <w:start w:val="4"/>
      <w:numFmt w:val="lowerRoman"/>
      <w:lvlText w:val="%2."/>
      <w:lvlJc w:val="right"/>
      <w:pPr>
        <w:ind w:left="1440" w:hanging="360"/>
      </w:pPr>
    </w:lvl>
    <w:lvl w:ilvl="2" w:tplc="EBE07ED6">
      <w:start w:val="1"/>
      <w:numFmt w:val="lowerRoman"/>
      <w:lvlText w:val="%3."/>
      <w:lvlJc w:val="right"/>
      <w:pPr>
        <w:ind w:left="2160" w:hanging="180"/>
      </w:pPr>
    </w:lvl>
    <w:lvl w:ilvl="3" w:tplc="804C427A">
      <w:start w:val="1"/>
      <w:numFmt w:val="decimal"/>
      <w:lvlText w:val="%4."/>
      <w:lvlJc w:val="left"/>
      <w:pPr>
        <w:ind w:left="2880" w:hanging="360"/>
      </w:pPr>
    </w:lvl>
    <w:lvl w:ilvl="4" w:tplc="BABA1AF4">
      <w:start w:val="1"/>
      <w:numFmt w:val="lowerLetter"/>
      <w:lvlText w:val="%5."/>
      <w:lvlJc w:val="left"/>
      <w:pPr>
        <w:ind w:left="3600" w:hanging="360"/>
      </w:pPr>
    </w:lvl>
    <w:lvl w:ilvl="5" w:tplc="4BB6F69C">
      <w:start w:val="1"/>
      <w:numFmt w:val="lowerRoman"/>
      <w:lvlText w:val="%6."/>
      <w:lvlJc w:val="right"/>
      <w:pPr>
        <w:ind w:left="4320" w:hanging="180"/>
      </w:pPr>
    </w:lvl>
    <w:lvl w:ilvl="6" w:tplc="461ACDF6">
      <w:start w:val="1"/>
      <w:numFmt w:val="decimal"/>
      <w:lvlText w:val="%7."/>
      <w:lvlJc w:val="left"/>
      <w:pPr>
        <w:ind w:left="5040" w:hanging="360"/>
      </w:pPr>
    </w:lvl>
    <w:lvl w:ilvl="7" w:tplc="0FDE302E">
      <w:start w:val="1"/>
      <w:numFmt w:val="lowerLetter"/>
      <w:lvlText w:val="%8."/>
      <w:lvlJc w:val="left"/>
      <w:pPr>
        <w:ind w:left="5760" w:hanging="360"/>
      </w:pPr>
    </w:lvl>
    <w:lvl w:ilvl="8" w:tplc="D5DAA4FE">
      <w:start w:val="1"/>
      <w:numFmt w:val="lowerRoman"/>
      <w:lvlText w:val="%9."/>
      <w:lvlJc w:val="right"/>
      <w:pPr>
        <w:ind w:left="6480" w:hanging="180"/>
      </w:pPr>
    </w:lvl>
  </w:abstractNum>
  <w:abstractNum w:abstractNumId="96" w15:restartNumberingAfterBreak="0">
    <w:nsid w:val="218621C2"/>
    <w:multiLevelType w:val="hybridMultilevel"/>
    <w:tmpl w:val="FFFFFFFF"/>
    <w:lvl w:ilvl="0" w:tplc="FFFFFFFF">
      <w:start w:val="1"/>
      <w:numFmt w:val="lowerRoman"/>
      <w:lvlText w:val="(%1)"/>
      <w:lvlJc w:val="right"/>
      <w:pPr>
        <w:ind w:left="720" w:hanging="360"/>
      </w:pPr>
    </w:lvl>
    <w:lvl w:ilvl="1" w:tplc="2736ABAA">
      <w:start w:val="1"/>
      <w:numFmt w:val="lowerLetter"/>
      <w:lvlText w:val="%2."/>
      <w:lvlJc w:val="left"/>
      <w:pPr>
        <w:ind w:left="1440" w:hanging="360"/>
      </w:pPr>
    </w:lvl>
    <w:lvl w:ilvl="2" w:tplc="0C626916">
      <w:start w:val="1"/>
      <w:numFmt w:val="lowerRoman"/>
      <w:lvlText w:val="%3."/>
      <w:lvlJc w:val="right"/>
      <w:pPr>
        <w:ind w:left="2160" w:hanging="180"/>
      </w:pPr>
    </w:lvl>
    <w:lvl w:ilvl="3" w:tplc="D81894EC">
      <w:start w:val="1"/>
      <w:numFmt w:val="decimal"/>
      <w:lvlText w:val="%4."/>
      <w:lvlJc w:val="left"/>
      <w:pPr>
        <w:ind w:left="2880" w:hanging="360"/>
      </w:pPr>
    </w:lvl>
    <w:lvl w:ilvl="4" w:tplc="BAA87104">
      <w:start w:val="1"/>
      <w:numFmt w:val="lowerLetter"/>
      <w:lvlText w:val="%5."/>
      <w:lvlJc w:val="left"/>
      <w:pPr>
        <w:ind w:left="3600" w:hanging="360"/>
      </w:pPr>
    </w:lvl>
    <w:lvl w:ilvl="5" w:tplc="397A5CD4">
      <w:start w:val="1"/>
      <w:numFmt w:val="lowerRoman"/>
      <w:lvlText w:val="%6."/>
      <w:lvlJc w:val="right"/>
      <w:pPr>
        <w:ind w:left="4320" w:hanging="180"/>
      </w:pPr>
    </w:lvl>
    <w:lvl w:ilvl="6" w:tplc="AF76CB38">
      <w:start w:val="1"/>
      <w:numFmt w:val="decimal"/>
      <w:lvlText w:val="%7."/>
      <w:lvlJc w:val="left"/>
      <w:pPr>
        <w:ind w:left="5040" w:hanging="360"/>
      </w:pPr>
    </w:lvl>
    <w:lvl w:ilvl="7" w:tplc="A7F4D2D4">
      <w:start w:val="1"/>
      <w:numFmt w:val="lowerLetter"/>
      <w:lvlText w:val="%8."/>
      <w:lvlJc w:val="left"/>
      <w:pPr>
        <w:ind w:left="5760" w:hanging="360"/>
      </w:pPr>
    </w:lvl>
    <w:lvl w:ilvl="8" w:tplc="C3D67A64">
      <w:start w:val="1"/>
      <w:numFmt w:val="lowerRoman"/>
      <w:lvlText w:val="%9."/>
      <w:lvlJc w:val="right"/>
      <w:pPr>
        <w:ind w:left="6480" w:hanging="180"/>
      </w:pPr>
    </w:lvl>
  </w:abstractNum>
  <w:abstractNum w:abstractNumId="97" w15:restartNumberingAfterBreak="0">
    <w:nsid w:val="219B67DC"/>
    <w:multiLevelType w:val="multilevel"/>
    <w:tmpl w:val="55C8577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21B60D22"/>
    <w:multiLevelType w:val="hybridMultilevel"/>
    <w:tmpl w:val="F47A89E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9" w15:restartNumberingAfterBreak="0">
    <w:nsid w:val="22D62238"/>
    <w:multiLevelType w:val="hybridMultilevel"/>
    <w:tmpl w:val="EB8883A0"/>
    <w:lvl w:ilvl="0" w:tplc="1FC2DCB8">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0" w15:restartNumberingAfterBreak="0">
    <w:nsid w:val="22E11CC8"/>
    <w:multiLevelType w:val="hybridMultilevel"/>
    <w:tmpl w:val="FFFFFFFF"/>
    <w:lvl w:ilvl="0" w:tplc="89A04324">
      <w:start w:val="1"/>
      <w:numFmt w:val="bullet"/>
      <w:lvlText w:val=""/>
      <w:lvlJc w:val="left"/>
      <w:pPr>
        <w:ind w:left="720" w:hanging="360"/>
      </w:pPr>
      <w:rPr>
        <w:rFonts w:ascii="Symbol" w:hAnsi="Symbol" w:hint="default"/>
      </w:rPr>
    </w:lvl>
    <w:lvl w:ilvl="1" w:tplc="11C88600">
      <w:start w:val="1"/>
      <w:numFmt w:val="bullet"/>
      <w:lvlText w:val="o"/>
      <w:lvlJc w:val="left"/>
      <w:pPr>
        <w:ind w:left="1440" w:hanging="360"/>
      </w:pPr>
      <w:rPr>
        <w:rFonts w:ascii="Courier New" w:hAnsi="Courier New" w:hint="default"/>
      </w:rPr>
    </w:lvl>
    <w:lvl w:ilvl="2" w:tplc="14EE6286">
      <w:start w:val="1"/>
      <w:numFmt w:val="bullet"/>
      <w:lvlText w:val=""/>
      <w:lvlJc w:val="left"/>
      <w:pPr>
        <w:ind w:left="2160" w:hanging="360"/>
      </w:pPr>
      <w:rPr>
        <w:rFonts w:ascii="Wingdings" w:hAnsi="Wingdings" w:hint="default"/>
      </w:rPr>
    </w:lvl>
    <w:lvl w:ilvl="3" w:tplc="3AF4F02C">
      <w:start w:val="1"/>
      <w:numFmt w:val="bullet"/>
      <w:lvlText w:val=""/>
      <w:lvlJc w:val="left"/>
      <w:pPr>
        <w:ind w:left="2880" w:hanging="360"/>
      </w:pPr>
      <w:rPr>
        <w:rFonts w:ascii="Symbol" w:hAnsi="Symbol" w:hint="default"/>
      </w:rPr>
    </w:lvl>
    <w:lvl w:ilvl="4" w:tplc="6FCEB814">
      <w:start w:val="1"/>
      <w:numFmt w:val="bullet"/>
      <w:lvlText w:val="o"/>
      <w:lvlJc w:val="left"/>
      <w:pPr>
        <w:ind w:left="3600" w:hanging="360"/>
      </w:pPr>
      <w:rPr>
        <w:rFonts w:ascii="Courier New" w:hAnsi="Courier New" w:hint="default"/>
      </w:rPr>
    </w:lvl>
    <w:lvl w:ilvl="5" w:tplc="618A447A">
      <w:start w:val="1"/>
      <w:numFmt w:val="bullet"/>
      <w:lvlText w:val=""/>
      <w:lvlJc w:val="left"/>
      <w:pPr>
        <w:ind w:left="4320" w:hanging="360"/>
      </w:pPr>
      <w:rPr>
        <w:rFonts w:ascii="Wingdings" w:hAnsi="Wingdings" w:hint="default"/>
      </w:rPr>
    </w:lvl>
    <w:lvl w:ilvl="6" w:tplc="5E44AC62">
      <w:start w:val="1"/>
      <w:numFmt w:val="bullet"/>
      <w:lvlText w:val=""/>
      <w:lvlJc w:val="left"/>
      <w:pPr>
        <w:ind w:left="5040" w:hanging="360"/>
      </w:pPr>
      <w:rPr>
        <w:rFonts w:ascii="Symbol" w:hAnsi="Symbol" w:hint="default"/>
      </w:rPr>
    </w:lvl>
    <w:lvl w:ilvl="7" w:tplc="ADC84EFA">
      <w:start w:val="1"/>
      <w:numFmt w:val="bullet"/>
      <w:lvlText w:val="o"/>
      <w:lvlJc w:val="left"/>
      <w:pPr>
        <w:ind w:left="5760" w:hanging="360"/>
      </w:pPr>
      <w:rPr>
        <w:rFonts w:ascii="Courier New" w:hAnsi="Courier New" w:hint="default"/>
      </w:rPr>
    </w:lvl>
    <w:lvl w:ilvl="8" w:tplc="2118195C">
      <w:start w:val="1"/>
      <w:numFmt w:val="bullet"/>
      <w:lvlText w:val=""/>
      <w:lvlJc w:val="left"/>
      <w:pPr>
        <w:ind w:left="6480" w:hanging="360"/>
      </w:pPr>
      <w:rPr>
        <w:rFonts w:ascii="Wingdings" w:hAnsi="Wingdings" w:hint="default"/>
      </w:rPr>
    </w:lvl>
  </w:abstractNum>
  <w:abstractNum w:abstractNumId="10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239DFCDF"/>
    <w:multiLevelType w:val="hybridMultilevel"/>
    <w:tmpl w:val="FFFFFFFF"/>
    <w:lvl w:ilvl="0" w:tplc="C764BF92">
      <w:start w:val="1"/>
      <w:numFmt w:val="bullet"/>
      <w:lvlText w:val="o"/>
      <w:lvlJc w:val="left"/>
      <w:pPr>
        <w:ind w:left="1080" w:hanging="360"/>
      </w:pPr>
      <w:rPr>
        <w:rFonts w:ascii="Courier New" w:hAnsi="Courier New" w:hint="default"/>
      </w:rPr>
    </w:lvl>
    <w:lvl w:ilvl="1" w:tplc="EC760B96">
      <w:start w:val="1"/>
      <w:numFmt w:val="bullet"/>
      <w:lvlText w:val="o"/>
      <w:lvlJc w:val="left"/>
      <w:pPr>
        <w:ind w:left="1440" w:hanging="360"/>
      </w:pPr>
      <w:rPr>
        <w:rFonts w:ascii="Courier New" w:hAnsi="Courier New" w:hint="default"/>
      </w:rPr>
    </w:lvl>
    <w:lvl w:ilvl="2" w:tplc="D4069422">
      <w:start w:val="1"/>
      <w:numFmt w:val="bullet"/>
      <w:lvlText w:val=""/>
      <w:lvlJc w:val="left"/>
      <w:pPr>
        <w:ind w:left="2160" w:hanging="360"/>
      </w:pPr>
      <w:rPr>
        <w:rFonts w:ascii="Wingdings" w:hAnsi="Wingdings" w:hint="default"/>
      </w:rPr>
    </w:lvl>
    <w:lvl w:ilvl="3" w:tplc="6DC80CB6">
      <w:start w:val="1"/>
      <w:numFmt w:val="bullet"/>
      <w:lvlText w:val=""/>
      <w:lvlJc w:val="left"/>
      <w:pPr>
        <w:ind w:left="2880" w:hanging="360"/>
      </w:pPr>
      <w:rPr>
        <w:rFonts w:ascii="Symbol" w:hAnsi="Symbol" w:hint="default"/>
      </w:rPr>
    </w:lvl>
    <w:lvl w:ilvl="4" w:tplc="F8EE4E46">
      <w:start w:val="1"/>
      <w:numFmt w:val="bullet"/>
      <w:lvlText w:val="o"/>
      <w:lvlJc w:val="left"/>
      <w:pPr>
        <w:ind w:left="3600" w:hanging="360"/>
      </w:pPr>
      <w:rPr>
        <w:rFonts w:ascii="Courier New" w:hAnsi="Courier New" w:hint="default"/>
      </w:rPr>
    </w:lvl>
    <w:lvl w:ilvl="5" w:tplc="51D25270">
      <w:start w:val="1"/>
      <w:numFmt w:val="bullet"/>
      <w:lvlText w:val=""/>
      <w:lvlJc w:val="left"/>
      <w:pPr>
        <w:ind w:left="4320" w:hanging="360"/>
      </w:pPr>
      <w:rPr>
        <w:rFonts w:ascii="Wingdings" w:hAnsi="Wingdings" w:hint="default"/>
      </w:rPr>
    </w:lvl>
    <w:lvl w:ilvl="6" w:tplc="27E8376C">
      <w:start w:val="1"/>
      <w:numFmt w:val="bullet"/>
      <w:lvlText w:val=""/>
      <w:lvlJc w:val="left"/>
      <w:pPr>
        <w:ind w:left="5040" w:hanging="360"/>
      </w:pPr>
      <w:rPr>
        <w:rFonts w:ascii="Symbol" w:hAnsi="Symbol" w:hint="default"/>
      </w:rPr>
    </w:lvl>
    <w:lvl w:ilvl="7" w:tplc="83EEE030">
      <w:start w:val="1"/>
      <w:numFmt w:val="bullet"/>
      <w:lvlText w:val="o"/>
      <w:lvlJc w:val="left"/>
      <w:pPr>
        <w:ind w:left="5760" w:hanging="360"/>
      </w:pPr>
      <w:rPr>
        <w:rFonts w:ascii="Courier New" w:hAnsi="Courier New" w:hint="default"/>
      </w:rPr>
    </w:lvl>
    <w:lvl w:ilvl="8" w:tplc="442A7ACA">
      <w:start w:val="1"/>
      <w:numFmt w:val="bullet"/>
      <w:lvlText w:val=""/>
      <w:lvlJc w:val="left"/>
      <w:pPr>
        <w:ind w:left="6480" w:hanging="360"/>
      </w:pPr>
      <w:rPr>
        <w:rFonts w:ascii="Wingdings" w:hAnsi="Wingdings" w:hint="default"/>
      </w:rPr>
    </w:lvl>
  </w:abstractNum>
  <w:abstractNum w:abstractNumId="103" w15:restartNumberingAfterBreak="0">
    <w:nsid w:val="23C86FCB"/>
    <w:multiLevelType w:val="hybridMultilevel"/>
    <w:tmpl w:val="FFFFFFFF"/>
    <w:lvl w:ilvl="0" w:tplc="DE7841FA">
      <w:start w:val="1"/>
      <w:numFmt w:val="decimal"/>
      <w:lvlText w:val="%1."/>
      <w:lvlJc w:val="left"/>
      <w:pPr>
        <w:ind w:left="720" w:hanging="360"/>
      </w:pPr>
    </w:lvl>
    <w:lvl w:ilvl="1" w:tplc="7A929F20">
      <w:start w:val="1"/>
      <w:numFmt w:val="lowerLetter"/>
      <w:lvlText w:val="%2."/>
      <w:lvlJc w:val="left"/>
      <w:pPr>
        <w:ind w:left="1440" w:hanging="360"/>
      </w:pPr>
    </w:lvl>
    <w:lvl w:ilvl="2" w:tplc="1B14113C">
      <w:start w:val="1"/>
      <w:numFmt w:val="lowerRoman"/>
      <w:lvlText w:val="%3."/>
      <w:lvlJc w:val="right"/>
      <w:pPr>
        <w:ind w:left="2160" w:hanging="180"/>
      </w:pPr>
    </w:lvl>
    <w:lvl w:ilvl="3" w:tplc="6C30CB64">
      <w:start w:val="1"/>
      <w:numFmt w:val="decimal"/>
      <w:lvlText w:val="%4."/>
      <w:lvlJc w:val="left"/>
      <w:pPr>
        <w:ind w:left="2880" w:hanging="360"/>
      </w:pPr>
    </w:lvl>
    <w:lvl w:ilvl="4" w:tplc="703E83B4">
      <w:start w:val="1"/>
      <w:numFmt w:val="lowerLetter"/>
      <w:lvlText w:val="%5."/>
      <w:lvlJc w:val="left"/>
      <w:pPr>
        <w:ind w:left="3600" w:hanging="360"/>
      </w:pPr>
    </w:lvl>
    <w:lvl w:ilvl="5" w:tplc="1DCA4114">
      <w:start w:val="1"/>
      <w:numFmt w:val="lowerRoman"/>
      <w:lvlText w:val="%6."/>
      <w:lvlJc w:val="right"/>
      <w:pPr>
        <w:ind w:left="4320" w:hanging="180"/>
      </w:pPr>
    </w:lvl>
    <w:lvl w:ilvl="6" w:tplc="F70AC498">
      <w:start w:val="1"/>
      <w:numFmt w:val="decimal"/>
      <w:lvlText w:val="%7."/>
      <w:lvlJc w:val="left"/>
      <w:pPr>
        <w:ind w:left="5040" w:hanging="360"/>
      </w:pPr>
    </w:lvl>
    <w:lvl w:ilvl="7" w:tplc="89E0BF42">
      <w:start w:val="1"/>
      <w:numFmt w:val="lowerLetter"/>
      <w:lvlText w:val="%8."/>
      <w:lvlJc w:val="left"/>
      <w:pPr>
        <w:ind w:left="5760" w:hanging="360"/>
      </w:pPr>
    </w:lvl>
    <w:lvl w:ilvl="8" w:tplc="E1D89E66">
      <w:start w:val="1"/>
      <w:numFmt w:val="lowerRoman"/>
      <w:lvlText w:val="%9."/>
      <w:lvlJc w:val="right"/>
      <w:pPr>
        <w:ind w:left="6480" w:hanging="180"/>
      </w:pPr>
    </w:lvl>
  </w:abstractNum>
  <w:abstractNum w:abstractNumId="104" w15:restartNumberingAfterBreak="0">
    <w:nsid w:val="23DF3295"/>
    <w:multiLevelType w:val="hybridMultilevel"/>
    <w:tmpl w:val="FFFFFFFF"/>
    <w:lvl w:ilvl="0" w:tplc="2DD230A6">
      <w:start w:val="5"/>
      <w:numFmt w:val="decimal"/>
      <w:lvlText w:val="%1."/>
      <w:lvlJc w:val="left"/>
      <w:pPr>
        <w:ind w:left="720" w:hanging="360"/>
      </w:pPr>
    </w:lvl>
    <w:lvl w:ilvl="1" w:tplc="9F203400">
      <w:start w:val="1"/>
      <w:numFmt w:val="lowerLetter"/>
      <w:lvlText w:val="%2."/>
      <w:lvlJc w:val="left"/>
      <w:pPr>
        <w:ind w:left="1440" w:hanging="360"/>
      </w:pPr>
    </w:lvl>
    <w:lvl w:ilvl="2" w:tplc="451A4CB4">
      <w:start w:val="1"/>
      <w:numFmt w:val="lowerRoman"/>
      <w:lvlText w:val="%3."/>
      <w:lvlJc w:val="right"/>
      <w:pPr>
        <w:ind w:left="2160" w:hanging="180"/>
      </w:pPr>
    </w:lvl>
    <w:lvl w:ilvl="3" w:tplc="2C3ED222">
      <w:start w:val="1"/>
      <w:numFmt w:val="decimal"/>
      <w:lvlText w:val="%4."/>
      <w:lvlJc w:val="left"/>
      <w:pPr>
        <w:ind w:left="2880" w:hanging="360"/>
      </w:pPr>
    </w:lvl>
    <w:lvl w:ilvl="4" w:tplc="E258F780">
      <w:start w:val="1"/>
      <w:numFmt w:val="lowerLetter"/>
      <w:lvlText w:val="%5."/>
      <w:lvlJc w:val="left"/>
      <w:pPr>
        <w:ind w:left="3600" w:hanging="360"/>
      </w:pPr>
    </w:lvl>
    <w:lvl w:ilvl="5" w:tplc="7C9E1DEA">
      <w:start w:val="1"/>
      <w:numFmt w:val="lowerRoman"/>
      <w:lvlText w:val="%6."/>
      <w:lvlJc w:val="right"/>
      <w:pPr>
        <w:ind w:left="4320" w:hanging="180"/>
      </w:pPr>
    </w:lvl>
    <w:lvl w:ilvl="6" w:tplc="EC647B76">
      <w:start w:val="1"/>
      <w:numFmt w:val="decimal"/>
      <w:lvlText w:val="%7."/>
      <w:lvlJc w:val="left"/>
      <w:pPr>
        <w:ind w:left="5040" w:hanging="360"/>
      </w:pPr>
    </w:lvl>
    <w:lvl w:ilvl="7" w:tplc="DDC8C72C">
      <w:start w:val="1"/>
      <w:numFmt w:val="lowerLetter"/>
      <w:lvlText w:val="%8."/>
      <w:lvlJc w:val="left"/>
      <w:pPr>
        <w:ind w:left="5760" w:hanging="360"/>
      </w:pPr>
    </w:lvl>
    <w:lvl w:ilvl="8" w:tplc="5C06E760">
      <w:start w:val="1"/>
      <w:numFmt w:val="lowerRoman"/>
      <w:lvlText w:val="%9."/>
      <w:lvlJc w:val="right"/>
      <w:pPr>
        <w:ind w:left="6480" w:hanging="180"/>
      </w:pPr>
    </w:lvl>
  </w:abstractNum>
  <w:abstractNum w:abstractNumId="105" w15:restartNumberingAfterBreak="0">
    <w:nsid w:val="2438C48E"/>
    <w:multiLevelType w:val="hybridMultilevel"/>
    <w:tmpl w:val="FFFFFFFF"/>
    <w:lvl w:ilvl="0" w:tplc="A4FC0984">
      <w:start w:val="1"/>
      <w:numFmt w:val="bullet"/>
      <w:lvlText w:val=""/>
      <w:lvlJc w:val="left"/>
      <w:pPr>
        <w:ind w:left="720" w:hanging="360"/>
      </w:pPr>
      <w:rPr>
        <w:rFonts w:ascii="Symbol" w:hAnsi="Symbol" w:hint="default"/>
      </w:rPr>
    </w:lvl>
    <w:lvl w:ilvl="1" w:tplc="8108978A">
      <w:start w:val="1"/>
      <w:numFmt w:val="bullet"/>
      <w:lvlText w:val="o"/>
      <w:lvlJc w:val="left"/>
      <w:pPr>
        <w:ind w:left="1440" w:hanging="360"/>
      </w:pPr>
      <w:rPr>
        <w:rFonts w:ascii="Courier New" w:hAnsi="Courier New" w:hint="default"/>
      </w:rPr>
    </w:lvl>
    <w:lvl w:ilvl="2" w:tplc="38AA3946">
      <w:start w:val="1"/>
      <w:numFmt w:val="bullet"/>
      <w:lvlText w:val=""/>
      <w:lvlJc w:val="left"/>
      <w:pPr>
        <w:ind w:left="2160" w:hanging="360"/>
      </w:pPr>
      <w:rPr>
        <w:rFonts w:ascii="Wingdings" w:hAnsi="Wingdings" w:hint="default"/>
      </w:rPr>
    </w:lvl>
    <w:lvl w:ilvl="3" w:tplc="7A40829A">
      <w:start w:val="1"/>
      <w:numFmt w:val="bullet"/>
      <w:lvlText w:val=""/>
      <w:lvlJc w:val="left"/>
      <w:pPr>
        <w:ind w:left="2880" w:hanging="360"/>
      </w:pPr>
      <w:rPr>
        <w:rFonts w:ascii="Symbol" w:hAnsi="Symbol" w:hint="default"/>
      </w:rPr>
    </w:lvl>
    <w:lvl w:ilvl="4" w:tplc="F31AEE2A">
      <w:start w:val="1"/>
      <w:numFmt w:val="bullet"/>
      <w:lvlText w:val="o"/>
      <w:lvlJc w:val="left"/>
      <w:pPr>
        <w:ind w:left="3600" w:hanging="360"/>
      </w:pPr>
      <w:rPr>
        <w:rFonts w:ascii="Courier New" w:hAnsi="Courier New" w:hint="default"/>
      </w:rPr>
    </w:lvl>
    <w:lvl w:ilvl="5" w:tplc="8342E710">
      <w:start w:val="1"/>
      <w:numFmt w:val="bullet"/>
      <w:lvlText w:val=""/>
      <w:lvlJc w:val="left"/>
      <w:pPr>
        <w:ind w:left="4320" w:hanging="360"/>
      </w:pPr>
      <w:rPr>
        <w:rFonts w:ascii="Wingdings" w:hAnsi="Wingdings" w:hint="default"/>
      </w:rPr>
    </w:lvl>
    <w:lvl w:ilvl="6" w:tplc="D3AADDC4">
      <w:start w:val="1"/>
      <w:numFmt w:val="bullet"/>
      <w:lvlText w:val=""/>
      <w:lvlJc w:val="left"/>
      <w:pPr>
        <w:ind w:left="5040" w:hanging="360"/>
      </w:pPr>
      <w:rPr>
        <w:rFonts w:ascii="Symbol" w:hAnsi="Symbol" w:hint="default"/>
      </w:rPr>
    </w:lvl>
    <w:lvl w:ilvl="7" w:tplc="5358B2E0">
      <w:start w:val="1"/>
      <w:numFmt w:val="bullet"/>
      <w:lvlText w:val="o"/>
      <w:lvlJc w:val="left"/>
      <w:pPr>
        <w:ind w:left="5760" w:hanging="360"/>
      </w:pPr>
      <w:rPr>
        <w:rFonts w:ascii="Courier New" w:hAnsi="Courier New" w:hint="default"/>
      </w:rPr>
    </w:lvl>
    <w:lvl w:ilvl="8" w:tplc="D188C688">
      <w:start w:val="1"/>
      <w:numFmt w:val="bullet"/>
      <w:lvlText w:val=""/>
      <w:lvlJc w:val="left"/>
      <w:pPr>
        <w:ind w:left="6480" w:hanging="360"/>
      </w:pPr>
      <w:rPr>
        <w:rFonts w:ascii="Wingdings" w:hAnsi="Wingdings" w:hint="default"/>
      </w:rPr>
    </w:lvl>
  </w:abstractNum>
  <w:abstractNum w:abstractNumId="106" w15:restartNumberingAfterBreak="0">
    <w:nsid w:val="2482F2DF"/>
    <w:multiLevelType w:val="hybridMultilevel"/>
    <w:tmpl w:val="FFFFFFFF"/>
    <w:lvl w:ilvl="0" w:tplc="E96A4674">
      <w:start w:val="3"/>
      <w:numFmt w:val="decimal"/>
      <w:lvlText w:val="%1."/>
      <w:lvlJc w:val="left"/>
      <w:pPr>
        <w:ind w:left="720" w:hanging="360"/>
      </w:pPr>
    </w:lvl>
    <w:lvl w:ilvl="1" w:tplc="64E4FDCE">
      <w:start w:val="1"/>
      <w:numFmt w:val="lowerLetter"/>
      <w:lvlText w:val="%2."/>
      <w:lvlJc w:val="left"/>
      <w:pPr>
        <w:ind w:left="1440" w:hanging="360"/>
      </w:pPr>
    </w:lvl>
    <w:lvl w:ilvl="2" w:tplc="4DBC9D40">
      <w:start w:val="1"/>
      <w:numFmt w:val="lowerRoman"/>
      <w:lvlText w:val="%3."/>
      <w:lvlJc w:val="right"/>
      <w:pPr>
        <w:ind w:left="2160" w:hanging="180"/>
      </w:pPr>
    </w:lvl>
    <w:lvl w:ilvl="3" w:tplc="2818ABEE">
      <w:start w:val="1"/>
      <w:numFmt w:val="decimal"/>
      <w:lvlText w:val="%4."/>
      <w:lvlJc w:val="left"/>
      <w:pPr>
        <w:ind w:left="2880" w:hanging="360"/>
      </w:pPr>
    </w:lvl>
    <w:lvl w:ilvl="4" w:tplc="4B1247F4">
      <w:start w:val="1"/>
      <w:numFmt w:val="lowerLetter"/>
      <w:lvlText w:val="%5."/>
      <w:lvlJc w:val="left"/>
      <w:pPr>
        <w:ind w:left="3600" w:hanging="360"/>
      </w:pPr>
    </w:lvl>
    <w:lvl w:ilvl="5" w:tplc="F2E0FB34">
      <w:start w:val="1"/>
      <w:numFmt w:val="lowerRoman"/>
      <w:lvlText w:val="%6."/>
      <w:lvlJc w:val="right"/>
      <w:pPr>
        <w:ind w:left="4320" w:hanging="180"/>
      </w:pPr>
    </w:lvl>
    <w:lvl w:ilvl="6" w:tplc="A554F798">
      <w:start w:val="1"/>
      <w:numFmt w:val="decimal"/>
      <w:lvlText w:val="%7."/>
      <w:lvlJc w:val="left"/>
      <w:pPr>
        <w:ind w:left="5040" w:hanging="360"/>
      </w:pPr>
    </w:lvl>
    <w:lvl w:ilvl="7" w:tplc="0B946CBC">
      <w:start w:val="1"/>
      <w:numFmt w:val="lowerLetter"/>
      <w:lvlText w:val="%8."/>
      <w:lvlJc w:val="left"/>
      <w:pPr>
        <w:ind w:left="5760" w:hanging="360"/>
      </w:pPr>
    </w:lvl>
    <w:lvl w:ilvl="8" w:tplc="F1945554">
      <w:start w:val="1"/>
      <w:numFmt w:val="lowerRoman"/>
      <w:lvlText w:val="%9."/>
      <w:lvlJc w:val="right"/>
      <w:pPr>
        <w:ind w:left="6480" w:hanging="180"/>
      </w:pPr>
    </w:lvl>
  </w:abstractNum>
  <w:abstractNum w:abstractNumId="107" w15:restartNumberingAfterBreak="0">
    <w:nsid w:val="24CF548C"/>
    <w:multiLevelType w:val="multilevel"/>
    <w:tmpl w:val="BEDEC07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7"/>
      <w:numFmt w:val="bullet"/>
      <w:lvlText w:val="-"/>
      <w:lvlJc w:val="left"/>
      <w:pPr>
        <w:ind w:left="2160" w:hanging="360"/>
      </w:pPr>
      <w:rPr>
        <w:rFonts w:ascii="Times New Roman" w:eastAsia="Times New Roman" w:hAnsi="Times New Roman" w:cs="Times New Roman"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24E40402"/>
    <w:multiLevelType w:val="hybridMultilevel"/>
    <w:tmpl w:val="D2383244"/>
    <w:lvl w:ilvl="0" w:tplc="B35412AA">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9" w15:restartNumberingAfterBreak="0">
    <w:nsid w:val="25104649"/>
    <w:multiLevelType w:val="hybridMultilevel"/>
    <w:tmpl w:val="7FD6C0B6"/>
    <w:lvl w:ilvl="0" w:tplc="8454F666">
      <w:start w:val="1"/>
      <w:numFmt w:val="decimal"/>
      <w:lvlText w:val="%1."/>
      <w:lvlJc w:val="left"/>
      <w:pPr>
        <w:ind w:left="720" w:hanging="360"/>
      </w:pPr>
    </w:lvl>
    <w:lvl w:ilvl="1" w:tplc="60D07D12">
      <w:start w:val="1"/>
      <w:numFmt w:val="lowerLetter"/>
      <w:lvlText w:val="%2."/>
      <w:lvlJc w:val="left"/>
      <w:pPr>
        <w:ind w:left="1440" w:hanging="360"/>
      </w:pPr>
    </w:lvl>
    <w:lvl w:ilvl="2" w:tplc="8F4AA076">
      <w:start w:val="1"/>
      <w:numFmt w:val="lowerRoman"/>
      <w:lvlText w:val="%3."/>
      <w:lvlJc w:val="right"/>
      <w:pPr>
        <w:ind w:left="2160" w:hanging="180"/>
      </w:pPr>
    </w:lvl>
    <w:lvl w:ilvl="3" w:tplc="3DA06E1A">
      <w:start w:val="1"/>
      <w:numFmt w:val="decimal"/>
      <w:lvlText w:val="%4."/>
      <w:lvlJc w:val="left"/>
      <w:pPr>
        <w:ind w:left="2880" w:hanging="360"/>
      </w:pPr>
    </w:lvl>
    <w:lvl w:ilvl="4" w:tplc="65F26C96">
      <w:start w:val="1"/>
      <w:numFmt w:val="lowerLetter"/>
      <w:lvlText w:val="%5."/>
      <w:lvlJc w:val="left"/>
      <w:pPr>
        <w:ind w:left="3600" w:hanging="360"/>
      </w:pPr>
    </w:lvl>
    <w:lvl w:ilvl="5" w:tplc="2CAE769A">
      <w:start w:val="1"/>
      <w:numFmt w:val="lowerRoman"/>
      <w:lvlText w:val="%6."/>
      <w:lvlJc w:val="right"/>
      <w:pPr>
        <w:ind w:left="4320" w:hanging="180"/>
      </w:pPr>
    </w:lvl>
    <w:lvl w:ilvl="6" w:tplc="516E6260">
      <w:start w:val="1"/>
      <w:numFmt w:val="decimal"/>
      <w:lvlText w:val="%7."/>
      <w:lvlJc w:val="left"/>
      <w:pPr>
        <w:ind w:left="5040" w:hanging="360"/>
      </w:pPr>
    </w:lvl>
    <w:lvl w:ilvl="7" w:tplc="63088E82">
      <w:start w:val="1"/>
      <w:numFmt w:val="lowerLetter"/>
      <w:lvlText w:val="%8."/>
      <w:lvlJc w:val="left"/>
      <w:pPr>
        <w:ind w:left="5760" w:hanging="360"/>
      </w:pPr>
    </w:lvl>
    <w:lvl w:ilvl="8" w:tplc="881E6C1C">
      <w:start w:val="1"/>
      <w:numFmt w:val="lowerRoman"/>
      <w:lvlText w:val="%9."/>
      <w:lvlJc w:val="right"/>
      <w:pPr>
        <w:ind w:left="6480" w:hanging="180"/>
      </w:pPr>
    </w:lvl>
  </w:abstractNum>
  <w:abstractNum w:abstractNumId="110" w15:restartNumberingAfterBreak="0">
    <w:nsid w:val="25D86760"/>
    <w:multiLevelType w:val="hybridMultilevel"/>
    <w:tmpl w:val="FFFFFFFF"/>
    <w:lvl w:ilvl="0" w:tplc="C136DA96">
      <w:start w:val="1"/>
      <w:numFmt w:val="bullet"/>
      <w:lvlText w:val=""/>
      <w:lvlJc w:val="left"/>
      <w:pPr>
        <w:ind w:left="720" w:hanging="360"/>
      </w:pPr>
      <w:rPr>
        <w:rFonts w:ascii="Symbol" w:hAnsi="Symbol" w:hint="default"/>
      </w:rPr>
    </w:lvl>
    <w:lvl w:ilvl="1" w:tplc="6802A7A0">
      <w:start w:val="1"/>
      <w:numFmt w:val="bullet"/>
      <w:lvlText w:val="o"/>
      <w:lvlJc w:val="left"/>
      <w:pPr>
        <w:ind w:left="1440" w:hanging="360"/>
      </w:pPr>
      <w:rPr>
        <w:rFonts w:ascii="Courier New" w:hAnsi="Courier New" w:hint="default"/>
      </w:rPr>
    </w:lvl>
    <w:lvl w:ilvl="2" w:tplc="24621428">
      <w:start w:val="1"/>
      <w:numFmt w:val="bullet"/>
      <w:lvlText w:val=""/>
      <w:lvlJc w:val="left"/>
      <w:pPr>
        <w:ind w:left="2160" w:hanging="360"/>
      </w:pPr>
      <w:rPr>
        <w:rFonts w:ascii="Wingdings" w:hAnsi="Wingdings" w:hint="default"/>
      </w:rPr>
    </w:lvl>
    <w:lvl w:ilvl="3" w:tplc="85E0461A">
      <w:start w:val="1"/>
      <w:numFmt w:val="bullet"/>
      <w:lvlText w:val=""/>
      <w:lvlJc w:val="left"/>
      <w:pPr>
        <w:ind w:left="2880" w:hanging="360"/>
      </w:pPr>
      <w:rPr>
        <w:rFonts w:ascii="Symbol" w:hAnsi="Symbol" w:hint="default"/>
      </w:rPr>
    </w:lvl>
    <w:lvl w:ilvl="4" w:tplc="E1B8D7C6">
      <w:start w:val="1"/>
      <w:numFmt w:val="bullet"/>
      <w:lvlText w:val="o"/>
      <w:lvlJc w:val="left"/>
      <w:pPr>
        <w:ind w:left="3600" w:hanging="360"/>
      </w:pPr>
      <w:rPr>
        <w:rFonts w:ascii="Courier New" w:hAnsi="Courier New" w:hint="default"/>
      </w:rPr>
    </w:lvl>
    <w:lvl w:ilvl="5" w:tplc="4EA6A244">
      <w:start w:val="1"/>
      <w:numFmt w:val="bullet"/>
      <w:lvlText w:val=""/>
      <w:lvlJc w:val="left"/>
      <w:pPr>
        <w:ind w:left="4320" w:hanging="360"/>
      </w:pPr>
      <w:rPr>
        <w:rFonts w:ascii="Wingdings" w:hAnsi="Wingdings" w:hint="default"/>
      </w:rPr>
    </w:lvl>
    <w:lvl w:ilvl="6" w:tplc="AE6272DC">
      <w:start w:val="1"/>
      <w:numFmt w:val="bullet"/>
      <w:lvlText w:val=""/>
      <w:lvlJc w:val="left"/>
      <w:pPr>
        <w:ind w:left="5040" w:hanging="360"/>
      </w:pPr>
      <w:rPr>
        <w:rFonts w:ascii="Symbol" w:hAnsi="Symbol" w:hint="default"/>
      </w:rPr>
    </w:lvl>
    <w:lvl w:ilvl="7" w:tplc="BBD69EAC">
      <w:start w:val="1"/>
      <w:numFmt w:val="bullet"/>
      <w:lvlText w:val="o"/>
      <w:lvlJc w:val="left"/>
      <w:pPr>
        <w:ind w:left="5760" w:hanging="360"/>
      </w:pPr>
      <w:rPr>
        <w:rFonts w:ascii="Courier New" w:hAnsi="Courier New" w:hint="default"/>
      </w:rPr>
    </w:lvl>
    <w:lvl w:ilvl="8" w:tplc="977C1502">
      <w:start w:val="1"/>
      <w:numFmt w:val="bullet"/>
      <w:lvlText w:val=""/>
      <w:lvlJc w:val="left"/>
      <w:pPr>
        <w:ind w:left="6480" w:hanging="360"/>
      </w:pPr>
      <w:rPr>
        <w:rFonts w:ascii="Wingdings" w:hAnsi="Wingdings" w:hint="default"/>
      </w:rPr>
    </w:lvl>
  </w:abstractNum>
  <w:abstractNum w:abstractNumId="111" w15:restartNumberingAfterBreak="0">
    <w:nsid w:val="2625DC79"/>
    <w:multiLevelType w:val="hybridMultilevel"/>
    <w:tmpl w:val="FFFFFFFF"/>
    <w:lvl w:ilvl="0" w:tplc="09FC5D10">
      <w:start w:val="1"/>
      <w:numFmt w:val="decimal"/>
      <w:lvlText w:val="%1."/>
      <w:lvlJc w:val="left"/>
      <w:pPr>
        <w:ind w:left="720" w:hanging="360"/>
      </w:pPr>
    </w:lvl>
    <w:lvl w:ilvl="1" w:tplc="9F6A4E74">
      <w:start w:val="5"/>
      <w:numFmt w:val="lowerRoman"/>
      <w:lvlText w:val="%2."/>
      <w:lvlJc w:val="right"/>
      <w:pPr>
        <w:ind w:left="1080" w:hanging="360"/>
      </w:pPr>
    </w:lvl>
    <w:lvl w:ilvl="2" w:tplc="336413A8">
      <w:start w:val="1"/>
      <w:numFmt w:val="lowerRoman"/>
      <w:lvlText w:val="%3."/>
      <w:lvlJc w:val="right"/>
      <w:pPr>
        <w:ind w:left="2160" w:hanging="180"/>
      </w:pPr>
    </w:lvl>
    <w:lvl w:ilvl="3" w:tplc="7DCEC552">
      <w:start w:val="1"/>
      <w:numFmt w:val="decimal"/>
      <w:lvlText w:val="%4."/>
      <w:lvlJc w:val="left"/>
      <w:pPr>
        <w:ind w:left="2880" w:hanging="360"/>
      </w:pPr>
    </w:lvl>
    <w:lvl w:ilvl="4" w:tplc="55DC2D1C">
      <w:start w:val="1"/>
      <w:numFmt w:val="lowerLetter"/>
      <w:lvlText w:val="%5."/>
      <w:lvlJc w:val="left"/>
      <w:pPr>
        <w:ind w:left="3600" w:hanging="360"/>
      </w:pPr>
    </w:lvl>
    <w:lvl w:ilvl="5" w:tplc="D27C5B8C">
      <w:start w:val="1"/>
      <w:numFmt w:val="lowerRoman"/>
      <w:lvlText w:val="%6."/>
      <w:lvlJc w:val="right"/>
      <w:pPr>
        <w:ind w:left="4320" w:hanging="180"/>
      </w:pPr>
    </w:lvl>
    <w:lvl w:ilvl="6" w:tplc="7C4CD0CC">
      <w:start w:val="1"/>
      <w:numFmt w:val="decimal"/>
      <w:lvlText w:val="%7."/>
      <w:lvlJc w:val="left"/>
      <w:pPr>
        <w:ind w:left="5040" w:hanging="360"/>
      </w:pPr>
    </w:lvl>
    <w:lvl w:ilvl="7" w:tplc="D74E45AE">
      <w:start w:val="1"/>
      <w:numFmt w:val="lowerLetter"/>
      <w:lvlText w:val="%8."/>
      <w:lvlJc w:val="left"/>
      <w:pPr>
        <w:ind w:left="5760" w:hanging="360"/>
      </w:pPr>
    </w:lvl>
    <w:lvl w:ilvl="8" w:tplc="B732B206">
      <w:start w:val="1"/>
      <w:numFmt w:val="lowerRoman"/>
      <w:lvlText w:val="%9."/>
      <w:lvlJc w:val="right"/>
      <w:pPr>
        <w:ind w:left="6480" w:hanging="180"/>
      </w:pPr>
    </w:lvl>
  </w:abstractNum>
  <w:abstractNum w:abstractNumId="112" w15:restartNumberingAfterBreak="0">
    <w:nsid w:val="262C1454"/>
    <w:multiLevelType w:val="multilevel"/>
    <w:tmpl w:val="A46090B2"/>
    <w:name w:val="Default"/>
    <w:lvl w:ilvl="0">
      <w:start w:val="1"/>
      <w:numFmt w:val="decimal"/>
      <w:lvlRestart w:val="0"/>
      <w:lvlText w:val="%1."/>
      <w:lvlJc w:val="left"/>
      <w:pPr>
        <w:ind w:left="720" w:hanging="360"/>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13" w15:restartNumberingAfterBreak="0">
    <w:nsid w:val="265FBD25"/>
    <w:multiLevelType w:val="hybridMultilevel"/>
    <w:tmpl w:val="FFFFFFFF"/>
    <w:lvl w:ilvl="0" w:tplc="89E81BA8">
      <w:start w:val="11"/>
      <w:numFmt w:val="decimal"/>
      <w:lvlText w:val="%1."/>
      <w:lvlJc w:val="left"/>
      <w:pPr>
        <w:ind w:left="720" w:hanging="360"/>
      </w:pPr>
    </w:lvl>
    <w:lvl w:ilvl="1" w:tplc="5186D874">
      <w:start w:val="1"/>
      <w:numFmt w:val="lowerLetter"/>
      <w:lvlText w:val="%2."/>
      <w:lvlJc w:val="left"/>
      <w:pPr>
        <w:ind w:left="1440" w:hanging="360"/>
      </w:pPr>
    </w:lvl>
    <w:lvl w:ilvl="2" w:tplc="92EE6246">
      <w:start w:val="1"/>
      <w:numFmt w:val="lowerRoman"/>
      <w:lvlText w:val="%3."/>
      <w:lvlJc w:val="right"/>
      <w:pPr>
        <w:ind w:left="2160" w:hanging="180"/>
      </w:pPr>
    </w:lvl>
    <w:lvl w:ilvl="3" w:tplc="A198B758">
      <w:start w:val="1"/>
      <w:numFmt w:val="decimal"/>
      <w:lvlText w:val="%4."/>
      <w:lvlJc w:val="left"/>
      <w:pPr>
        <w:ind w:left="2880" w:hanging="360"/>
      </w:pPr>
    </w:lvl>
    <w:lvl w:ilvl="4" w:tplc="6010DC50">
      <w:start w:val="1"/>
      <w:numFmt w:val="lowerLetter"/>
      <w:lvlText w:val="%5."/>
      <w:lvlJc w:val="left"/>
      <w:pPr>
        <w:ind w:left="3600" w:hanging="360"/>
      </w:pPr>
    </w:lvl>
    <w:lvl w:ilvl="5" w:tplc="803C1D3A">
      <w:start w:val="1"/>
      <w:numFmt w:val="lowerRoman"/>
      <w:lvlText w:val="%6."/>
      <w:lvlJc w:val="right"/>
      <w:pPr>
        <w:ind w:left="4320" w:hanging="180"/>
      </w:pPr>
    </w:lvl>
    <w:lvl w:ilvl="6" w:tplc="8D1CCEC2">
      <w:start w:val="1"/>
      <w:numFmt w:val="decimal"/>
      <w:lvlText w:val="%7."/>
      <w:lvlJc w:val="left"/>
      <w:pPr>
        <w:ind w:left="5040" w:hanging="360"/>
      </w:pPr>
    </w:lvl>
    <w:lvl w:ilvl="7" w:tplc="9B76985E">
      <w:start w:val="1"/>
      <w:numFmt w:val="lowerLetter"/>
      <w:lvlText w:val="%8."/>
      <w:lvlJc w:val="left"/>
      <w:pPr>
        <w:ind w:left="5760" w:hanging="360"/>
      </w:pPr>
    </w:lvl>
    <w:lvl w:ilvl="8" w:tplc="DFDA6D56">
      <w:start w:val="1"/>
      <w:numFmt w:val="lowerRoman"/>
      <w:lvlText w:val="%9."/>
      <w:lvlJc w:val="right"/>
      <w:pPr>
        <w:ind w:left="6480" w:hanging="180"/>
      </w:pPr>
    </w:lvl>
  </w:abstractNum>
  <w:abstractNum w:abstractNumId="114" w15:restartNumberingAfterBreak="0">
    <w:nsid w:val="26B81529"/>
    <w:multiLevelType w:val="multilevel"/>
    <w:tmpl w:val="19B49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26F0FB7F"/>
    <w:multiLevelType w:val="hybridMultilevel"/>
    <w:tmpl w:val="FFFFFFFF"/>
    <w:lvl w:ilvl="0" w:tplc="138EA5FC">
      <w:start w:val="1"/>
      <w:numFmt w:val="bullet"/>
      <w:lvlText w:val="o"/>
      <w:lvlJc w:val="left"/>
      <w:pPr>
        <w:ind w:left="1080" w:hanging="360"/>
      </w:pPr>
      <w:rPr>
        <w:rFonts w:ascii="Courier New" w:hAnsi="Courier New" w:hint="default"/>
      </w:rPr>
    </w:lvl>
    <w:lvl w:ilvl="1" w:tplc="2AE4E034">
      <w:start w:val="1"/>
      <w:numFmt w:val="bullet"/>
      <w:lvlText w:val="o"/>
      <w:lvlJc w:val="left"/>
      <w:pPr>
        <w:ind w:left="1440" w:hanging="360"/>
      </w:pPr>
      <w:rPr>
        <w:rFonts w:ascii="Courier New" w:hAnsi="Courier New" w:hint="default"/>
      </w:rPr>
    </w:lvl>
    <w:lvl w:ilvl="2" w:tplc="D40EB664">
      <w:start w:val="1"/>
      <w:numFmt w:val="bullet"/>
      <w:lvlText w:val=""/>
      <w:lvlJc w:val="left"/>
      <w:pPr>
        <w:ind w:left="2160" w:hanging="360"/>
      </w:pPr>
      <w:rPr>
        <w:rFonts w:ascii="Wingdings" w:hAnsi="Wingdings" w:hint="default"/>
      </w:rPr>
    </w:lvl>
    <w:lvl w:ilvl="3" w:tplc="8D9413AE">
      <w:start w:val="1"/>
      <w:numFmt w:val="bullet"/>
      <w:lvlText w:val=""/>
      <w:lvlJc w:val="left"/>
      <w:pPr>
        <w:ind w:left="2880" w:hanging="360"/>
      </w:pPr>
      <w:rPr>
        <w:rFonts w:ascii="Symbol" w:hAnsi="Symbol" w:hint="default"/>
      </w:rPr>
    </w:lvl>
    <w:lvl w:ilvl="4" w:tplc="3FA2B2E8">
      <w:start w:val="1"/>
      <w:numFmt w:val="bullet"/>
      <w:lvlText w:val="o"/>
      <w:lvlJc w:val="left"/>
      <w:pPr>
        <w:ind w:left="3600" w:hanging="360"/>
      </w:pPr>
      <w:rPr>
        <w:rFonts w:ascii="Courier New" w:hAnsi="Courier New" w:hint="default"/>
      </w:rPr>
    </w:lvl>
    <w:lvl w:ilvl="5" w:tplc="133A1AF8">
      <w:start w:val="1"/>
      <w:numFmt w:val="bullet"/>
      <w:lvlText w:val=""/>
      <w:lvlJc w:val="left"/>
      <w:pPr>
        <w:ind w:left="4320" w:hanging="360"/>
      </w:pPr>
      <w:rPr>
        <w:rFonts w:ascii="Wingdings" w:hAnsi="Wingdings" w:hint="default"/>
      </w:rPr>
    </w:lvl>
    <w:lvl w:ilvl="6" w:tplc="FF5ABA86">
      <w:start w:val="1"/>
      <w:numFmt w:val="bullet"/>
      <w:lvlText w:val=""/>
      <w:lvlJc w:val="left"/>
      <w:pPr>
        <w:ind w:left="5040" w:hanging="360"/>
      </w:pPr>
      <w:rPr>
        <w:rFonts w:ascii="Symbol" w:hAnsi="Symbol" w:hint="default"/>
      </w:rPr>
    </w:lvl>
    <w:lvl w:ilvl="7" w:tplc="271E146C">
      <w:start w:val="1"/>
      <w:numFmt w:val="bullet"/>
      <w:lvlText w:val="o"/>
      <w:lvlJc w:val="left"/>
      <w:pPr>
        <w:ind w:left="5760" w:hanging="360"/>
      </w:pPr>
      <w:rPr>
        <w:rFonts w:ascii="Courier New" w:hAnsi="Courier New" w:hint="default"/>
      </w:rPr>
    </w:lvl>
    <w:lvl w:ilvl="8" w:tplc="B0181798">
      <w:start w:val="1"/>
      <w:numFmt w:val="bullet"/>
      <w:lvlText w:val=""/>
      <w:lvlJc w:val="left"/>
      <w:pPr>
        <w:ind w:left="6480" w:hanging="360"/>
      </w:pPr>
      <w:rPr>
        <w:rFonts w:ascii="Wingdings" w:hAnsi="Wingdings" w:hint="default"/>
      </w:rPr>
    </w:lvl>
  </w:abstractNum>
  <w:abstractNum w:abstractNumId="116" w15:restartNumberingAfterBreak="0">
    <w:nsid w:val="27BA6957"/>
    <w:multiLevelType w:val="hybridMultilevel"/>
    <w:tmpl w:val="FFFFFFFF"/>
    <w:lvl w:ilvl="0" w:tplc="C1DCAB2A">
      <w:start w:val="2"/>
      <w:numFmt w:val="lowerLetter"/>
      <w:lvlText w:val="%1."/>
      <w:lvlJc w:val="left"/>
      <w:pPr>
        <w:ind w:left="720" w:hanging="360"/>
      </w:pPr>
    </w:lvl>
    <w:lvl w:ilvl="1" w:tplc="03CAC48E">
      <w:start w:val="1"/>
      <w:numFmt w:val="lowerLetter"/>
      <w:lvlText w:val="%2."/>
      <w:lvlJc w:val="left"/>
      <w:pPr>
        <w:ind w:left="1440" w:hanging="360"/>
      </w:pPr>
    </w:lvl>
    <w:lvl w:ilvl="2" w:tplc="1120636C">
      <w:start w:val="1"/>
      <w:numFmt w:val="lowerRoman"/>
      <w:lvlText w:val="%3."/>
      <w:lvlJc w:val="right"/>
      <w:pPr>
        <w:ind w:left="2160" w:hanging="180"/>
      </w:pPr>
    </w:lvl>
    <w:lvl w:ilvl="3" w:tplc="A9B2BD74">
      <w:start w:val="1"/>
      <w:numFmt w:val="decimal"/>
      <w:lvlText w:val="%4."/>
      <w:lvlJc w:val="left"/>
      <w:pPr>
        <w:ind w:left="2880" w:hanging="360"/>
      </w:pPr>
    </w:lvl>
    <w:lvl w:ilvl="4" w:tplc="A3CC5F48">
      <w:start w:val="1"/>
      <w:numFmt w:val="lowerLetter"/>
      <w:lvlText w:val="%5."/>
      <w:lvlJc w:val="left"/>
      <w:pPr>
        <w:ind w:left="3600" w:hanging="360"/>
      </w:pPr>
    </w:lvl>
    <w:lvl w:ilvl="5" w:tplc="C7F81E7A">
      <w:start w:val="1"/>
      <w:numFmt w:val="lowerRoman"/>
      <w:lvlText w:val="%6."/>
      <w:lvlJc w:val="right"/>
      <w:pPr>
        <w:ind w:left="4320" w:hanging="180"/>
      </w:pPr>
    </w:lvl>
    <w:lvl w:ilvl="6" w:tplc="8BFCAD44">
      <w:start w:val="1"/>
      <w:numFmt w:val="decimal"/>
      <w:lvlText w:val="%7."/>
      <w:lvlJc w:val="left"/>
      <w:pPr>
        <w:ind w:left="5040" w:hanging="360"/>
      </w:pPr>
    </w:lvl>
    <w:lvl w:ilvl="7" w:tplc="A86E14A6">
      <w:start w:val="1"/>
      <w:numFmt w:val="lowerLetter"/>
      <w:lvlText w:val="%8."/>
      <w:lvlJc w:val="left"/>
      <w:pPr>
        <w:ind w:left="5760" w:hanging="360"/>
      </w:pPr>
    </w:lvl>
    <w:lvl w:ilvl="8" w:tplc="67824E60">
      <w:start w:val="1"/>
      <w:numFmt w:val="lowerRoman"/>
      <w:lvlText w:val="%9."/>
      <w:lvlJc w:val="right"/>
      <w:pPr>
        <w:ind w:left="6480" w:hanging="180"/>
      </w:pPr>
    </w:lvl>
  </w:abstractNum>
  <w:abstractNum w:abstractNumId="117" w15:restartNumberingAfterBreak="0">
    <w:nsid w:val="282C67BF"/>
    <w:multiLevelType w:val="hybridMultilevel"/>
    <w:tmpl w:val="35EC0AA2"/>
    <w:lvl w:ilvl="0" w:tplc="FFFFFFFF">
      <w:start w:val="1"/>
      <w:numFmt w:val="lowerLetter"/>
      <w:lvlText w:val="%1."/>
      <w:lvlJc w:val="left"/>
      <w:pPr>
        <w:ind w:left="720" w:hanging="360"/>
      </w:pPr>
    </w:lvl>
    <w:lvl w:ilvl="1" w:tplc="E61EA238">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295E2747"/>
    <w:multiLevelType w:val="hybridMultilevel"/>
    <w:tmpl w:val="FFFFFFFF"/>
    <w:lvl w:ilvl="0" w:tplc="6148A688">
      <w:start w:val="1"/>
      <w:numFmt w:val="decimal"/>
      <w:lvlText w:val="%1."/>
      <w:lvlJc w:val="left"/>
      <w:pPr>
        <w:ind w:left="720" w:hanging="360"/>
      </w:pPr>
    </w:lvl>
    <w:lvl w:ilvl="1" w:tplc="3DF66CE2">
      <w:start w:val="1"/>
      <w:numFmt w:val="lowerLetter"/>
      <w:lvlText w:val="%2."/>
      <w:lvlJc w:val="left"/>
      <w:pPr>
        <w:ind w:left="1440" w:hanging="360"/>
      </w:pPr>
    </w:lvl>
    <w:lvl w:ilvl="2" w:tplc="75F48C72">
      <w:start w:val="1"/>
      <w:numFmt w:val="lowerRoman"/>
      <w:lvlText w:val="%3."/>
      <w:lvlJc w:val="right"/>
      <w:pPr>
        <w:ind w:left="2160" w:hanging="180"/>
      </w:pPr>
    </w:lvl>
    <w:lvl w:ilvl="3" w:tplc="8BDA9FCE">
      <w:start w:val="1"/>
      <w:numFmt w:val="decimal"/>
      <w:lvlText w:val="%4."/>
      <w:lvlJc w:val="left"/>
      <w:pPr>
        <w:ind w:left="2880" w:hanging="360"/>
      </w:pPr>
    </w:lvl>
    <w:lvl w:ilvl="4" w:tplc="36049456">
      <w:start w:val="1"/>
      <w:numFmt w:val="lowerLetter"/>
      <w:lvlText w:val="%5."/>
      <w:lvlJc w:val="left"/>
      <w:pPr>
        <w:ind w:left="3600" w:hanging="360"/>
      </w:pPr>
    </w:lvl>
    <w:lvl w:ilvl="5" w:tplc="2E4435DE">
      <w:start w:val="1"/>
      <w:numFmt w:val="lowerRoman"/>
      <w:lvlText w:val="%6."/>
      <w:lvlJc w:val="right"/>
      <w:pPr>
        <w:ind w:left="4320" w:hanging="180"/>
      </w:pPr>
    </w:lvl>
    <w:lvl w:ilvl="6" w:tplc="F0A470F8">
      <w:start w:val="1"/>
      <w:numFmt w:val="decimal"/>
      <w:lvlText w:val="%7."/>
      <w:lvlJc w:val="left"/>
      <w:pPr>
        <w:ind w:left="5040" w:hanging="360"/>
      </w:pPr>
    </w:lvl>
    <w:lvl w:ilvl="7" w:tplc="6B90063C">
      <w:start w:val="1"/>
      <w:numFmt w:val="lowerLetter"/>
      <w:lvlText w:val="%8."/>
      <w:lvlJc w:val="left"/>
      <w:pPr>
        <w:ind w:left="5760" w:hanging="360"/>
      </w:pPr>
    </w:lvl>
    <w:lvl w:ilvl="8" w:tplc="AF584196">
      <w:start w:val="1"/>
      <w:numFmt w:val="lowerRoman"/>
      <w:lvlText w:val="%9."/>
      <w:lvlJc w:val="right"/>
      <w:pPr>
        <w:ind w:left="6480" w:hanging="180"/>
      </w:pPr>
    </w:lvl>
  </w:abstractNum>
  <w:abstractNum w:abstractNumId="119" w15:restartNumberingAfterBreak="0">
    <w:nsid w:val="2AB416AA"/>
    <w:multiLevelType w:val="hybridMultilevel"/>
    <w:tmpl w:val="FFFFFFFF"/>
    <w:lvl w:ilvl="0" w:tplc="F2BA5572">
      <w:start w:val="4"/>
      <w:numFmt w:val="lowerLetter"/>
      <w:lvlText w:val="%1)"/>
      <w:lvlJc w:val="left"/>
      <w:pPr>
        <w:ind w:left="720" w:hanging="360"/>
      </w:pPr>
    </w:lvl>
    <w:lvl w:ilvl="1" w:tplc="6FD835EA">
      <w:start w:val="1"/>
      <w:numFmt w:val="lowerLetter"/>
      <w:lvlText w:val="%2."/>
      <w:lvlJc w:val="left"/>
      <w:pPr>
        <w:ind w:left="1440" w:hanging="360"/>
      </w:pPr>
    </w:lvl>
    <w:lvl w:ilvl="2" w:tplc="BF8E3D7A">
      <w:start w:val="1"/>
      <w:numFmt w:val="lowerRoman"/>
      <w:lvlText w:val="%3."/>
      <w:lvlJc w:val="right"/>
      <w:pPr>
        <w:ind w:left="2160" w:hanging="180"/>
      </w:pPr>
    </w:lvl>
    <w:lvl w:ilvl="3" w:tplc="C5166D2A">
      <w:start w:val="1"/>
      <w:numFmt w:val="decimal"/>
      <w:lvlText w:val="%4."/>
      <w:lvlJc w:val="left"/>
      <w:pPr>
        <w:ind w:left="2880" w:hanging="360"/>
      </w:pPr>
    </w:lvl>
    <w:lvl w:ilvl="4" w:tplc="65BAF046">
      <w:start w:val="1"/>
      <w:numFmt w:val="lowerLetter"/>
      <w:lvlText w:val="%5."/>
      <w:lvlJc w:val="left"/>
      <w:pPr>
        <w:ind w:left="3600" w:hanging="360"/>
      </w:pPr>
    </w:lvl>
    <w:lvl w:ilvl="5" w:tplc="69CAF076">
      <w:start w:val="1"/>
      <w:numFmt w:val="lowerRoman"/>
      <w:lvlText w:val="%6."/>
      <w:lvlJc w:val="right"/>
      <w:pPr>
        <w:ind w:left="4320" w:hanging="180"/>
      </w:pPr>
    </w:lvl>
    <w:lvl w:ilvl="6" w:tplc="682A8126">
      <w:start w:val="1"/>
      <w:numFmt w:val="decimal"/>
      <w:lvlText w:val="%7."/>
      <w:lvlJc w:val="left"/>
      <w:pPr>
        <w:ind w:left="5040" w:hanging="360"/>
      </w:pPr>
    </w:lvl>
    <w:lvl w:ilvl="7" w:tplc="06D43FEE">
      <w:start w:val="1"/>
      <w:numFmt w:val="lowerLetter"/>
      <w:lvlText w:val="%8."/>
      <w:lvlJc w:val="left"/>
      <w:pPr>
        <w:ind w:left="5760" w:hanging="360"/>
      </w:pPr>
    </w:lvl>
    <w:lvl w:ilvl="8" w:tplc="D8BE98AA">
      <w:start w:val="1"/>
      <w:numFmt w:val="lowerRoman"/>
      <w:lvlText w:val="%9."/>
      <w:lvlJc w:val="right"/>
      <w:pPr>
        <w:ind w:left="6480" w:hanging="180"/>
      </w:pPr>
    </w:lvl>
  </w:abstractNum>
  <w:abstractNum w:abstractNumId="120" w15:restartNumberingAfterBreak="0">
    <w:nsid w:val="2ACDECC8"/>
    <w:multiLevelType w:val="hybridMultilevel"/>
    <w:tmpl w:val="FFFFFFFF"/>
    <w:lvl w:ilvl="0" w:tplc="70A87C80">
      <w:start w:val="6"/>
      <w:numFmt w:val="lowerLetter"/>
      <w:lvlText w:val="%1)"/>
      <w:lvlJc w:val="left"/>
      <w:pPr>
        <w:ind w:left="720" w:hanging="360"/>
      </w:pPr>
    </w:lvl>
    <w:lvl w:ilvl="1" w:tplc="A5B826D0">
      <w:start w:val="1"/>
      <w:numFmt w:val="lowerLetter"/>
      <w:lvlText w:val="%2."/>
      <w:lvlJc w:val="left"/>
      <w:pPr>
        <w:ind w:left="1440" w:hanging="360"/>
      </w:pPr>
    </w:lvl>
    <w:lvl w:ilvl="2" w:tplc="4296DFB6">
      <w:start w:val="1"/>
      <w:numFmt w:val="lowerRoman"/>
      <w:lvlText w:val="%3."/>
      <w:lvlJc w:val="right"/>
      <w:pPr>
        <w:ind w:left="2160" w:hanging="180"/>
      </w:pPr>
    </w:lvl>
    <w:lvl w:ilvl="3" w:tplc="C6BC9A30">
      <w:start w:val="1"/>
      <w:numFmt w:val="decimal"/>
      <w:lvlText w:val="%4."/>
      <w:lvlJc w:val="left"/>
      <w:pPr>
        <w:ind w:left="2880" w:hanging="360"/>
      </w:pPr>
    </w:lvl>
    <w:lvl w:ilvl="4" w:tplc="983EEC84">
      <w:start w:val="1"/>
      <w:numFmt w:val="lowerLetter"/>
      <w:lvlText w:val="%5."/>
      <w:lvlJc w:val="left"/>
      <w:pPr>
        <w:ind w:left="3600" w:hanging="360"/>
      </w:pPr>
    </w:lvl>
    <w:lvl w:ilvl="5" w:tplc="3EEEA4EA">
      <w:start w:val="1"/>
      <w:numFmt w:val="lowerRoman"/>
      <w:lvlText w:val="%6."/>
      <w:lvlJc w:val="right"/>
      <w:pPr>
        <w:ind w:left="4320" w:hanging="180"/>
      </w:pPr>
    </w:lvl>
    <w:lvl w:ilvl="6" w:tplc="43325FDC">
      <w:start w:val="1"/>
      <w:numFmt w:val="decimal"/>
      <w:lvlText w:val="%7."/>
      <w:lvlJc w:val="left"/>
      <w:pPr>
        <w:ind w:left="5040" w:hanging="360"/>
      </w:pPr>
    </w:lvl>
    <w:lvl w:ilvl="7" w:tplc="F600191E">
      <w:start w:val="1"/>
      <w:numFmt w:val="lowerLetter"/>
      <w:lvlText w:val="%8."/>
      <w:lvlJc w:val="left"/>
      <w:pPr>
        <w:ind w:left="5760" w:hanging="360"/>
      </w:pPr>
    </w:lvl>
    <w:lvl w:ilvl="8" w:tplc="D8082DD0">
      <w:start w:val="1"/>
      <w:numFmt w:val="lowerRoman"/>
      <w:lvlText w:val="%9."/>
      <w:lvlJc w:val="right"/>
      <w:pPr>
        <w:ind w:left="6480" w:hanging="180"/>
      </w:pPr>
    </w:lvl>
  </w:abstractNum>
  <w:abstractNum w:abstractNumId="121" w15:restartNumberingAfterBreak="0">
    <w:nsid w:val="2AF68BC0"/>
    <w:multiLevelType w:val="hybridMultilevel"/>
    <w:tmpl w:val="FFFFFFFF"/>
    <w:lvl w:ilvl="0" w:tplc="41BC4404">
      <w:start w:val="1"/>
      <w:numFmt w:val="decimal"/>
      <w:lvlText w:val="%1."/>
      <w:lvlJc w:val="left"/>
      <w:pPr>
        <w:ind w:left="720" w:hanging="360"/>
      </w:pPr>
    </w:lvl>
    <w:lvl w:ilvl="1" w:tplc="AF945CF2">
      <w:start w:val="1"/>
      <w:numFmt w:val="lowerLetter"/>
      <w:lvlText w:val="%2."/>
      <w:lvlJc w:val="left"/>
      <w:pPr>
        <w:ind w:left="1440" w:hanging="360"/>
      </w:pPr>
    </w:lvl>
    <w:lvl w:ilvl="2" w:tplc="12BC1C80">
      <w:start w:val="1"/>
      <w:numFmt w:val="lowerRoman"/>
      <w:lvlText w:val="%3."/>
      <w:lvlJc w:val="right"/>
      <w:pPr>
        <w:ind w:left="2160" w:hanging="180"/>
      </w:pPr>
    </w:lvl>
    <w:lvl w:ilvl="3" w:tplc="D836461E">
      <w:start w:val="1"/>
      <w:numFmt w:val="decimal"/>
      <w:lvlText w:val="%4."/>
      <w:lvlJc w:val="left"/>
      <w:pPr>
        <w:ind w:left="2880" w:hanging="360"/>
      </w:pPr>
    </w:lvl>
    <w:lvl w:ilvl="4" w:tplc="6FD229CC">
      <w:start w:val="1"/>
      <w:numFmt w:val="lowerLetter"/>
      <w:lvlText w:val="%5."/>
      <w:lvlJc w:val="left"/>
      <w:pPr>
        <w:ind w:left="3600" w:hanging="360"/>
      </w:pPr>
    </w:lvl>
    <w:lvl w:ilvl="5" w:tplc="D2F213E4">
      <w:start w:val="1"/>
      <w:numFmt w:val="lowerRoman"/>
      <w:lvlText w:val="%6."/>
      <w:lvlJc w:val="right"/>
      <w:pPr>
        <w:ind w:left="4320" w:hanging="180"/>
      </w:pPr>
    </w:lvl>
    <w:lvl w:ilvl="6" w:tplc="6EF2BF56">
      <w:start w:val="1"/>
      <w:numFmt w:val="decimal"/>
      <w:lvlText w:val="%7."/>
      <w:lvlJc w:val="left"/>
      <w:pPr>
        <w:ind w:left="5040" w:hanging="360"/>
      </w:pPr>
    </w:lvl>
    <w:lvl w:ilvl="7" w:tplc="D9006140">
      <w:start w:val="1"/>
      <w:numFmt w:val="lowerLetter"/>
      <w:lvlText w:val="%8."/>
      <w:lvlJc w:val="left"/>
      <w:pPr>
        <w:ind w:left="5760" w:hanging="360"/>
      </w:pPr>
    </w:lvl>
    <w:lvl w:ilvl="8" w:tplc="604EED16">
      <w:start w:val="1"/>
      <w:numFmt w:val="lowerRoman"/>
      <w:lvlText w:val="%9."/>
      <w:lvlJc w:val="right"/>
      <w:pPr>
        <w:ind w:left="6480" w:hanging="180"/>
      </w:pPr>
    </w:lvl>
  </w:abstractNum>
  <w:abstractNum w:abstractNumId="122" w15:restartNumberingAfterBreak="0">
    <w:nsid w:val="2B0CA56B"/>
    <w:multiLevelType w:val="hybridMultilevel"/>
    <w:tmpl w:val="FFFFFFFF"/>
    <w:lvl w:ilvl="0" w:tplc="BE74118E">
      <w:start w:val="1"/>
      <w:numFmt w:val="decimal"/>
      <w:lvlText w:val="%1."/>
      <w:lvlJc w:val="left"/>
      <w:pPr>
        <w:ind w:left="720" w:hanging="360"/>
      </w:pPr>
    </w:lvl>
    <w:lvl w:ilvl="1" w:tplc="D8C0CAFA">
      <w:start w:val="8"/>
      <w:numFmt w:val="lowerRoman"/>
      <w:lvlText w:val="%2."/>
      <w:lvlJc w:val="right"/>
      <w:pPr>
        <w:ind w:left="1440" w:hanging="360"/>
      </w:pPr>
    </w:lvl>
    <w:lvl w:ilvl="2" w:tplc="60340630">
      <w:start w:val="1"/>
      <w:numFmt w:val="lowerRoman"/>
      <w:lvlText w:val="%3."/>
      <w:lvlJc w:val="right"/>
      <w:pPr>
        <w:ind w:left="2160" w:hanging="180"/>
      </w:pPr>
    </w:lvl>
    <w:lvl w:ilvl="3" w:tplc="E3D87F9C">
      <w:start w:val="1"/>
      <w:numFmt w:val="decimal"/>
      <w:lvlText w:val="%4."/>
      <w:lvlJc w:val="left"/>
      <w:pPr>
        <w:ind w:left="2880" w:hanging="360"/>
      </w:pPr>
    </w:lvl>
    <w:lvl w:ilvl="4" w:tplc="E7E84B8C">
      <w:start w:val="1"/>
      <w:numFmt w:val="lowerLetter"/>
      <w:lvlText w:val="%5."/>
      <w:lvlJc w:val="left"/>
      <w:pPr>
        <w:ind w:left="3600" w:hanging="360"/>
      </w:pPr>
    </w:lvl>
    <w:lvl w:ilvl="5" w:tplc="AE440F94">
      <w:start w:val="1"/>
      <w:numFmt w:val="lowerRoman"/>
      <w:lvlText w:val="%6."/>
      <w:lvlJc w:val="right"/>
      <w:pPr>
        <w:ind w:left="4320" w:hanging="180"/>
      </w:pPr>
    </w:lvl>
    <w:lvl w:ilvl="6" w:tplc="E79CE2BC">
      <w:start w:val="1"/>
      <w:numFmt w:val="decimal"/>
      <w:lvlText w:val="%7."/>
      <w:lvlJc w:val="left"/>
      <w:pPr>
        <w:ind w:left="5040" w:hanging="360"/>
      </w:pPr>
    </w:lvl>
    <w:lvl w:ilvl="7" w:tplc="E5C675F4">
      <w:start w:val="1"/>
      <w:numFmt w:val="lowerLetter"/>
      <w:lvlText w:val="%8."/>
      <w:lvlJc w:val="left"/>
      <w:pPr>
        <w:ind w:left="5760" w:hanging="360"/>
      </w:pPr>
    </w:lvl>
    <w:lvl w:ilvl="8" w:tplc="7A9AE256">
      <w:start w:val="1"/>
      <w:numFmt w:val="lowerRoman"/>
      <w:lvlText w:val="%9."/>
      <w:lvlJc w:val="right"/>
      <w:pPr>
        <w:ind w:left="6480" w:hanging="180"/>
      </w:pPr>
    </w:lvl>
  </w:abstractNum>
  <w:abstractNum w:abstractNumId="123" w15:restartNumberingAfterBreak="0">
    <w:nsid w:val="2C2D4F88"/>
    <w:multiLevelType w:val="hybridMultilevel"/>
    <w:tmpl w:val="1752E1F4"/>
    <w:lvl w:ilvl="0" w:tplc="DB9A5C5A">
      <w:start w:val="1"/>
      <w:numFmt w:val="bullet"/>
      <w:lvlText w:val=""/>
      <w:lvlJc w:val="left"/>
      <w:pPr>
        <w:ind w:left="720" w:hanging="360"/>
      </w:pPr>
      <w:rPr>
        <w:rFonts w:ascii="Symbol" w:hAnsi="Symbol" w:hint="default"/>
      </w:rPr>
    </w:lvl>
    <w:lvl w:ilvl="1" w:tplc="4E0EDE78">
      <w:start w:val="1"/>
      <w:numFmt w:val="bullet"/>
      <w:lvlText w:val="o"/>
      <w:lvlJc w:val="left"/>
      <w:pPr>
        <w:ind w:left="1440" w:hanging="360"/>
      </w:pPr>
      <w:rPr>
        <w:rFonts w:ascii="Courier New" w:hAnsi="Courier New" w:hint="default"/>
      </w:rPr>
    </w:lvl>
    <w:lvl w:ilvl="2" w:tplc="39C80CB4">
      <w:start w:val="1"/>
      <w:numFmt w:val="bullet"/>
      <w:lvlText w:val=""/>
      <w:lvlJc w:val="left"/>
      <w:pPr>
        <w:ind w:left="2160" w:hanging="360"/>
      </w:pPr>
      <w:rPr>
        <w:rFonts w:ascii="Wingdings" w:hAnsi="Wingdings" w:hint="default"/>
      </w:rPr>
    </w:lvl>
    <w:lvl w:ilvl="3" w:tplc="90EC4780">
      <w:start w:val="1"/>
      <w:numFmt w:val="bullet"/>
      <w:lvlText w:val=""/>
      <w:lvlJc w:val="left"/>
      <w:pPr>
        <w:ind w:left="2880" w:hanging="360"/>
      </w:pPr>
      <w:rPr>
        <w:rFonts w:ascii="Symbol" w:hAnsi="Symbol" w:hint="default"/>
      </w:rPr>
    </w:lvl>
    <w:lvl w:ilvl="4" w:tplc="8A0E9BD2">
      <w:start w:val="1"/>
      <w:numFmt w:val="bullet"/>
      <w:lvlText w:val="o"/>
      <w:lvlJc w:val="left"/>
      <w:pPr>
        <w:ind w:left="3600" w:hanging="360"/>
      </w:pPr>
      <w:rPr>
        <w:rFonts w:ascii="Courier New" w:hAnsi="Courier New" w:hint="default"/>
      </w:rPr>
    </w:lvl>
    <w:lvl w:ilvl="5" w:tplc="59D49EE6">
      <w:start w:val="1"/>
      <w:numFmt w:val="bullet"/>
      <w:lvlText w:val=""/>
      <w:lvlJc w:val="left"/>
      <w:pPr>
        <w:ind w:left="4320" w:hanging="360"/>
      </w:pPr>
      <w:rPr>
        <w:rFonts w:ascii="Wingdings" w:hAnsi="Wingdings" w:hint="default"/>
      </w:rPr>
    </w:lvl>
    <w:lvl w:ilvl="6" w:tplc="4C5A6D88">
      <w:start w:val="1"/>
      <w:numFmt w:val="bullet"/>
      <w:lvlText w:val=""/>
      <w:lvlJc w:val="left"/>
      <w:pPr>
        <w:ind w:left="5040" w:hanging="360"/>
      </w:pPr>
      <w:rPr>
        <w:rFonts w:ascii="Symbol" w:hAnsi="Symbol" w:hint="default"/>
      </w:rPr>
    </w:lvl>
    <w:lvl w:ilvl="7" w:tplc="7D1AB098">
      <w:start w:val="1"/>
      <w:numFmt w:val="bullet"/>
      <w:lvlText w:val="o"/>
      <w:lvlJc w:val="left"/>
      <w:pPr>
        <w:ind w:left="5760" w:hanging="360"/>
      </w:pPr>
      <w:rPr>
        <w:rFonts w:ascii="Courier New" w:hAnsi="Courier New" w:hint="default"/>
      </w:rPr>
    </w:lvl>
    <w:lvl w:ilvl="8" w:tplc="54081E28">
      <w:start w:val="1"/>
      <w:numFmt w:val="bullet"/>
      <w:lvlText w:val=""/>
      <w:lvlJc w:val="left"/>
      <w:pPr>
        <w:ind w:left="6480" w:hanging="360"/>
      </w:pPr>
      <w:rPr>
        <w:rFonts w:ascii="Wingdings" w:hAnsi="Wingdings" w:hint="default"/>
      </w:rPr>
    </w:lvl>
  </w:abstractNum>
  <w:abstractNum w:abstractNumId="124" w15:restartNumberingAfterBreak="0">
    <w:nsid w:val="2C601870"/>
    <w:multiLevelType w:val="hybridMultilevel"/>
    <w:tmpl w:val="FFFFFFFF"/>
    <w:lvl w:ilvl="0" w:tplc="DFAA3484">
      <w:start w:val="8"/>
      <w:numFmt w:val="lowerRoman"/>
      <w:lvlText w:val="%1."/>
      <w:lvlJc w:val="right"/>
      <w:pPr>
        <w:ind w:left="1080" w:hanging="360"/>
      </w:pPr>
    </w:lvl>
    <w:lvl w:ilvl="1" w:tplc="116CA016">
      <w:start w:val="1"/>
      <w:numFmt w:val="lowerLetter"/>
      <w:lvlText w:val="%2."/>
      <w:lvlJc w:val="left"/>
      <w:pPr>
        <w:ind w:left="1440" w:hanging="360"/>
      </w:pPr>
    </w:lvl>
    <w:lvl w:ilvl="2" w:tplc="0930F2E0">
      <w:start w:val="1"/>
      <w:numFmt w:val="lowerRoman"/>
      <w:lvlText w:val="%3."/>
      <w:lvlJc w:val="right"/>
      <w:pPr>
        <w:ind w:left="2160" w:hanging="180"/>
      </w:pPr>
    </w:lvl>
    <w:lvl w:ilvl="3" w:tplc="14EE408C">
      <w:start w:val="1"/>
      <w:numFmt w:val="decimal"/>
      <w:lvlText w:val="%4."/>
      <w:lvlJc w:val="left"/>
      <w:pPr>
        <w:ind w:left="2880" w:hanging="360"/>
      </w:pPr>
    </w:lvl>
    <w:lvl w:ilvl="4" w:tplc="88FCC5EC">
      <w:start w:val="1"/>
      <w:numFmt w:val="lowerLetter"/>
      <w:lvlText w:val="%5."/>
      <w:lvlJc w:val="left"/>
      <w:pPr>
        <w:ind w:left="3600" w:hanging="360"/>
      </w:pPr>
    </w:lvl>
    <w:lvl w:ilvl="5" w:tplc="884C395E">
      <w:start w:val="1"/>
      <w:numFmt w:val="lowerRoman"/>
      <w:lvlText w:val="%6."/>
      <w:lvlJc w:val="right"/>
      <w:pPr>
        <w:ind w:left="4320" w:hanging="180"/>
      </w:pPr>
    </w:lvl>
    <w:lvl w:ilvl="6" w:tplc="41A6D3E4">
      <w:start w:val="1"/>
      <w:numFmt w:val="decimal"/>
      <w:lvlText w:val="%7."/>
      <w:lvlJc w:val="left"/>
      <w:pPr>
        <w:ind w:left="5040" w:hanging="360"/>
      </w:pPr>
    </w:lvl>
    <w:lvl w:ilvl="7" w:tplc="719E1A72">
      <w:start w:val="1"/>
      <w:numFmt w:val="lowerLetter"/>
      <w:lvlText w:val="%8."/>
      <w:lvlJc w:val="left"/>
      <w:pPr>
        <w:ind w:left="5760" w:hanging="360"/>
      </w:pPr>
    </w:lvl>
    <w:lvl w:ilvl="8" w:tplc="0C80F79C">
      <w:start w:val="1"/>
      <w:numFmt w:val="lowerRoman"/>
      <w:lvlText w:val="%9."/>
      <w:lvlJc w:val="right"/>
      <w:pPr>
        <w:ind w:left="6480" w:hanging="180"/>
      </w:pPr>
    </w:lvl>
  </w:abstractNum>
  <w:abstractNum w:abstractNumId="12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6" w15:restartNumberingAfterBreak="0">
    <w:nsid w:val="2CDCD814"/>
    <w:multiLevelType w:val="hybridMultilevel"/>
    <w:tmpl w:val="FFFFFFFF"/>
    <w:lvl w:ilvl="0" w:tplc="61D4678A">
      <w:start w:val="1"/>
      <w:numFmt w:val="decimal"/>
      <w:lvlText w:val="%1."/>
      <w:lvlJc w:val="left"/>
      <w:pPr>
        <w:ind w:left="720" w:hanging="360"/>
      </w:pPr>
    </w:lvl>
    <w:lvl w:ilvl="1" w:tplc="AA0E6010">
      <w:start w:val="1"/>
      <w:numFmt w:val="lowerLetter"/>
      <w:lvlText w:val="%2."/>
      <w:lvlJc w:val="left"/>
      <w:pPr>
        <w:ind w:left="1440" w:hanging="360"/>
      </w:pPr>
    </w:lvl>
    <w:lvl w:ilvl="2" w:tplc="CA00F4BA">
      <w:start w:val="1"/>
      <w:numFmt w:val="lowerRoman"/>
      <w:lvlText w:val="%3."/>
      <w:lvlJc w:val="right"/>
      <w:pPr>
        <w:ind w:left="2160" w:hanging="180"/>
      </w:pPr>
    </w:lvl>
    <w:lvl w:ilvl="3" w:tplc="4622FA04">
      <w:start w:val="1"/>
      <w:numFmt w:val="decimal"/>
      <w:lvlText w:val="%4."/>
      <w:lvlJc w:val="left"/>
      <w:pPr>
        <w:ind w:left="2880" w:hanging="360"/>
      </w:pPr>
    </w:lvl>
    <w:lvl w:ilvl="4" w:tplc="35DA69EC">
      <w:start w:val="1"/>
      <w:numFmt w:val="lowerLetter"/>
      <w:lvlText w:val="%5."/>
      <w:lvlJc w:val="left"/>
      <w:pPr>
        <w:ind w:left="3600" w:hanging="360"/>
      </w:pPr>
    </w:lvl>
    <w:lvl w:ilvl="5" w:tplc="1B585942">
      <w:start w:val="1"/>
      <w:numFmt w:val="lowerRoman"/>
      <w:lvlText w:val="%6."/>
      <w:lvlJc w:val="right"/>
      <w:pPr>
        <w:ind w:left="4320" w:hanging="180"/>
      </w:pPr>
    </w:lvl>
    <w:lvl w:ilvl="6" w:tplc="D68C4CEE">
      <w:start w:val="1"/>
      <w:numFmt w:val="decimal"/>
      <w:lvlText w:val="%7."/>
      <w:lvlJc w:val="left"/>
      <w:pPr>
        <w:ind w:left="5040" w:hanging="360"/>
      </w:pPr>
    </w:lvl>
    <w:lvl w:ilvl="7" w:tplc="B950D94C">
      <w:start w:val="1"/>
      <w:numFmt w:val="lowerLetter"/>
      <w:lvlText w:val="%8."/>
      <w:lvlJc w:val="left"/>
      <w:pPr>
        <w:ind w:left="5760" w:hanging="360"/>
      </w:pPr>
    </w:lvl>
    <w:lvl w:ilvl="8" w:tplc="F34AE9B0">
      <w:start w:val="1"/>
      <w:numFmt w:val="lowerRoman"/>
      <w:lvlText w:val="%9."/>
      <w:lvlJc w:val="right"/>
      <w:pPr>
        <w:ind w:left="6480" w:hanging="180"/>
      </w:pPr>
    </w:lvl>
  </w:abstractNum>
  <w:abstractNum w:abstractNumId="12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8" w15:restartNumberingAfterBreak="0">
    <w:nsid w:val="2D5C5A61"/>
    <w:multiLevelType w:val="hybridMultilevel"/>
    <w:tmpl w:val="57A6031A"/>
    <w:lvl w:ilvl="0" w:tplc="4E685BA8">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9" w15:restartNumberingAfterBreak="0">
    <w:nsid w:val="2D779A4B"/>
    <w:multiLevelType w:val="hybridMultilevel"/>
    <w:tmpl w:val="FFFFFFFF"/>
    <w:lvl w:ilvl="0" w:tplc="E5022A68">
      <w:start w:val="1"/>
      <w:numFmt w:val="bullet"/>
      <w:lvlText w:val=""/>
      <w:lvlJc w:val="left"/>
      <w:pPr>
        <w:ind w:left="720" w:hanging="360"/>
      </w:pPr>
      <w:rPr>
        <w:rFonts w:ascii="Symbol" w:hAnsi="Symbol" w:hint="default"/>
      </w:rPr>
    </w:lvl>
    <w:lvl w:ilvl="1" w:tplc="4572B90E">
      <w:start w:val="1"/>
      <w:numFmt w:val="bullet"/>
      <w:lvlText w:val="o"/>
      <w:lvlJc w:val="left"/>
      <w:pPr>
        <w:ind w:left="1440" w:hanging="360"/>
      </w:pPr>
      <w:rPr>
        <w:rFonts w:ascii="Courier New" w:hAnsi="Courier New" w:hint="default"/>
      </w:rPr>
    </w:lvl>
    <w:lvl w:ilvl="2" w:tplc="BDE8F200">
      <w:start w:val="1"/>
      <w:numFmt w:val="bullet"/>
      <w:lvlText w:val=""/>
      <w:lvlJc w:val="left"/>
      <w:pPr>
        <w:ind w:left="2160" w:hanging="360"/>
      </w:pPr>
      <w:rPr>
        <w:rFonts w:ascii="Wingdings" w:hAnsi="Wingdings" w:hint="default"/>
      </w:rPr>
    </w:lvl>
    <w:lvl w:ilvl="3" w:tplc="8EA2777C">
      <w:start w:val="1"/>
      <w:numFmt w:val="bullet"/>
      <w:lvlText w:val=""/>
      <w:lvlJc w:val="left"/>
      <w:pPr>
        <w:ind w:left="2880" w:hanging="360"/>
      </w:pPr>
      <w:rPr>
        <w:rFonts w:ascii="Symbol" w:hAnsi="Symbol" w:hint="default"/>
      </w:rPr>
    </w:lvl>
    <w:lvl w:ilvl="4" w:tplc="508EA71A">
      <w:start w:val="1"/>
      <w:numFmt w:val="bullet"/>
      <w:lvlText w:val="o"/>
      <w:lvlJc w:val="left"/>
      <w:pPr>
        <w:ind w:left="3600" w:hanging="360"/>
      </w:pPr>
      <w:rPr>
        <w:rFonts w:ascii="Courier New" w:hAnsi="Courier New" w:hint="default"/>
      </w:rPr>
    </w:lvl>
    <w:lvl w:ilvl="5" w:tplc="02E6A848">
      <w:start w:val="1"/>
      <w:numFmt w:val="bullet"/>
      <w:lvlText w:val=""/>
      <w:lvlJc w:val="left"/>
      <w:pPr>
        <w:ind w:left="4320" w:hanging="360"/>
      </w:pPr>
      <w:rPr>
        <w:rFonts w:ascii="Wingdings" w:hAnsi="Wingdings" w:hint="default"/>
      </w:rPr>
    </w:lvl>
    <w:lvl w:ilvl="6" w:tplc="3F82DC2E">
      <w:start w:val="1"/>
      <w:numFmt w:val="bullet"/>
      <w:lvlText w:val=""/>
      <w:lvlJc w:val="left"/>
      <w:pPr>
        <w:ind w:left="5040" w:hanging="360"/>
      </w:pPr>
      <w:rPr>
        <w:rFonts w:ascii="Symbol" w:hAnsi="Symbol" w:hint="default"/>
      </w:rPr>
    </w:lvl>
    <w:lvl w:ilvl="7" w:tplc="74509432">
      <w:start w:val="1"/>
      <w:numFmt w:val="bullet"/>
      <w:lvlText w:val="o"/>
      <w:lvlJc w:val="left"/>
      <w:pPr>
        <w:ind w:left="5760" w:hanging="360"/>
      </w:pPr>
      <w:rPr>
        <w:rFonts w:ascii="Courier New" w:hAnsi="Courier New" w:hint="default"/>
      </w:rPr>
    </w:lvl>
    <w:lvl w:ilvl="8" w:tplc="E6B89C32">
      <w:start w:val="1"/>
      <w:numFmt w:val="bullet"/>
      <w:lvlText w:val=""/>
      <w:lvlJc w:val="left"/>
      <w:pPr>
        <w:ind w:left="6480" w:hanging="360"/>
      </w:pPr>
      <w:rPr>
        <w:rFonts w:ascii="Wingdings" w:hAnsi="Wingdings" w:hint="default"/>
      </w:rPr>
    </w:lvl>
  </w:abstractNum>
  <w:abstractNum w:abstractNumId="130" w15:restartNumberingAfterBreak="0">
    <w:nsid w:val="2E96D848"/>
    <w:multiLevelType w:val="hybridMultilevel"/>
    <w:tmpl w:val="FFFFFFFF"/>
    <w:lvl w:ilvl="0" w:tplc="8D269702">
      <w:start w:val="1"/>
      <w:numFmt w:val="lowerLetter"/>
      <w:lvlText w:val="%1."/>
      <w:lvlJc w:val="left"/>
      <w:pPr>
        <w:ind w:left="720" w:hanging="360"/>
      </w:pPr>
    </w:lvl>
    <w:lvl w:ilvl="1" w:tplc="ACBC587E">
      <w:start w:val="1"/>
      <w:numFmt w:val="lowerLetter"/>
      <w:lvlText w:val="%2."/>
      <w:lvlJc w:val="left"/>
      <w:pPr>
        <w:ind w:left="1440" w:hanging="360"/>
      </w:pPr>
    </w:lvl>
    <w:lvl w:ilvl="2" w:tplc="61768584">
      <w:start w:val="1"/>
      <w:numFmt w:val="lowerRoman"/>
      <w:lvlText w:val="%3."/>
      <w:lvlJc w:val="right"/>
      <w:pPr>
        <w:ind w:left="2160" w:hanging="180"/>
      </w:pPr>
    </w:lvl>
    <w:lvl w:ilvl="3" w:tplc="B31EFD8C">
      <w:start w:val="1"/>
      <w:numFmt w:val="decimal"/>
      <w:lvlText w:val="%4."/>
      <w:lvlJc w:val="left"/>
      <w:pPr>
        <w:ind w:left="2880" w:hanging="360"/>
      </w:pPr>
    </w:lvl>
    <w:lvl w:ilvl="4" w:tplc="A7225662">
      <w:start w:val="1"/>
      <w:numFmt w:val="lowerLetter"/>
      <w:lvlText w:val="%5."/>
      <w:lvlJc w:val="left"/>
      <w:pPr>
        <w:ind w:left="3600" w:hanging="360"/>
      </w:pPr>
    </w:lvl>
    <w:lvl w:ilvl="5" w:tplc="6018FE9A">
      <w:start w:val="1"/>
      <w:numFmt w:val="lowerRoman"/>
      <w:lvlText w:val="%6."/>
      <w:lvlJc w:val="right"/>
      <w:pPr>
        <w:ind w:left="4320" w:hanging="180"/>
      </w:pPr>
    </w:lvl>
    <w:lvl w:ilvl="6" w:tplc="DCB47D3E">
      <w:start w:val="1"/>
      <w:numFmt w:val="decimal"/>
      <w:lvlText w:val="%7."/>
      <w:lvlJc w:val="left"/>
      <w:pPr>
        <w:ind w:left="5040" w:hanging="360"/>
      </w:pPr>
    </w:lvl>
    <w:lvl w:ilvl="7" w:tplc="28C0AD40">
      <w:start w:val="1"/>
      <w:numFmt w:val="lowerLetter"/>
      <w:lvlText w:val="%8."/>
      <w:lvlJc w:val="left"/>
      <w:pPr>
        <w:ind w:left="5760" w:hanging="360"/>
      </w:pPr>
    </w:lvl>
    <w:lvl w:ilvl="8" w:tplc="FDC068FE">
      <w:start w:val="1"/>
      <w:numFmt w:val="lowerRoman"/>
      <w:lvlText w:val="%9."/>
      <w:lvlJc w:val="right"/>
      <w:pPr>
        <w:ind w:left="6480" w:hanging="180"/>
      </w:pPr>
    </w:lvl>
  </w:abstractNum>
  <w:abstractNum w:abstractNumId="131" w15:restartNumberingAfterBreak="0">
    <w:nsid w:val="2ECE5390"/>
    <w:multiLevelType w:val="hybridMultilevel"/>
    <w:tmpl w:val="5272350E"/>
    <w:lvl w:ilvl="0" w:tplc="E7F67502">
      <w:start w:val="1"/>
      <w:numFmt w:val="bullet"/>
      <w:lvlText w:val=""/>
      <w:lvlJc w:val="left"/>
      <w:pPr>
        <w:ind w:left="720" w:hanging="360"/>
      </w:pPr>
      <w:rPr>
        <w:rFonts w:ascii="Symbol" w:hAnsi="Symbol" w:hint="default"/>
        <w:sz w:val="16"/>
        <w:szCs w:val="16"/>
      </w:rPr>
    </w:lvl>
    <w:lvl w:ilvl="1" w:tplc="E17CDDAA">
      <w:start w:val="1"/>
      <w:numFmt w:val="bullet"/>
      <w:lvlText w:val="o"/>
      <w:lvlJc w:val="left"/>
      <w:pPr>
        <w:ind w:left="1440" w:hanging="360"/>
      </w:pPr>
      <w:rPr>
        <w:rFonts w:ascii="Courier New" w:hAnsi="Courier New" w:hint="default"/>
      </w:rPr>
    </w:lvl>
    <w:lvl w:ilvl="2" w:tplc="49E8BC62">
      <w:start w:val="1"/>
      <w:numFmt w:val="bullet"/>
      <w:lvlText w:val=""/>
      <w:lvlJc w:val="left"/>
      <w:pPr>
        <w:ind w:left="2160" w:hanging="360"/>
      </w:pPr>
      <w:rPr>
        <w:rFonts w:ascii="Wingdings" w:hAnsi="Wingdings" w:hint="default"/>
      </w:rPr>
    </w:lvl>
    <w:lvl w:ilvl="3" w:tplc="7F9ABCC0">
      <w:start w:val="1"/>
      <w:numFmt w:val="bullet"/>
      <w:lvlText w:val=""/>
      <w:lvlJc w:val="left"/>
      <w:pPr>
        <w:ind w:left="2880" w:hanging="360"/>
      </w:pPr>
      <w:rPr>
        <w:rFonts w:ascii="Symbol" w:hAnsi="Symbol" w:hint="default"/>
      </w:rPr>
    </w:lvl>
    <w:lvl w:ilvl="4" w:tplc="AB3CB48C">
      <w:start w:val="1"/>
      <w:numFmt w:val="bullet"/>
      <w:lvlText w:val="o"/>
      <w:lvlJc w:val="left"/>
      <w:pPr>
        <w:ind w:left="3600" w:hanging="360"/>
      </w:pPr>
      <w:rPr>
        <w:rFonts w:ascii="Courier New" w:hAnsi="Courier New" w:hint="default"/>
      </w:rPr>
    </w:lvl>
    <w:lvl w:ilvl="5" w:tplc="ED8A7C2C">
      <w:start w:val="1"/>
      <w:numFmt w:val="bullet"/>
      <w:lvlText w:val=""/>
      <w:lvlJc w:val="left"/>
      <w:pPr>
        <w:ind w:left="4320" w:hanging="360"/>
      </w:pPr>
      <w:rPr>
        <w:rFonts w:ascii="Wingdings" w:hAnsi="Wingdings" w:hint="default"/>
      </w:rPr>
    </w:lvl>
    <w:lvl w:ilvl="6" w:tplc="3D9E2B5C">
      <w:start w:val="1"/>
      <w:numFmt w:val="bullet"/>
      <w:lvlText w:val=""/>
      <w:lvlJc w:val="left"/>
      <w:pPr>
        <w:ind w:left="5040" w:hanging="360"/>
      </w:pPr>
      <w:rPr>
        <w:rFonts w:ascii="Symbol" w:hAnsi="Symbol" w:hint="default"/>
      </w:rPr>
    </w:lvl>
    <w:lvl w:ilvl="7" w:tplc="B0CC366C">
      <w:start w:val="1"/>
      <w:numFmt w:val="bullet"/>
      <w:lvlText w:val="o"/>
      <w:lvlJc w:val="left"/>
      <w:pPr>
        <w:ind w:left="5760" w:hanging="360"/>
      </w:pPr>
      <w:rPr>
        <w:rFonts w:ascii="Courier New" w:hAnsi="Courier New" w:hint="default"/>
      </w:rPr>
    </w:lvl>
    <w:lvl w:ilvl="8" w:tplc="49F6BA96">
      <w:start w:val="1"/>
      <w:numFmt w:val="bullet"/>
      <w:lvlText w:val=""/>
      <w:lvlJc w:val="left"/>
      <w:pPr>
        <w:ind w:left="6480" w:hanging="360"/>
      </w:pPr>
      <w:rPr>
        <w:rFonts w:ascii="Wingdings" w:hAnsi="Wingdings" w:hint="default"/>
      </w:rPr>
    </w:lvl>
  </w:abstractNum>
  <w:abstractNum w:abstractNumId="132" w15:restartNumberingAfterBreak="0">
    <w:nsid w:val="2FEDC564"/>
    <w:multiLevelType w:val="hybridMultilevel"/>
    <w:tmpl w:val="FFFFFFFF"/>
    <w:lvl w:ilvl="0" w:tplc="5FCC7A08">
      <w:start w:val="1"/>
      <w:numFmt w:val="bullet"/>
      <w:lvlText w:val="·"/>
      <w:lvlJc w:val="left"/>
      <w:pPr>
        <w:ind w:left="720" w:hanging="360"/>
      </w:pPr>
      <w:rPr>
        <w:rFonts w:ascii="Symbol" w:hAnsi="Symbol" w:hint="default"/>
      </w:rPr>
    </w:lvl>
    <w:lvl w:ilvl="1" w:tplc="035A1440">
      <w:start w:val="1"/>
      <w:numFmt w:val="bullet"/>
      <w:lvlText w:val="o"/>
      <w:lvlJc w:val="left"/>
      <w:pPr>
        <w:ind w:left="1440" w:hanging="360"/>
      </w:pPr>
      <w:rPr>
        <w:rFonts w:ascii="Courier New" w:hAnsi="Courier New" w:hint="default"/>
      </w:rPr>
    </w:lvl>
    <w:lvl w:ilvl="2" w:tplc="22547C94">
      <w:start w:val="1"/>
      <w:numFmt w:val="bullet"/>
      <w:lvlText w:val=""/>
      <w:lvlJc w:val="left"/>
      <w:pPr>
        <w:ind w:left="2160" w:hanging="360"/>
      </w:pPr>
      <w:rPr>
        <w:rFonts w:ascii="Wingdings" w:hAnsi="Wingdings" w:hint="default"/>
      </w:rPr>
    </w:lvl>
    <w:lvl w:ilvl="3" w:tplc="B74A3C9E">
      <w:start w:val="1"/>
      <w:numFmt w:val="bullet"/>
      <w:lvlText w:val=""/>
      <w:lvlJc w:val="left"/>
      <w:pPr>
        <w:ind w:left="2880" w:hanging="360"/>
      </w:pPr>
      <w:rPr>
        <w:rFonts w:ascii="Symbol" w:hAnsi="Symbol" w:hint="default"/>
      </w:rPr>
    </w:lvl>
    <w:lvl w:ilvl="4" w:tplc="D60C45AE">
      <w:start w:val="1"/>
      <w:numFmt w:val="bullet"/>
      <w:lvlText w:val="o"/>
      <w:lvlJc w:val="left"/>
      <w:pPr>
        <w:ind w:left="3600" w:hanging="360"/>
      </w:pPr>
      <w:rPr>
        <w:rFonts w:ascii="Courier New" w:hAnsi="Courier New" w:hint="default"/>
      </w:rPr>
    </w:lvl>
    <w:lvl w:ilvl="5" w:tplc="AB404BE6">
      <w:start w:val="1"/>
      <w:numFmt w:val="bullet"/>
      <w:lvlText w:val=""/>
      <w:lvlJc w:val="left"/>
      <w:pPr>
        <w:ind w:left="4320" w:hanging="360"/>
      </w:pPr>
      <w:rPr>
        <w:rFonts w:ascii="Wingdings" w:hAnsi="Wingdings" w:hint="default"/>
      </w:rPr>
    </w:lvl>
    <w:lvl w:ilvl="6" w:tplc="45089318">
      <w:start w:val="1"/>
      <w:numFmt w:val="bullet"/>
      <w:lvlText w:val=""/>
      <w:lvlJc w:val="left"/>
      <w:pPr>
        <w:ind w:left="5040" w:hanging="360"/>
      </w:pPr>
      <w:rPr>
        <w:rFonts w:ascii="Symbol" w:hAnsi="Symbol" w:hint="default"/>
      </w:rPr>
    </w:lvl>
    <w:lvl w:ilvl="7" w:tplc="9C9236A2">
      <w:start w:val="1"/>
      <w:numFmt w:val="bullet"/>
      <w:lvlText w:val="o"/>
      <w:lvlJc w:val="left"/>
      <w:pPr>
        <w:ind w:left="5760" w:hanging="360"/>
      </w:pPr>
      <w:rPr>
        <w:rFonts w:ascii="Courier New" w:hAnsi="Courier New" w:hint="default"/>
      </w:rPr>
    </w:lvl>
    <w:lvl w:ilvl="8" w:tplc="2C2AC726">
      <w:start w:val="1"/>
      <w:numFmt w:val="bullet"/>
      <w:lvlText w:val=""/>
      <w:lvlJc w:val="left"/>
      <w:pPr>
        <w:ind w:left="6480" w:hanging="360"/>
      </w:pPr>
      <w:rPr>
        <w:rFonts w:ascii="Wingdings" w:hAnsi="Wingdings" w:hint="default"/>
      </w:rPr>
    </w:lvl>
  </w:abstractNum>
  <w:abstractNum w:abstractNumId="133" w15:restartNumberingAfterBreak="0">
    <w:nsid w:val="307919BE"/>
    <w:multiLevelType w:val="hybridMultilevel"/>
    <w:tmpl w:val="FFFFFFFF"/>
    <w:lvl w:ilvl="0" w:tplc="BA96C046">
      <w:start w:val="1"/>
      <w:numFmt w:val="bullet"/>
      <w:lvlText w:val="-"/>
      <w:lvlJc w:val="left"/>
      <w:pPr>
        <w:ind w:left="720" w:hanging="360"/>
      </w:pPr>
      <w:rPr>
        <w:rFonts w:ascii="Symbol" w:hAnsi="Symbol" w:hint="default"/>
      </w:rPr>
    </w:lvl>
    <w:lvl w:ilvl="1" w:tplc="BD6C8A26">
      <w:start w:val="1"/>
      <w:numFmt w:val="bullet"/>
      <w:lvlText w:val="o"/>
      <w:lvlJc w:val="left"/>
      <w:pPr>
        <w:ind w:left="1440" w:hanging="360"/>
      </w:pPr>
      <w:rPr>
        <w:rFonts w:ascii="Courier New" w:hAnsi="Courier New" w:hint="default"/>
      </w:rPr>
    </w:lvl>
    <w:lvl w:ilvl="2" w:tplc="42980B90">
      <w:start w:val="1"/>
      <w:numFmt w:val="bullet"/>
      <w:lvlText w:val=""/>
      <w:lvlJc w:val="left"/>
      <w:pPr>
        <w:ind w:left="2160" w:hanging="360"/>
      </w:pPr>
      <w:rPr>
        <w:rFonts w:ascii="Wingdings" w:hAnsi="Wingdings" w:hint="default"/>
      </w:rPr>
    </w:lvl>
    <w:lvl w:ilvl="3" w:tplc="ECBC6C38">
      <w:start w:val="1"/>
      <w:numFmt w:val="bullet"/>
      <w:lvlText w:val=""/>
      <w:lvlJc w:val="left"/>
      <w:pPr>
        <w:ind w:left="2880" w:hanging="360"/>
      </w:pPr>
      <w:rPr>
        <w:rFonts w:ascii="Symbol" w:hAnsi="Symbol" w:hint="default"/>
      </w:rPr>
    </w:lvl>
    <w:lvl w:ilvl="4" w:tplc="FDC03870">
      <w:start w:val="1"/>
      <w:numFmt w:val="bullet"/>
      <w:lvlText w:val="o"/>
      <w:lvlJc w:val="left"/>
      <w:pPr>
        <w:ind w:left="3600" w:hanging="360"/>
      </w:pPr>
      <w:rPr>
        <w:rFonts w:ascii="Courier New" w:hAnsi="Courier New" w:hint="default"/>
      </w:rPr>
    </w:lvl>
    <w:lvl w:ilvl="5" w:tplc="90546AE0">
      <w:start w:val="1"/>
      <w:numFmt w:val="bullet"/>
      <w:lvlText w:val=""/>
      <w:lvlJc w:val="left"/>
      <w:pPr>
        <w:ind w:left="4320" w:hanging="360"/>
      </w:pPr>
      <w:rPr>
        <w:rFonts w:ascii="Wingdings" w:hAnsi="Wingdings" w:hint="default"/>
      </w:rPr>
    </w:lvl>
    <w:lvl w:ilvl="6" w:tplc="8E46B48E">
      <w:start w:val="1"/>
      <w:numFmt w:val="bullet"/>
      <w:lvlText w:val=""/>
      <w:lvlJc w:val="left"/>
      <w:pPr>
        <w:ind w:left="5040" w:hanging="360"/>
      </w:pPr>
      <w:rPr>
        <w:rFonts w:ascii="Symbol" w:hAnsi="Symbol" w:hint="default"/>
      </w:rPr>
    </w:lvl>
    <w:lvl w:ilvl="7" w:tplc="222A31DC">
      <w:start w:val="1"/>
      <w:numFmt w:val="bullet"/>
      <w:lvlText w:val="o"/>
      <w:lvlJc w:val="left"/>
      <w:pPr>
        <w:ind w:left="5760" w:hanging="360"/>
      </w:pPr>
      <w:rPr>
        <w:rFonts w:ascii="Courier New" w:hAnsi="Courier New" w:hint="default"/>
      </w:rPr>
    </w:lvl>
    <w:lvl w:ilvl="8" w:tplc="23804A2E">
      <w:start w:val="1"/>
      <w:numFmt w:val="bullet"/>
      <w:lvlText w:val=""/>
      <w:lvlJc w:val="left"/>
      <w:pPr>
        <w:ind w:left="6480" w:hanging="360"/>
      </w:pPr>
      <w:rPr>
        <w:rFonts w:ascii="Wingdings" w:hAnsi="Wingdings" w:hint="default"/>
      </w:rPr>
    </w:lvl>
  </w:abstractNum>
  <w:abstractNum w:abstractNumId="134" w15:restartNumberingAfterBreak="0">
    <w:nsid w:val="310A79F7"/>
    <w:multiLevelType w:val="hybridMultilevel"/>
    <w:tmpl w:val="EFF2ABAA"/>
    <w:lvl w:ilvl="0" w:tplc="1F42A986">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318276F3"/>
    <w:multiLevelType w:val="hybridMultilevel"/>
    <w:tmpl w:val="FFFFFFFF"/>
    <w:lvl w:ilvl="0" w:tplc="10AE58F6">
      <w:start w:val="3"/>
      <w:numFmt w:val="lowerLetter"/>
      <w:lvlText w:val="%1."/>
      <w:lvlJc w:val="left"/>
      <w:pPr>
        <w:ind w:left="720" w:hanging="360"/>
      </w:pPr>
    </w:lvl>
    <w:lvl w:ilvl="1" w:tplc="283E57C6">
      <w:start w:val="1"/>
      <w:numFmt w:val="lowerLetter"/>
      <w:lvlText w:val="%2."/>
      <w:lvlJc w:val="left"/>
      <w:pPr>
        <w:ind w:left="1440" w:hanging="360"/>
      </w:pPr>
    </w:lvl>
    <w:lvl w:ilvl="2" w:tplc="9926E9F8">
      <w:start w:val="1"/>
      <w:numFmt w:val="lowerRoman"/>
      <w:lvlText w:val="%3."/>
      <w:lvlJc w:val="right"/>
      <w:pPr>
        <w:ind w:left="2160" w:hanging="180"/>
      </w:pPr>
    </w:lvl>
    <w:lvl w:ilvl="3" w:tplc="72B026CA">
      <w:start w:val="1"/>
      <w:numFmt w:val="decimal"/>
      <w:lvlText w:val="%4."/>
      <w:lvlJc w:val="left"/>
      <w:pPr>
        <w:ind w:left="2880" w:hanging="360"/>
      </w:pPr>
    </w:lvl>
    <w:lvl w:ilvl="4" w:tplc="8638ACEC">
      <w:start w:val="1"/>
      <w:numFmt w:val="lowerLetter"/>
      <w:lvlText w:val="%5."/>
      <w:lvlJc w:val="left"/>
      <w:pPr>
        <w:ind w:left="3600" w:hanging="360"/>
      </w:pPr>
    </w:lvl>
    <w:lvl w:ilvl="5" w:tplc="6374B23A">
      <w:start w:val="1"/>
      <w:numFmt w:val="lowerRoman"/>
      <w:lvlText w:val="%6."/>
      <w:lvlJc w:val="right"/>
      <w:pPr>
        <w:ind w:left="4320" w:hanging="180"/>
      </w:pPr>
    </w:lvl>
    <w:lvl w:ilvl="6" w:tplc="D422CD26">
      <w:start w:val="1"/>
      <w:numFmt w:val="decimal"/>
      <w:lvlText w:val="%7."/>
      <w:lvlJc w:val="left"/>
      <w:pPr>
        <w:ind w:left="5040" w:hanging="360"/>
      </w:pPr>
    </w:lvl>
    <w:lvl w:ilvl="7" w:tplc="D1D0C6D4">
      <w:start w:val="1"/>
      <w:numFmt w:val="lowerLetter"/>
      <w:lvlText w:val="%8."/>
      <w:lvlJc w:val="left"/>
      <w:pPr>
        <w:ind w:left="5760" w:hanging="360"/>
      </w:pPr>
    </w:lvl>
    <w:lvl w:ilvl="8" w:tplc="6B8EB47E">
      <w:start w:val="1"/>
      <w:numFmt w:val="lowerRoman"/>
      <w:lvlText w:val="%9."/>
      <w:lvlJc w:val="right"/>
      <w:pPr>
        <w:ind w:left="6480" w:hanging="180"/>
      </w:pPr>
    </w:lvl>
  </w:abstractNum>
  <w:abstractNum w:abstractNumId="136" w15:restartNumberingAfterBreak="0">
    <w:nsid w:val="3194EFD8"/>
    <w:multiLevelType w:val="hybridMultilevel"/>
    <w:tmpl w:val="FFFFFFFF"/>
    <w:lvl w:ilvl="0" w:tplc="90A20596">
      <w:start w:val="1"/>
      <w:numFmt w:val="lowerLetter"/>
      <w:lvlText w:val="%1)"/>
      <w:lvlJc w:val="left"/>
      <w:pPr>
        <w:ind w:left="720" w:hanging="360"/>
      </w:pPr>
    </w:lvl>
    <w:lvl w:ilvl="1" w:tplc="98F09CB8">
      <w:start w:val="1"/>
      <w:numFmt w:val="lowerLetter"/>
      <w:lvlText w:val="%2."/>
      <w:lvlJc w:val="left"/>
      <w:pPr>
        <w:ind w:left="1440" w:hanging="360"/>
      </w:pPr>
    </w:lvl>
    <w:lvl w:ilvl="2" w:tplc="EF10C6A8">
      <w:start w:val="1"/>
      <w:numFmt w:val="lowerRoman"/>
      <w:lvlText w:val="%3."/>
      <w:lvlJc w:val="right"/>
      <w:pPr>
        <w:ind w:left="2160" w:hanging="180"/>
      </w:pPr>
    </w:lvl>
    <w:lvl w:ilvl="3" w:tplc="C2C22E42">
      <w:start w:val="1"/>
      <w:numFmt w:val="decimal"/>
      <w:lvlText w:val="%4."/>
      <w:lvlJc w:val="left"/>
      <w:pPr>
        <w:ind w:left="2880" w:hanging="360"/>
      </w:pPr>
    </w:lvl>
    <w:lvl w:ilvl="4" w:tplc="0E927524">
      <w:start w:val="1"/>
      <w:numFmt w:val="lowerLetter"/>
      <w:lvlText w:val="%5."/>
      <w:lvlJc w:val="left"/>
      <w:pPr>
        <w:ind w:left="3600" w:hanging="360"/>
      </w:pPr>
    </w:lvl>
    <w:lvl w:ilvl="5" w:tplc="6966EF2C">
      <w:start w:val="1"/>
      <w:numFmt w:val="lowerRoman"/>
      <w:lvlText w:val="%6."/>
      <w:lvlJc w:val="right"/>
      <w:pPr>
        <w:ind w:left="4320" w:hanging="180"/>
      </w:pPr>
    </w:lvl>
    <w:lvl w:ilvl="6" w:tplc="FC304E2C">
      <w:start w:val="1"/>
      <w:numFmt w:val="decimal"/>
      <w:lvlText w:val="%7."/>
      <w:lvlJc w:val="left"/>
      <w:pPr>
        <w:ind w:left="5040" w:hanging="360"/>
      </w:pPr>
    </w:lvl>
    <w:lvl w:ilvl="7" w:tplc="49E66B7C">
      <w:start w:val="1"/>
      <w:numFmt w:val="lowerLetter"/>
      <w:lvlText w:val="%8."/>
      <w:lvlJc w:val="left"/>
      <w:pPr>
        <w:ind w:left="5760" w:hanging="360"/>
      </w:pPr>
    </w:lvl>
    <w:lvl w:ilvl="8" w:tplc="0B5AF7B2">
      <w:start w:val="1"/>
      <w:numFmt w:val="lowerRoman"/>
      <w:lvlText w:val="%9."/>
      <w:lvlJc w:val="right"/>
      <w:pPr>
        <w:ind w:left="6480" w:hanging="180"/>
      </w:pPr>
    </w:lvl>
  </w:abstractNum>
  <w:abstractNum w:abstractNumId="137" w15:restartNumberingAfterBreak="0">
    <w:nsid w:val="31DE9C9A"/>
    <w:multiLevelType w:val="hybridMultilevel"/>
    <w:tmpl w:val="B94E86AE"/>
    <w:lvl w:ilvl="0" w:tplc="3F46DA22">
      <w:start w:val="1"/>
      <w:numFmt w:val="decimal"/>
      <w:lvlText w:val="%1."/>
      <w:lvlJc w:val="left"/>
      <w:pPr>
        <w:ind w:left="720" w:hanging="360"/>
      </w:pPr>
    </w:lvl>
    <w:lvl w:ilvl="1" w:tplc="02D01D0A">
      <w:start w:val="1"/>
      <w:numFmt w:val="lowerLetter"/>
      <w:lvlText w:val="%2."/>
      <w:lvlJc w:val="left"/>
      <w:pPr>
        <w:ind w:left="1440" w:hanging="360"/>
      </w:pPr>
    </w:lvl>
    <w:lvl w:ilvl="2" w:tplc="48460B54">
      <w:start w:val="1"/>
      <w:numFmt w:val="lowerRoman"/>
      <w:lvlText w:val="%3."/>
      <w:lvlJc w:val="right"/>
      <w:pPr>
        <w:ind w:left="2160" w:hanging="180"/>
      </w:pPr>
    </w:lvl>
    <w:lvl w:ilvl="3" w:tplc="067AE308">
      <w:start w:val="1"/>
      <w:numFmt w:val="decimal"/>
      <w:lvlText w:val="%4."/>
      <w:lvlJc w:val="left"/>
      <w:pPr>
        <w:ind w:left="2880" w:hanging="360"/>
      </w:pPr>
    </w:lvl>
    <w:lvl w:ilvl="4" w:tplc="3A00A3AA">
      <w:start w:val="1"/>
      <w:numFmt w:val="lowerLetter"/>
      <w:lvlText w:val="%5."/>
      <w:lvlJc w:val="left"/>
      <w:pPr>
        <w:ind w:left="3600" w:hanging="360"/>
      </w:pPr>
    </w:lvl>
    <w:lvl w:ilvl="5" w:tplc="60E6C388">
      <w:start w:val="1"/>
      <w:numFmt w:val="lowerRoman"/>
      <w:lvlText w:val="%6."/>
      <w:lvlJc w:val="right"/>
      <w:pPr>
        <w:ind w:left="4320" w:hanging="180"/>
      </w:pPr>
    </w:lvl>
    <w:lvl w:ilvl="6" w:tplc="F4FC070E">
      <w:start w:val="1"/>
      <w:numFmt w:val="decimal"/>
      <w:lvlText w:val="%7."/>
      <w:lvlJc w:val="left"/>
      <w:pPr>
        <w:ind w:left="5040" w:hanging="360"/>
      </w:pPr>
    </w:lvl>
    <w:lvl w:ilvl="7" w:tplc="0518C7A4">
      <w:start w:val="1"/>
      <w:numFmt w:val="lowerLetter"/>
      <w:lvlText w:val="%8."/>
      <w:lvlJc w:val="left"/>
      <w:pPr>
        <w:ind w:left="5760" w:hanging="360"/>
      </w:pPr>
    </w:lvl>
    <w:lvl w:ilvl="8" w:tplc="654A265E">
      <w:start w:val="1"/>
      <w:numFmt w:val="lowerRoman"/>
      <w:lvlText w:val="%9."/>
      <w:lvlJc w:val="right"/>
      <w:pPr>
        <w:ind w:left="6480" w:hanging="180"/>
      </w:pPr>
    </w:lvl>
  </w:abstractNum>
  <w:abstractNum w:abstractNumId="138" w15:restartNumberingAfterBreak="0">
    <w:nsid w:val="31F531EA"/>
    <w:multiLevelType w:val="hybridMultilevel"/>
    <w:tmpl w:val="46E40F34"/>
    <w:lvl w:ilvl="0" w:tplc="95427C5C">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9" w15:restartNumberingAfterBreak="0">
    <w:nsid w:val="32364E78"/>
    <w:multiLevelType w:val="hybridMultilevel"/>
    <w:tmpl w:val="FFFFFFFF"/>
    <w:lvl w:ilvl="0" w:tplc="5CCA2748">
      <w:start w:val="1"/>
      <w:numFmt w:val="decimal"/>
      <w:lvlText w:val="%1."/>
      <w:lvlJc w:val="left"/>
      <w:pPr>
        <w:ind w:left="720" w:hanging="360"/>
      </w:pPr>
    </w:lvl>
    <w:lvl w:ilvl="1" w:tplc="5352DF2E">
      <w:start w:val="7"/>
      <w:numFmt w:val="lowerRoman"/>
      <w:lvlText w:val="%2."/>
      <w:lvlJc w:val="right"/>
      <w:pPr>
        <w:ind w:left="1080" w:hanging="360"/>
      </w:pPr>
    </w:lvl>
    <w:lvl w:ilvl="2" w:tplc="9610825C">
      <w:start w:val="1"/>
      <w:numFmt w:val="lowerRoman"/>
      <w:lvlText w:val="%3."/>
      <w:lvlJc w:val="right"/>
      <w:pPr>
        <w:ind w:left="2160" w:hanging="180"/>
      </w:pPr>
    </w:lvl>
    <w:lvl w:ilvl="3" w:tplc="68F61244">
      <w:start w:val="1"/>
      <w:numFmt w:val="decimal"/>
      <w:lvlText w:val="%4."/>
      <w:lvlJc w:val="left"/>
      <w:pPr>
        <w:ind w:left="2880" w:hanging="360"/>
      </w:pPr>
    </w:lvl>
    <w:lvl w:ilvl="4" w:tplc="2B3ACC8C">
      <w:start w:val="1"/>
      <w:numFmt w:val="lowerLetter"/>
      <w:lvlText w:val="%5."/>
      <w:lvlJc w:val="left"/>
      <w:pPr>
        <w:ind w:left="3600" w:hanging="360"/>
      </w:pPr>
    </w:lvl>
    <w:lvl w:ilvl="5" w:tplc="B94294F2">
      <w:start w:val="1"/>
      <w:numFmt w:val="lowerRoman"/>
      <w:lvlText w:val="%6."/>
      <w:lvlJc w:val="right"/>
      <w:pPr>
        <w:ind w:left="4320" w:hanging="180"/>
      </w:pPr>
    </w:lvl>
    <w:lvl w:ilvl="6" w:tplc="AAE0C9C0">
      <w:start w:val="1"/>
      <w:numFmt w:val="decimal"/>
      <w:lvlText w:val="%7."/>
      <w:lvlJc w:val="left"/>
      <w:pPr>
        <w:ind w:left="5040" w:hanging="360"/>
      </w:pPr>
    </w:lvl>
    <w:lvl w:ilvl="7" w:tplc="4F586C32">
      <w:start w:val="1"/>
      <w:numFmt w:val="lowerLetter"/>
      <w:lvlText w:val="%8."/>
      <w:lvlJc w:val="left"/>
      <w:pPr>
        <w:ind w:left="5760" w:hanging="360"/>
      </w:pPr>
    </w:lvl>
    <w:lvl w:ilvl="8" w:tplc="5374E8C4">
      <w:start w:val="1"/>
      <w:numFmt w:val="lowerRoman"/>
      <w:lvlText w:val="%9."/>
      <w:lvlJc w:val="right"/>
      <w:pPr>
        <w:ind w:left="6480" w:hanging="180"/>
      </w:pPr>
    </w:lvl>
  </w:abstractNum>
  <w:abstractNum w:abstractNumId="140" w15:restartNumberingAfterBreak="0">
    <w:nsid w:val="32905771"/>
    <w:multiLevelType w:val="hybridMultilevel"/>
    <w:tmpl w:val="FFFFFFFF"/>
    <w:lvl w:ilvl="0" w:tplc="802470DC">
      <w:start w:val="1"/>
      <w:numFmt w:val="bullet"/>
      <w:lvlText w:val=""/>
      <w:lvlJc w:val="left"/>
      <w:pPr>
        <w:ind w:left="720" w:hanging="360"/>
      </w:pPr>
      <w:rPr>
        <w:rFonts w:ascii="Symbol" w:hAnsi="Symbol" w:hint="default"/>
      </w:rPr>
    </w:lvl>
    <w:lvl w:ilvl="1" w:tplc="3912F008">
      <w:start w:val="1"/>
      <w:numFmt w:val="bullet"/>
      <w:lvlText w:val="o"/>
      <w:lvlJc w:val="left"/>
      <w:pPr>
        <w:ind w:left="1440" w:hanging="360"/>
      </w:pPr>
      <w:rPr>
        <w:rFonts w:ascii="&quot;Courier New&quot;" w:hAnsi="&quot;Courier New&quot;" w:hint="default"/>
      </w:rPr>
    </w:lvl>
    <w:lvl w:ilvl="2" w:tplc="F0129022">
      <w:start w:val="1"/>
      <w:numFmt w:val="bullet"/>
      <w:lvlText w:val=""/>
      <w:lvlJc w:val="left"/>
      <w:pPr>
        <w:ind w:left="2160" w:hanging="360"/>
      </w:pPr>
      <w:rPr>
        <w:rFonts w:ascii="Wingdings" w:hAnsi="Wingdings" w:hint="default"/>
      </w:rPr>
    </w:lvl>
    <w:lvl w:ilvl="3" w:tplc="02CC95F6">
      <w:start w:val="1"/>
      <w:numFmt w:val="bullet"/>
      <w:lvlText w:val=""/>
      <w:lvlJc w:val="left"/>
      <w:pPr>
        <w:ind w:left="2880" w:hanging="360"/>
      </w:pPr>
      <w:rPr>
        <w:rFonts w:ascii="Symbol" w:hAnsi="Symbol" w:hint="default"/>
      </w:rPr>
    </w:lvl>
    <w:lvl w:ilvl="4" w:tplc="80023A3E">
      <w:start w:val="1"/>
      <w:numFmt w:val="bullet"/>
      <w:lvlText w:val="o"/>
      <w:lvlJc w:val="left"/>
      <w:pPr>
        <w:ind w:left="3600" w:hanging="360"/>
      </w:pPr>
      <w:rPr>
        <w:rFonts w:ascii="Courier New" w:hAnsi="Courier New" w:hint="default"/>
      </w:rPr>
    </w:lvl>
    <w:lvl w:ilvl="5" w:tplc="E048B706">
      <w:start w:val="1"/>
      <w:numFmt w:val="bullet"/>
      <w:lvlText w:val=""/>
      <w:lvlJc w:val="left"/>
      <w:pPr>
        <w:ind w:left="4320" w:hanging="360"/>
      </w:pPr>
      <w:rPr>
        <w:rFonts w:ascii="Wingdings" w:hAnsi="Wingdings" w:hint="default"/>
      </w:rPr>
    </w:lvl>
    <w:lvl w:ilvl="6" w:tplc="154A0AB8">
      <w:start w:val="1"/>
      <w:numFmt w:val="bullet"/>
      <w:lvlText w:val=""/>
      <w:lvlJc w:val="left"/>
      <w:pPr>
        <w:ind w:left="5040" w:hanging="360"/>
      </w:pPr>
      <w:rPr>
        <w:rFonts w:ascii="Symbol" w:hAnsi="Symbol" w:hint="default"/>
      </w:rPr>
    </w:lvl>
    <w:lvl w:ilvl="7" w:tplc="88B4FFA2">
      <w:start w:val="1"/>
      <w:numFmt w:val="bullet"/>
      <w:lvlText w:val="o"/>
      <w:lvlJc w:val="left"/>
      <w:pPr>
        <w:ind w:left="5760" w:hanging="360"/>
      </w:pPr>
      <w:rPr>
        <w:rFonts w:ascii="Courier New" w:hAnsi="Courier New" w:hint="default"/>
      </w:rPr>
    </w:lvl>
    <w:lvl w:ilvl="8" w:tplc="A2AAFF36">
      <w:start w:val="1"/>
      <w:numFmt w:val="bullet"/>
      <w:lvlText w:val=""/>
      <w:lvlJc w:val="left"/>
      <w:pPr>
        <w:ind w:left="6480" w:hanging="360"/>
      </w:pPr>
      <w:rPr>
        <w:rFonts w:ascii="Wingdings" w:hAnsi="Wingdings" w:hint="default"/>
      </w:rPr>
    </w:lvl>
  </w:abstractNum>
  <w:abstractNum w:abstractNumId="141" w15:restartNumberingAfterBreak="0">
    <w:nsid w:val="32BF1771"/>
    <w:multiLevelType w:val="hybridMultilevel"/>
    <w:tmpl w:val="40800248"/>
    <w:lvl w:ilvl="0" w:tplc="043A7158">
      <w:start w:val="2"/>
      <w:numFmt w:val="decimal"/>
      <w:lvlText w:val="%1."/>
      <w:lvlJc w:val="left"/>
      <w:pPr>
        <w:ind w:left="720" w:hanging="360"/>
      </w:pPr>
    </w:lvl>
    <w:lvl w:ilvl="1" w:tplc="ADC877F0">
      <w:start w:val="1"/>
      <w:numFmt w:val="lowerLetter"/>
      <w:lvlText w:val="%2."/>
      <w:lvlJc w:val="left"/>
      <w:pPr>
        <w:ind w:left="1440" w:hanging="360"/>
      </w:pPr>
    </w:lvl>
    <w:lvl w:ilvl="2" w:tplc="94F4E436">
      <w:start w:val="1"/>
      <w:numFmt w:val="lowerRoman"/>
      <w:lvlText w:val="%3."/>
      <w:lvlJc w:val="right"/>
      <w:pPr>
        <w:ind w:left="2160" w:hanging="180"/>
      </w:pPr>
    </w:lvl>
    <w:lvl w:ilvl="3" w:tplc="8820BD04">
      <w:start w:val="1"/>
      <w:numFmt w:val="decimal"/>
      <w:lvlText w:val="%4."/>
      <w:lvlJc w:val="left"/>
      <w:pPr>
        <w:ind w:left="2880" w:hanging="360"/>
      </w:pPr>
    </w:lvl>
    <w:lvl w:ilvl="4" w:tplc="E36685DC">
      <w:start w:val="1"/>
      <w:numFmt w:val="lowerLetter"/>
      <w:lvlText w:val="%5."/>
      <w:lvlJc w:val="left"/>
      <w:pPr>
        <w:ind w:left="3600" w:hanging="360"/>
      </w:pPr>
    </w:lvl>
    <w:lvl w:ilvl="5" w:tplc="BBDEDF9E">
      <w:start w:val="1"/>
      <w:numFmt w:val="lowerRoman"/>
      <w:lvlText w:val="%6."/>
      <w:lvlJc w:val="right"/>
      <w:pPr>
        <w:ind w:left="4320" w:hanging="180"/>
      </w:pPr>
    </w:lvl>
    <w:lvl w:ilvl="6" w:tplc="65D4FB4C">
      <w:start w:val="1"/>
      <w:numFmt w:val="decimal"/>
      <w:lvlText w:val="%7."/>
      <w:lvlJc w:val="left"/>
      <w:pPr>
        <w:ind w:left="5040" w:hanging="360"/>
      </w:pPr>
    </w:lvl>
    <w:lvl w:ilvl="7" w:tplc="1A0CB368">
      <w:start w:val="1"/>
      <w:numFmt w:val="lowerLetter"/>
      <w:lvlText w:val="%8."/>
      <w:lvlJc w:val="left"/>
      <w:pPr>
        <w:ind w:left="5760" w:hanging="360"/>
      </w:pPr>
    </w:lvl>
    <w:lvl w:ilvl="8" w:tplc="44D07228">
      <w:start w:val="1"/>
      <w:numFmt w:val="lowerRoman"/>
      <w:lvlText w:val="%9."/>
      <w:lvlJc w:val="right"/>
      <w:pPr>
        <w:ind w:left="6480" w:hanging="180"/>
      </w:pPr>
    </w:lvl>
  </w:abstractNum>
  <w:abstractNum w:abstractNumId="142" w15:restartNumberingAfterBreak="0">
    <w:nsid w:val="32CCE208"/>
    <w:multiLevelType w:val="hybridMultilevel"/>
    <w:tmpl w:val="FFFFFFFF"/>
    <w:lvl w:ilvl="0" w:tplc="CB48FF56">
      <w:start w:val="1"/>
      <w:numFmt w:val="lowerLetter"/>
      <w:lvlText w:val="%1."/>
      <w:lvlJc w:val="left"/>
      <w:pPr>
        <w:ind w:left="720" w:hanging="360"/>
      </w:pPr>
    </w:lvl>
    <w:lvl w:ilvl="1" w:tplc="2FFC34C2">
      <w:start w:val="1"/>
      <w:numFmt w:val="lowerLetter"/>
      <w:lvlText w:val="%2."/>
      <w:lvlJc w:val="left"/>
      <w:pPr>
        <w:ind w:left="1440" w:hanging="360"/>
      </w:pPr>
    </w:lvl>
    <w:lvl w:ilvl="2" w:tplc="6846B5D4">
      <w:start w:val="1"/>
      <w:numFmt w:val="lowerRoman"/>
      <w:lvlText w:val="%3."/>
      <w:lvlJc w:val="right"/>
      <w:pPr>
        <w:ind w:left="2160" w:hanging="180"/>
      </w:pPr>
    </w:lvl>
    <w:lvl w:ilvl="3" w:tplc="23640916">
      <w:start w:val="1"/>
      <w:numFmt w:val="decimal"/>
      <w:lvlText w:val="%4."/>
      <w:lvlJc w:val="left"/>
      <w:pPr>
        <w:ind w:left="2880" w:hanging="360"/>
      </w:pPr>
    </w:lvl>
    <w:lvl w:ilvl="4" w:tplc="CE46D3CE">
      <w:start w:val="1"/>
      <w:numFmt w:val="lowerLetter"/>
      <w:lvlText w:val="%5."/>
      <w:lvlJc w:val="left"/>
      <w:pPr>
        <w:ind w:left="3600" w:hanging="360"/>
      </w:pPr>
    </w:lvl>
    <w:lvl w:ilvl="5" w:tplc="38C674E0">
      <w:start w:val="1"/>
      <w:numFmt w:val="lowerRoman"/>
      <w:lvlText w:val="%6."/>
      <w:lvlJc w:val="right"/>
      <w:pPr>
        <w:ind w:left="4320" w:hanging="180"/>
      </w:pPr>
    </w:lvl>
    <w:lvl w:ilvl="6" w:tplc="4A367F1E">
      <w:start w:val="1"/>
      <w:numFmt w:val="decimal"/>
      <w:lvlText w:val="%7."/>
      <w:lvlJc w:val="left"/>
      <w:pPr>
        <w:ind w:left="5040" w:hanging="360"/>
      </w:pPr>
    </w:lvl>
    <w:lvl w:ilvl="7" w:tplc="1408D136">
      <w:start w:val="1"/>
      <w:numFmt w:val="lowerLetter"/>
      <w:lvlText w:val="%8."/>
      <w:lvlJc w:val="left"/>
      <w:pPr>
        <w:ind w:left="5760" w:hanging="360"/>
      </w:pPr>
    </w:lvl>
    <w:lvl w:ilvl="8" w:tplc="A43AD94C">
      <w:start w:val="1"/>
      <w:numFmt w:val="lowerRoman"/>
      <w:lvlText w:val="%9."/>
      <w:lvlJc w:val="right"/>
      <w:pPr>
        <w:ind w:left="6480" w:hanging="180"/>
      </w:pPr>
    </w:lvl>
  </w:abstractNum>
  <w:abstractNum w:abstractNumId="143" w15:restartNumberingAfterBreak="0">
    <w:nsid w:val="32F7DD53"/>
    <w:multiLevelType w:val="hybridMultilevel"/>
    <w:tmpl w:val="FFFFFFFF"/>
    <w:lvl w:ilvl="0" w:tplc="FEE66778">
      <w:start w:val="1"/>
      <w:numFmt w:val="bullet"/>
      <w:lvlText w:val=""/>
      <w:lvlJc w:val="left"/>
      <w:pPr>
        <w:ind w:left="720" w:hanging="360"/>
      </w:pPr>
      <w:rPr>
        <w:rFonts w:ascii="Symbol" w:hAnsi="Symbol" w:hint="default"/>
      </w:rPr>
    </w:lvl>
    <w:lvl w:ilvl="1" w:tplc="E66A0A5A">
      <w:start w:val="1"/>
      <w:numFmt w:val="bullet"/>
      <w:lvlText w:val="o"/>
      <w:lvlJc w:val="left"/>
      <w:pPr>
        <w:ind w:left="1440" w:hanging="360"/>
      </w:pPr>
      <w:rPr>
        <w:rFonts w:ascii="Courier New" w:hAnsi="Courier New" w:hint="default"/>
      </w:rPr>
    </w:lvl>
    <w:lvl w:ilvl="2" w:tplc="98184F1C">
      <w:start w:val="1"/>
      <w:numFmt w:val="bullet"/>
      <w:lvlText w:val=""/>
      <w:lvlJc w:val="left"/>
      <w:pPr>
        <w:ind w:left="2160" w:hanging="360"/>
      </w:pPr>
      <w:rPr>
        <w:rFonts w:ascii="Wingdings" w:hAnsi="Wingdings" w:hint="default"/>
      </w:rPr>
    </w:lvl>
    <w:lvl w:ilvl="3" w:tplc="55CE3246">
      <w:start w:val="1"/>
      <w:numFmt w:val="bullet"/>
      <w:lvlText w:val=""/>
      <w:lvlJc w:val="left"/>
      <w:pPr>
        <w:ind w:left="2880" w:hanging="360"/>
      </w:pPr>
      <w:rPr>
        <w:rFonts w:ascii="Symbol" w:hAnsi="Symbol" w:hint="default"/>
      </w:rPr>
    </w:lvl>
    <w:lvl w:ilvl="4" w:tplc="F8461A1E">
      <w:start w:val="1"/>
      <w:numFmt w:val="bullet"/>
      <w:lvlText w:val="o"/>
      <w:lvlJc w:val="left"/>
      <w:pPr>
        <w:ind w:left="3600" w:hanging="360"/>
      </w:pPr>
      <w:rPr>
        <w:rFonts w:ascii="Courier New" w:hAnsi="Courier New" w:hint="default"/>
      </w:rPr>
    </w:lvl>
    <w:lvl w:ilvl="5" w:tplc="61882B90">
      <w:start w:val="1"/>
      <w:numFmt w:val="bullet"/>
      <w:lvlText w:val=""/>
      <w:lvlJc w:val="left"/>
      <w:pPr>
        <w:ind w:left="4320" w:hanging="360"/>
      </w:pPr>
      <w:rPr>
        <w:rFonts w:ascii="Wingdings" w:hAnsi="Wingdings" w:hint="default"/>
      </w:rPr>
    </w:lvl>
    <w:lvl w:ilvl="6" w:tplc="B5F04E3A">
      <w:start w:val="1"/>
      <w:numFmt w:val="bullet"/>
      <w:lvlText w:val=""/>
      <w:lvlJc w:val="left"/>
      <w:pPr>
        <w:ind w:left="5040" w:hanging="360"/>
      </w:pPr>
      <w:rPr>
        <w:rFonts w:ascii="Symbol" w:hAnsi="Symbol" w:hint="default"/>
      </w:rPr>
    </w:lvl>
    <w:lvl w:ilvl="7" w:tplc="69B4B56C">
      <w:start w:val="1"/>
      <w:numFmt w:val="bullet"/>
      <w:lvlText w:val="o"/>
      <w:lvlJc w:val="left"/>
      <w:pPr>
        <w:ind w:left="5760" w:hanging="360"/>
      </w:pPr>
      <w:rPr>
        <w:rFonts w:ascii="Courier New" w:hAnsi="Courier New" w:hint="default"/>
      </w:rPr>
    </w:lvl>
    <w:lvl w:ilvl="8" w:tplc="86EC7306">
      <w:start w:val="1"/>
      <w:numFmt w:val="bullet"/>
      <w:lvlText w:val=""/>
      <w:lvlJc w:val="left"/>
      <w:pPr>
        <w:ind w:left="6480" w:hanging="360"/>
      </w:pPr>
      <w:rPr>
        <w:rFonts w:ascii="Wingdings" w:hAnsi="Wingdings" w:hint="default"/>
      </w:rPr>
    </w:lvl>
  </w:abstractNum>
  <w:abstractNum w:abstractNumId="144" w15:restartNumberingAfterBreak="0">
    <w:nsid w:val="330F0E9A"/>
    <w:multiLevelType w:val="hybridMultilevel"/>
    <w:tmpl w:val="0A12C168"/>
    <w:lvl w:ilvl="0" w:tplc="FFFFFFFF">
      <w:start w:val="1"/>
      <w:numFmt w:val="bullet"/>
      <w:lvlText w:val=""/>
      <w:lvlJc w:val="left"/>
      <w:pPr>
        <w:ind w:left="720" w:hanging="360"/>
      </w:pPr>
      <w:rPr>
        <w:rFonts w:ascii="Symbol" w:hAnsi="Symbol" w:hint="default"/>
        <w:b/>
        <w:bCs/>
      </w:rPr>
    </w:lvl>
    <w:lvl w:ilvl="1" w:tplc="49B66352">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333D0D78"/>
    <w:multiLevelType w:val="hybridMultilevel"/>
    <w:tmpl w:val="BDEA41FA"/>
    <w:lvl w:ilvl="0" w:tplc="749E635C">
      <w:start w:val="1"/>
      <w:numFmt w:val="bullet"/>
      <w:lvlText w:val="-"/>
      <w:lvlJc w:val="left"/>
      <w:pPr>
        <w:ind w:left="720" w:hanging="360"/>
      </w:pPr>
      <w:rPr>
        <w:rFonts w:ascii="Calibri" w:hAnsi="Calibri" w:hint="default"/>
      </w:rPr>
    </w:lvl>
    <w:lvl w:ilvl="1" w:tplc="38440264">
      <w:start w:val="1"/>
      <w:numFmt w:val="bullet"/>
      <w:lvlText w:val="o"/>
      <w:lvlJc w:val="left"/>
      <w:pPr>
        <w:ind w:left="1440" w:hanging="360"/>
      </w:pPr>
      <w:rPr>
        <w:rFonts w:ascii="Courier New" w:hAnsi="Courier New" w:hint="default"/>
      </w:rPr>
    </w:lvl>
    <w:lvl w:ilvl="2" w:tplc="103E9B2A">
      <w:start w:val="1"/>
      <w:numFmt w:val="bullet"/>
      <w:lvlText w:val=""/>
      <w:lvlJc w:val="left"/>
      <w:pPr>
        <w:ind w:left="2160" w:hanging="360"/>
      </w:pPr>
      <w:rPr>
        <w:rFonts w:ascii="Wingdings" w:hAnsi="Wingdings" w:hint="default"/>
      </w:rPr>
    </w:lvl>
    <w:lvl w:ilvl="3" w:tplc="37CE650A">
      <w:start w:val="1"/>
      <w:numFmt w:val="bullet"/>
      <w:lvlText w:val=""/>
      <w:lvlJc w:val="left"/>
      <w:pPr>
        <w:ind w:left="2880" w:hanging="360"/>
      </w:pPr>
      <w:rPr>
        <w:rFonts w:ascii="Symbol" w:hAnsi="Symbol" w:hint="default"/>
      </w:rPr>
    </w:lvl>
    <w:lvl w:ilvl="4" w:tplc="C53ACC30">
      <w:start w:val="1"/>
      <w:numFmt w:val="bullet"/>
      <w:lvlText w:val="o"/>
      <w:lvlJc w:val="left"/>
      <w:pPr>
        <w:ind w:left="3600" w:hanging="360"/>
      </w:pPr>
      <w:rPr>
        <w:rFonts w:ascii="Courier New" w:hAnsi="Courier New" w:hint="default"/>
      </w:rPr>
    </w:lvl>
    <w:lvl w:ilvl="5" w:tplc="C1A20C0E">
      <w:start w:val="1"/>
      <w:numFmt w:val="bullet"/>
      <w:lvlText w:val=""/>
      <w:lvlJc w:val="left"/>
      <w:pPr>
        <w:ind w:left="4320" w:hanging="360"/>
      </w:pPr>
      <w:rPr>
        <w:rFonts w:ascii="Wingdings" w:hAnsi="Wingdings" w:hint="default"/>
      </w:rPr>
    </w:lvl>
    <w:lvl w:ilvl="6" w:tplc="D81438B6">
      <w:start w:val="1"/>
      <w:numFmt w:val="bullet"/>
      <w:lvlText w:val=""/>
      <w:lvlJc w:val="left"/>
      <w:pPr>
        <w:ind w:left="5040" w:hanging="360"/>
      </w:pPr>
      <w:rPr>
        <w:rFonts w:ascii="Symbol" w:hAnsi="Symbol" w:hint="default"/>
      </w:rPr>
    </w:lvl>
    <w:lvl w:ilvl="7" w:tplc="F39AEB90">
      <w:start w:val="1"/>
      <w:numFmt w:val="bullet"/>
      <w:lvlText w:val="o"/>
      <w:lvlJc w:val="left"/>
      <w:pPr>
        <w:ind w:left="5760" w:hanging="360"/>
      </w:pPr>
      <w:rPr>
        <w:rFonts w:ascii="Courier New" w:hAnsi="Courier New" w:hint="default"/>
      </w:rPr>
    </w:lvl>
    <w:lvl w:ilvl="8" w:tplc="8992115A">
      <w:start w:val="1"/>
      <w:numFmt w:val="bullet"/>
      <w:lvlText w:val=""/>
      <w:lvlJc w:val="left"/>
      <w:pPr>
        <w:ind w:left="6480" w:hanging="360"/>
      </w:pPr>
      <w:rPr>
        <w:rFonts w:ascii="Wingdings" w:hAnsi="Wingdings" w:hint="default"/>
      </w:rPr>
    </w:lvl>
  </w:abstractNum>
  <w:abstractNum w:abstractNumId="146" w15:restartNumberingAfterBreak="0">
    <w:nsid w:val="3343A7FE"/>
    <w:multiLevelType w:val="hybridMultilevel"/>
    <w:tmpl w:val="FFFFFFFF"/>
    <w:lvl w:ilvl="0" w:tplc="4F34F90A">
      <w:start w:val="3"/>
      <w:numFmt w:val="lowerRoman"/>
      <w:lvlText w:val="%1."/>
      <w:lvlJc w:val="right"/>
      <w:pPr>
        <w:ind w:left="1080" w:hanging="360"/>
      </w:pPr>
    </w:lvl>
    <w:lvl w:ilvl="1" w:tplc="B0C4E548">
      <w:start w:val="1"/>
      <w:numFmt w:val="lowerLetter"/>
      <w:lvlText w:val="%2."/>
      <w:lvlJc w:val="left"/>
      <w:pPr>
        <w:ind w:left="1440" w:hanging="360"/>
      </w:pPr>
    </w:lvl>
    <w:lvl w:ilvl="2" w:tplc="7696C45A">
      <w:start w:val="1"/>
      <w:numFmt w:val="lowerRoman"/>
      <w:lvlText w:val="%3."/>
      <w:lvlJc w:val="right"/>
      <w:pPr>
        <w:ind w:left="2160" w:hanging="180"/>
      </w:pPr>
    </w:lvl>
    <w:lvl w:ilvl="3" w:tplc="3718DBAC">
      <w:start w:val="1"/>
      <w:numFmt w:val="decimal"/>
      <w:lvlText w:val="%4."/>
      <w:lvlJc w:val="left"/>
      <w:pPr>
        <w:ind w:left="2880" w:hanging="360"/>
      </w:pPr>
    </w:lvl>
    <w:lvl w:ilvl="4" w:tplc="DC9E4D5C">
      <w:start w:val="1"/>
      <w:numFmt w:val="lowerLetter"/>
      <w:lvlText w:val="%5."/>
      <w:lvlJc w:val="left"/>
      <w:pPr>
        <w:ind w:left="3600" w:hanging="360"/>
      </w:pPr>
    </w:lvl>
    <w:lvl w:ilvl="5" w:tplc="4F7467DC">
      <w:start w:val="1"/>
      <w:numFmt w:val="lowerRoman"/>
      <w:lvlText w:val="%6."/>
      <w:lvlJc w:val="right"/>
      <w:pPr>
        <w:ind w:left="4320" w:hanging="180"/>
      </w:pPr>
    </w:lvl>
    <w:lvl w:ilvl="6" w:tplc="D7DCBC5A">
      <w:start w:val="1"/>
      <w:numFmt w:val="decimal"/>
      <w:lvlText w:val="%7."/>
      <w:lvlJc w:val="left"/>
      <w:pPr>
        <w:ind w:left="5040" w:hanging="360"/>
      </w:pPr>
    </w:lvl>
    <w:lvl w:ilvl="7" w:tplc="78A01CF2">
      <w:start w:val="1"/>
      <w:numFmt w:val="lowerLetter"/>
      <w:lvlText w:val="%8."/>
      <w:lvlJc w:val="left"/>
      <w:pPr>
        <w:ind w:left="5760" w:hanging="360"/>
      </w:pPr>
    </w:lvl>
    <w:lvl w:ilvl="8" w:tplc="F57E7948">
      <w:start w:val="1"/>
      <w:numFmt w:val="lowerRoman"/>
      <w:lvlText w:val="%9."/>
      <w:lvlJc w:val="right"/>
      <w:pPr>
        <w:ind w:left="6480" w:hanging="180"/>
      </w:pPr>
    </w:lvl>
  </w:abstractNum>
  <w:abstractNum w:abstractNumId="147" w15:restartNumberingAfterBreak="0">
    <w:nsid w:val="33C5D403"/>
    <w:multiLevelType w:val="hybridMultilevel"/>
    <w:tmpl w:val="FFFFFFFF"/>
    <w:lvl w:ilvl="0" w:tplc="9B36E342">
      <w:start w:val="1"/>
      <w:numFmt w:val="decimal"/>
      <w:lvlText w:val="%1."/>
      <w:lvlJc w:val="left"/>
      <w:pPr>
        <w:ind w:left="720" w:hanging="360"/>
      </w:pPr>
    </w:lvl>
    <w:lvl w:ilvl="1" w:tplc="1400AC6C">
      <w:start w:val="3"/>
      <w:numFmt w:val="lowerRoman"/>
      <w:lvlText w:val="%2."/>
      <w:lvlJc w:val="right"/>
      <w:pPr>
        <w:ind w:left="1440" w:hanging="360"/>
      </w:pPr>
    </w:lvl>
    <w:lvl w:ilvl="2" w:tplc="249CCE56">
      <w:start w:val="1"/>
      <w:numFmt w:val="lowerRoman"/>
      <w:lvlText w:val="%3."/>
      <w:lvlJc w:val="right"/>
      <w:pPr>
        <w:ind w:left="2160" w:hanging="180"/>
      </w:pPr>
    </w:lvl>
    <w:lvl w:ilvl="3" w:tplc="5A248528">
      <w:start w:val="1"/>
      <w:numFmt w:val="decimal"/>
      <w:lvlText w:val="%4."/>
      <w:lvlJc w:val="left"/>
      <w:pPr>
        <w:ind w:left="2880" w:hanging="360"/>
      </w:pPr>
    </w:lvl>
    <w:lvl w:ilvl="4" w:tplc="C89226C0">
      <w:start w:val="1"/>
      <w:numFmt w:val="lowerLetter"/>
      <w:lvlText w:val="%5."/>
      <w:lvlJc w:val="left"/>
      <w:pPr>
        <w:ind w:left="3600" w:hanging="360"/>
      </w:pPr>
    </w:lvl>
    <w:lvl w:ilvl="5" w:tplc="F648BB58">
      <w:start w:val="1"/>
      <w:numFmt w:val="lowerRoman"/>
      <w:lvlText w:val="%6."/>
      <w:lvlJc w:val="right"/>
      <w:pPr>
        <w:ind w:left="4320" w:hanging="180"/>
      </w:pPr>
    </w:lvl>
    <w:lvl w:ilvl="6" w:tplc="ADF049C8">
      <w:start w:val="1"/>
      <w:numFmt w:val="decimal"/>
      <w:lvlText w:val="%7."/>
      <w:lvlJc w:val="left"/>
      <w:pPr>
        <w:ind w:left="5040" w:hanging="360"/>
      </w:pPr>
    </w:lvl>
    <w:lvl w:ilvl="7" w:tplc="F8A0D376">
      <w:start w:val="1"/>
      <w:numFmt w:val="lowerLetter"/>
      <w:lvlText w:val="%8."/>
      <w:lvlJc w:val="left"/>
      <w:pPr>
        <w:ind w:left="5760" w:hanging="360"/>
      </w:pPr>
    </w:lvl>
    <w:lvl w:ilvl="8" w:tplc="0554C948">
      <w:start w:val="1"/>
      <w:numFmt w:val="lowerRoman"/>
      <w:lvlText w:val="%9."/>
      <w:lvlJc w:val="right"/>
      <w:pPr>
        <w:ind w:left="6480" w:hanging="180"/>
      </w:pPr>
    </w:lvl>
  </w:abstractNum>
  <w:abstractNum w:abstractNumId="148" w15:restartNumberingAfterBreak="0">
    <w:nsid w:val="3489EA19"/>
    <w:multiLevelType w:val="hybridMultilevel"/>
    <w:tmpl w:val="C58C3910"/>
    <w:lvl w:ilvl="0" w:tplc="2BB4189A">
      <w:start w:val="1"/>
      <w:numFmt w:val="lowerLetter"/>
      <w:lvlText w:val="%1)"/>
      <w:lvlJc w:val="left"/>
      <w:pPr>
        <w:ind w:left="720" w:hanging="360"/>
      </w:pPr>
    </w:lvl>
    <w:lvl w:ilvl="1" w:tplc="18090001">
      <w:start w:val="1"/>
      <w:numFmt w:val="bullet"/>
      <w:lvlText w:val=""/>
      <w:lvlJc w:val="left"/>
      <w:pPr>
        <w:ind w:left="771" w:hanging="360"/>
      </w:pPr>
      <w:rPr>
        <w:rFonts w:ascii="Symbol" w:hAnsi="Symbol" w:hint="default"/>
      </w:rPr>
    </w:lvl>
    <w:lvl w:ilvl="2" w:tplc="18090003">
      <w:start w:val="1"/>
      <w:numFmt w:val="bullet"/>
      <w:lvlText w:val="o"/>
      <w:lvlJc w:val="left"/>
      <w:pPr>
        <w:ind w:left="1440" w:hanging="360"/>
      </w:pPr>
      <w:rPr>
        <w:rFonts w:ascii="Courier New" w:hAnsi="Courier New" w:cs="Courier New" w:hint="default"/>
      </w:rPr>
    </w:lvl>
    <w:lvl w:ilvl="3" w:tplc="AD949AAE">
      <w:start w:val="1"/>
      <w:numFmt w:val="decimal"/>
      <w:lvlText w:val="%4."/>
      <w:lvlJc w:val="left"/>
      <w:pPr>
        <w:ind w:left="2880" w:hanging="360"/>
      </w:pPr>
    </w:lvl>
    <w:lvl w:ilvl="4" w:tplc="827C65CE">
      <w:start w:val="1"/>
      <w:numFmt w:val="lowerLetter"/>
      <w:lvlText w:val="%5."/>
      <w:lvlJc w:val="left"/>
      <w:pPr>
        <w:ind w:left="3600" w:hanging="360"/>
      </w:pPr>
    </w:lvl>
    <w:lvl w:ilvl="5" w:tplc="258A6470">
      <w:start w:val="1"/>
      <w:numFmt w:val="lowerRoman"/>
      <w:lvlText w:val="%6."/>
      <w:lvlJc w:val="right"/>
      <w:pPr>
        <w:ind w:left="4320" w:hanging="180"/>
      </w:pPr>
    </w:lvl>
    <w:lvl w:ilvl="6" w:tplc="83F854C2">
      <w:start w:val="1"/>
      <w:numFmt w:val="decimal"/>
      <w:lvlText w:val="%7."/>
      <w:lvlJc w:val="left"/>
      <w:pPr>
        <w:ind w:left="5040" w:hanging="360"/>
      </w:pPr>
    </w:lvl>
    <w:lvl w:ilvl="7" w:tplc="F25C5C0E">
      <w:start w:val="1"/>
      <w:numFmt w:val="lowerLetter"/>
      <w:lvlText w:val="%8."/>
      <w:lvlJc w:val="left"/>
      <w:pPr>
        <w:ind w:left="5760" w:hanging="360"/>
      </w:pPr>
    </w:lvl>
    <w:lvl w:ilvl="8" w:tplc="07C0C42E">
      <w:start w:val="1"/>
      <w:numFmt w:val="lowerRoman"/>
      <w:lvlText w:val="%9."/>
      <w:lvlJc w:val="right"/>
      <w:pPr>
        <w:ind w:left="6480" w:hanging="180"/>
      </w:pPr>
    </w:lvl>
  </w:abstractNum>
  <w:abstractNum w:abstractNumId="149" w15:restartNumberingAfterBreak="0">
    <w:nsid w:val="34A41253"/>
    <w:multiLevelType w:val="hybridMultilevel"/>
    <w:tmpl w:val="FFFFFFFF"/>
    <w:lvl w:ilvl="0" w:tplc="1B6C79EE">
      <w:start w:val="4"/>
      <w:numFmt w:val="decimal"/>
      <w:lvlText w:val="%1."/>
      <w:lvlJc w:val="left"/>
      <w:pPr>
        <w:ind w:left="720" w:hanging="360"/>
      </w:pPr>
    </w:lvl>
    <w:lvl w:ilvl="1" w:tplc="361E84D2">
      <w:start w:val="1"/>
      <w:numFmt w:val="lowerLetter"/>
      <w:lvlText w:val="%2."/>
      <w:lvlJc w:val="left"/>
      <w:pPr>
        <w:ind w:left="1440" w:hanging="360"/>
      </w:pPr>
    </w:lvl>
    <w:lvl w:ilvl="2" w:tplc="0F047248">
      <w:start w:val="1"/>
      <w:numFmt w:val="lowerRoman"/>
      <w:lvlText w:val="%3."/>
      <w:lvlJc w:val="right"/>
      <w:pPr>
        <w:ind w:left="2160" w:hanging="180"/>
      </w:pPr>
    </w:lvl>
    <w:lvl w:ilvl="3" w:tplc="9478639E">
      <w:start w:val="1"/>
      <w:numFmt w:val="decimal"/>
      <w:lvlText w:val="%4."/>
      <w:lvlJc w:val="left"/>
      <w:pPr>
        <w:ind w:left="2880" w:hanging="360"/>
      </w:pPr>
    </w:lvl>
    <w:lvl w:ilvl="4" w:tplc="07907978">
      <w:start w:val="1"/>
      <w:numFmt w:val="lowerLetter"/>
      <w:lvlText w:val="%5."/>
      <w:lvlJc w:val="left"/>
      <w:pPr>
        <w:ind w:left="3600" w:hanging="360"/>
      </w:pPr>
    </w:lvl>
    <w:lvl w:ilvl="5" w:tplc="743C935C">
      <w:start w:val="1"/>
      <w:numFmt w:val="lowerRoman"/>
      <w:lvlText w:val="%6."/>
      <w:lvlJc w:val="right"/>
      <w:pPr>
        <w:ind w:left="4320" w:hanging="180"/>
      </w:pPr>
    </w:lvl>
    <w:lvl w:ilvl="6" w:tplc="C814298A">
      <w:start w:val="1"/>
      <w:numFmt w:val="decimal"/>
      <w:lvlText w:val="%7."/>
      <w:lvlJc w:val="left"/>
      <w:pPr>
        <w:ind w:left="5040" w:hanging="360"/>
      </w:pPr>
    </w:lvl>
    <w:lvl w:ilvl="7" w:tplc="FAC4FA88">
      <w:start w:val="1"/>
      <w:numFmt w:val="lowerLetter"/>
      <w:lvlText w:val="%8."/>
      <w:lvlJc w:val="left"/>
      <w:pPr>
        <w:ind w:left="5760" w:hanging="360"/>
      </w:pPr>
    </w:lvl>
    <w:lvl w:ilvl="8" w:tplc="DBDAD2D4">
      <w:start w:val="1"/>
      <w:numFmt w:val="lowerRoman"/>
      <w:lvlText w:val="%9."/>
      <w:lvlJc w:val="right"/>
      <w:pPr>
        <w:ind w:left="6480" w:hanging="180"/>
      </w:pPr>
    </w:lvl>
  </w:abstractNum>
  <w:abstractNum w:abstractNumId="150" w15:restartNumberingAfterBreak="0">
    <w:nsid w:val="35171BCA"/>
    <w:multiLevelType w:val="hybridMultilevel"/>
    <w:tmpl w:val="FFFFFFFF"/>
    <w:lvl w:ilvl="0" w:tplc="30860A0C">
      <w:start w:val="7"/>
      <w:numFmt w:val="lowerRoman"/>
      <w:lvlText w:val="%1."/>
      <w:lvlJc w:val="right"/>
      <w:pPr>
        <w:ind w:left="1080" w:hanging="360"/>
      </w:pPr>
    </w:lvl>
    <w:lvl w:ilvl="1" w:tplc="B99E7D42">
      <w:start w:val="1"/>
      <w:numFmt w:val="lowerLetter"/>
      <w:lvlText w:val="%2."/>
      <w:lvlJc w:val="left"/>
      <w:pPr>
        <w:ind w:left="1440" w:hanging="360"/>
      </w:pPr>
    </w:lvl>
    <w:lvl w:ilvl="2" w:tplc="B12C7DFE">
      <w:start w:val="1"/>
      <w:numFmt w:val="lowerRoman"/>
      <w:lvlText w:val="%3."/>
      <w:lvlJc w:val="right"/>
      <w:pPr>
        <w:ind w:left="2160" w:hanging="180"/>
      </w:pPr>
    </w:lvl>
    <w:lvl w:ilvl="3" w:tplc="FD4606C4">
      <w:start w:val="1"/>
      <w:numFmt w:val="decimal"/>
      <w:lvlText w:val="%4."/>
      <w:lvlJc w:val="left"/>
      <w:pPr>
        <w:ind w:left="2880" w:hanging="360"/>
      </w:pPr>
    </w:lvl>
    <w:lvl w:ilvl="4" w:tplc="C8F4F704">
      <w:start w:val="1"/>
      <w:numFmt w:val="lowerLetter"/>
      <w:lvlText w:val="%5."/>
      <w:lvlJc w:val="left"/>
      <w:pPr>
        <w:ind w:left="3600" w:hanging="360"/>
      </w:pPr>
    </w:lvl>
    <w:lvl w:ilvl="5" w:tplc="E2FA23EE">
      <w:start w:val="1"/>
      <w:numFmt w:val="lowerRoman"/>
      <w:lvlText w:val="%6."/>
      <w:lvlJc w:val="right"/>
      <w:pPr>
        <w:ind w:left="4320" w:hanging="180"/>
      </w:pPr>
    </w:lvl>
    <w:lvl w:ilvl="6" w:tplc="E0E2F9A4">
      <w:start w:val="1"/>
      <w:numFmt w:val="decimal"/>
      <w:lvlText w:val="%7."/>
      <w:lvlJc w:val="left"/>
      <w:pPr>
        <w:ind w:left="5040" w:hanging="360"/>
      </w:pPr>
    </w:lvl>
    <w:lvl w:ilvl="7" w:tplc="A9B29AA6">
      <w:start w:val="1"/>
      <w:numFmt w:val="lowerLetter"/>
      <w:lvlText w:val="%8."/>
      <w:lvlJc w:val="left"/>
      <w:pPr>
        <w:ind w:left="5760" w:hanging="360"/>
      </w:pPr>
    </w:lvl>
    <w:lvl w:ilvl="8" w:tplc="5A168F76">
      <w:start w:val="1"/>
      <w:numFmt w:val="lowerRoman"/>
      <w:lvlText w:val="%9."/>
      <w:lvlJc w:val="right"/>
      <w:pPr>
        <w:ind w:left="6480" w:hanging="180"/>
      </w:pPr>
    </w:lvl>
  </w:abstractNum>
  <w:abstractNum w:abstractNumId="151" w15:restartNumberingAfterBreak="0">
    <w:nsid w:val="35E02C05"/>
    <w:multiLevelType w:val="hybridMultilevel"/>
    <w:tmpl w:val="FFFFFFFF"/>
    <w:lvl w:ilvl="0" w:tplc="CD364824">
      <w:start w:val="1"/>
      <w:numFmt w:val="bullet"/>
      <w:lvlText w:val="-"/>
      <w:lvlJc w:val="left"/>
      <w:pPr>
        <w:ind w:left="720" w:hanging="360"/>
      </w:pPr>
      <w:rPr>
        <w:rFonts w:ascii="Symbol" w:hAnsi="Symbol" w:hint="default"/>
      </w:rPr>
    </w:lvl>
    <w:lvl w:ilvl="1" w:tplc="E0304D8C">
      <w:start w:val="1"/>
      <w:numFmt w:val="bullet"/>
      <w:lvlText w:val="o"/>
      <w:lvlJc w:val="left"/>
      <w:pPr>
        <w:ind w:left="1440" w:hanging="360"/>
      </w:pPr>
      <w:rPr>
        <w:rFonts w:ascii="Courier New" w:hAnsi="Courier New" w:hint="default"/>
      </w:rPr>
    </w:lvl>
    <w:lvl w:ilvl="2" w:tplc="61C8A418">
      <w:start w:val="1"/>
      <w:numFmt w:val="bullet"/>
      <w:lvlText w:val=""/>
      <w:lvlJc w:val="left"/>
      <w:pPr>
        <w:ind w:left="2160" w:hanging="360"/>
      </w:pPr>
      <w:rPr>
        <w:rFonts w:ascii="Wingdings" w:hAnsi="Wingdings" w:hint="default"/>
      </w:rPr>
    </w:lvl>
    <w:lvl w:ilvl="3" w:tplc="DE3EB168">
      <w:start w:val="1"/>
      <w:numFmt w:val="bullet"/>
      <w:lvlText w:val=""/>
      <w:lvlJc w:val="left"/>
      <w:pPr>
        <w:ind w:left="2880" w:hanging="360"/>
      </w:pPr>
      <w:rPr>
        <w:rFonts w:ascii="Symbol" w:hAnsi="Symbol" w:hint="default"/>
      </w:rPr>
    </w:lvl>
    <w:lvl w:ilvl="4" w:tplc="8968FA6A">
      <w:start w:val="1"/>
      <w:numFmt w:val="bullet"/>
      <w:lvlText w:val="o"/>
      <w:lvlJc w:val="left"/>
      <w:pPr>
        <w:ind w:left="3600" w:hanging="360"/>
      </w:pPr>
      <w:rPr>
        <w:rFonts w:ascii="Courier New" w:hAnsi="Courier New" w:hint="default"/>
      </w:rPr>
    </w:lvl>
    <w:lvl w:ilvl="5" w:tplc="6F322E6E">
      <w:start w:val="1"/>
      <w:numFmt w:val="bullet"/>
      <w:lvlText w:val=""/>
      <w:lvlJc w:val="left"/>
      <w:pPr>
        <w:ind w:left="4320" w:hanging="360"/>
      </w:pPr>
      <w:rPr>
        <w:rFonts w:ascii="Wingdings" w:hAnsi="Wingdings" w:hint="default"/>
      </w:rPr>
    </w:lvl>
    <w:lvl w:ilvl="6" w:tplc="97484596">
      <w:start w:val="1"/>
      <w:numFmt w:val="bullet"/>
      <w:lvlText w:val=""/>
      <w:lvlJc w:val="left"/>
      <w:pPr>
        <w:ind w:left="5040" w:hanging="360"/>
      </w:pPr>
      <w:rPr>
        <w:rFonts w:ascii="Symbol" w:hAnsi="Symbol" w:hint="default"/>
      </w:rPr>
    </w:lvl>
    <w:lvl w:ilvl="7" w:tplc="1C22B646">
      <w:start w:val="1"/>
      <w:numFmt w:val="bullet"/>
      <w:lvlText w:val="o"/>
      <w:lvlJc w:val="left"/>
      <w:pPr>
        <w:ind w:left="5760" w:hanging="360"/>
      </w:pPr>
      <w:rPr>
        <w:rFonts w:ascii="Courier New" w:hAnsi="Courier New" w:hint="default"/>
      </w:rPr>
    </w:lvl>
    <w:lvl w:ilvl="8" w:tplc="37BEFFD6">
      <w:start w:val="1"/>
      <w:numFmt w:val="bullet"/>
      <w:lvlText w:val=""/>
      <w:lvlJc w:val="left"/>
      <w:pPr>
        <w:ind w:left="6480" w:hanging="360"/>
      </w:pPr>
      <w:rPr>
        <w:rFonts w:ascii="Wingdings" w:hAnsi="Wingdings" w:hint="default"/>
      </w:rPr>
    </w:lvl>
  </w:abstractNum>
  <w:abstractNum w:abstractNumId="152" w15:restartNumberingAfterBreak="0">
    <w:nsid w:val="35F779E3"/>
    <w:multiLevelType w:val="multilevel"/>
    <w:tmpl w:val="B4F6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73078CE"/>
    <w:multiLevelType w:val="hybridMultilevel"/>
    <w:tmpl w:val="B172DF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4" w15:restartNumberingAfterBreak="0">
    <w:nsid w:val="376316F6"/>
    <w:multiLevelType w:val="hybridMultilevel"/>
    <w:tmpl w:val="FFFFFFFF"/>
    <w:lvl w:ilvl="0" w:tplc="F16EBD64">
      <w:start w:val="5"/>
      <w:numFmt w:val="lowerRoman"/>
      <w:lvlText w:val="%1."/>
      <w:lvlJc w:val="right"/>
      <w:pPr>
        <w:ind w:left="1080" w:hanging="360"/>
      </w:pPr>
    </w:lvl>
    <w:lvl w:ilvl="1" w:tplc="570CFC6E">
      <w:start w:val="1"/>
      <w:numFmt w:val="lowerLetter"/>
      <w:lvlText w:val="%2."/>
      <w:lvlJc w:val="left"/>
      <w:pPr>
        <w:ind w:left="1440" w:hanging="360"/>
      </w:pPr>
    </w:lvl>
    <w:lvl w:ilvl="2" w:tplc="A1FCC680">
      <w:start w:val="1"/>
      <w:numFmt w:val="lowerRoman"/>
      <w:lvlText w:val="%3."/>
      <w:lvlJc w:val="right"/>
      <w:pPr>
        <w:ind w:left="2160" w:hanging="180"/>
      </w:pPr>
    </w:lvl>
    <w:lvl w:ilvl="3" w:tplc="B9243C32">
      <w:start w:val="1"/>
      <w:numFmt w:val="decimal"/>
      <w:lvlText w:val="%4."/>
      <w:lvlJc w:val="left"/>
      <w:pPr>
        <w:ind w:left="2880" w:hanging="360"/>
      </w:pPr>
    </w:lvl>
    <w:lvl w:ilvl="4" w:tplc="AFC81C7C">
      <w:start w:val="1"/>
      <w:numFmt w:val="lowerLetter"/>
      <w:lvlText w:val="%5."/>
      <w:lvlJc w:val="left"/>
      <w:pPr>
        <w:ind w:left="3600" w:hanging="360"/>
      </w:pPr>
    </w:lvl>
    <w:lvl w:ilvl="5" w:tplc="3F842DDE">
      <w:start w:val="1"/>
      <w:numFmt w:val="lowerRoman"/>
      <w:lvlText w:val="%6."/>
      <w:lvlJc w:val="right"/>
      <w:pPr>
        <w:ind w:left="4320" w:hanging="180"/>
      </w:pPr>
    </w:lvl>
    <w:lvl w:ilvl="6" w:tplc="02F498E8">
      <w:start w:val="1"/>
      <w:numFmt w:val="decimal"/>
      <w:lvlText w:val="%7."/>
      <w:lvlJc w:val="left"/>
      <w:pPr>
        <w:ind w:left="5040" w:hanging="360"/>
      </w:pPr>
    </w:lvl>
    <w:lvl w:ilvl="7" w:tplc="7D9AF968">
      <w:start w:val="1"/>
      <w:numFmt w:val="lowerLetter"/>
      <w:lvlText w:val="%8."/>
      <w:lvlJc w:val="left"/>
      <w:pPr>
        <w:ind w:left="5760" w:hanging="360"/>
      </w:pPr>
    </w:lvl>
    <w:lvl w:ilvl="8" w:tplc="A5E843B6">
      <w:start w:val="1"/>
      <w:numFmt w:val="lowerRoman"/>
      <w:lvlText w:val="%9."/>
      <w:lvlJc w:val="right"/>
      <w:pPr>
        <w:ind w:left="6480" w:hanging="180"/>
      </w:pPr>
    </w:lvl>
  </w:abstractNum>
  <w:abstractNum w:abstractNumId="155" w15:restartNumberingAfterBreak="0">
    <w:nsid w:val="376F83E1"/>
    <w:multiLevelType w:val="hybridMultilevel"/>
    <w:tmpl w:val="FFFFFFFF"/>
    <w:lvl w:ilvl="0" w:tplc="94CE06B8">
      <w:start w:val="3"/>
      <w:numFmt w:val="lowerRoman"/>
      <w:lvlText w:val="%1."/>
      <w:lvlJc w:val="right"/>
      <w:pPr>
        <w:ind w:left="1080" w:hanging="360"/>
      </w:pPr>
    </w:lvl>
    <w:lvl w:ilvl="1" w:tplc="28CEF5D0">
      <w:start w:val="1"/>
      <w:numFmt w:val="lowerLetter"/>
      <w:lvlText w:val="%2."/>
      <w:lvlJc w:val="left"/>
      <w:pPr>
        <w:ind w:left="1440" w:hanging="360"/>
      </w:pPr>
    </w:lvl>
    <w:lvl w:ilvl="2" w:tplc="F7365CFC">
      <w:start w:val="1"/>
      <w:numFmt w:val="lowerRoman"/>
      <w:lvlText w:val="%3."/>
      <w:lvlJc w:val="right"/>
      <w:pPr>
        <w:ind w:left="2160" w:hanging="180"/>
      </w:pPr>
    </w:lvl>
    <w:lvl w:ilvl="3" w:tplc="B3B0D844">
      <w:start w:val="1"/>
      <w:numFmt w:val="decimal"/>
      <w:lvlText w:val="%4."/>
      <w:lvlJc w:val="left"/>
      <w:pPr>
        <w:ind w:left="2880" w:hanging="360"/>
      </w:pPr>
    </w:lvl>
    <w:lvl w:ilvl="4" w:tplc="438CE418">
      <w:start w:val="1"/>
      <w:numFmt w:val="lowerLetter"/>
      <w:lvlText w:val="%5."/>
      <w:lvlJc w:val="left"/>
      <w:pPr>
        <w:ind w:left="3600" w:hanging="360"/>
      </w:pPr>
    </w:lvl>
    <w:lvl w:ilvl="5" w:tplc="1C1A6BBC">
      <w:start w:val="1"/>
      <w:numFmt w:val="lowerRoman"/>
      <w:lvlText w:val="%6."/>
      <w:lvlJc w:val="right"/>
      <w:pPr>
        <w:ind w:left="4320" w:hanging="180"/>
      </w:pPr>
    </w:lvl>
    <w:lvl w:ilvl="6" w:tplc="A6D85736">
      <w:start w:val="1"/>
      <w:numFmt w:val="decimal"/>
      <w:lvlText w:val="%7."/>
      <w:lvlJc w:val="left"/>
      <w:pPr>
        <w:ind w:left="5040" w:hanging="360"/>
      </w:pPr>
    </w:lvl>
    <w:lvl w:ilvl="7" w:tplc="140C5BCA">
      <w:start w:val="1"/>
      <w:numFmt w:val="lowerLetter"/>
      <w:lvlText w:val="%8."/>
      <w:lvlJc w:val="left"/>
      <w:pPr>
        <w:ind w:left="5760" w:hanging="360"/>
      </w:pPr>
    </w:lvl>
    <w:lvl w:ilvl="8" w:tplc="E1C8466C">
      <w:start w:val="1"/>
      <w:numFmt w:val="lowerRoman"/>
      <w:lvlText w:val="%9."/>
      <w:lvlJc w:val="right"/>
      <w:pPr>
        <w:ind w:left="6480" w:hanging="180"/>
      </w:pPr>
    </w:lvl>
  </w:abstractNum>
  <w:abstractNum w:abstractNumId="156" w15:restartNumberingAfterBreak="0">
    <w:nsid w:val="37BF6921"/>
    <w:multiLevelType w:val="hybridMultilevel"/>
    <w:tmpl w:val="FFFFFFFF"/>
    <w:lvl w:ilvl="0" w:tplc="3776F2AE">
      <w:start w:val="1"/>
      <w:numFmt w:val="decimal"/>
      <w:lvlText w:val="%1."/>
      <w:lvlJc w:val="left"/>
      <w:pPr>
        <w:ind w:left="720" w:hanging="360"/>
      </w:pPr>
    </w:lvl>
    <w:lvl w:ilvl="1" w:tplc="AA4CC936">
      <w:start w:val="2"/>
      <w:numFmt w:val="lowerRoman"/>
      <w:lvlText w:val="%2."/>
      <w:lvlJc w:val="right"/>
      <w:pPr>
        <w:ind w:left="1440" w:hanging="360"/>
      </w:pPr>
    </w:lvl>
    <w:lvl w:ilvl="2" w:tplc="A852DF18">
      <w:start w:val="1"/>
      <w:numFmt w:val="lowerRoman"/>
      <w:lvlText w:val="%3."/>
      <w:lvlJc w:val="right"/>
      <w:pPr>
        <w:ind w:left="2160" w:hanging="180"/>
      </w:pPr>
    </w:lvl>
    <w:lvl w:ilvl="3" w:tplc="48601822">
      <w:start w:val="1"/>
      <w:numFmt w:val="decimal"/>
      <w:lvlText w:val="%4."/>
      <w:lvlJc w:val="left"/>
      <w:pPr>
        <w:ind w:left="2880" w:hanging="360"/>
      </w:pPr>
    </w:lvl>
    <w:lvl w:ilvl="4" w:tplc="56DE0D26">
      <w:start w:val="1"/>
      <w:numFmt w:val="lowerLetter"/>
      <w:lvlText w:val="%5."/>
      <w:lvlJc w:val="left"/>
      <w:pPr>
        <w:ind w:left="3600" w:hanging="360"/>
      </w:pPr>
    </w:lvl>
    <w:lvl w:ilvl="5" w:tplc="ADE604B6">
      <w:start w:val="1"/>
      <w:numFmt w:val="lowerRoman"/>
      <w:lvlText w:val="%6."/>
      <w:lvlJc w:val="right"/>
      <w:pPr>
        <w:ind w:left="4320" w:hanging="180"/>
      </w:pPr>
    </w:lvl>
    <w:lvl w:ilvl="6" w:tplc="08EC853E">
      <w:start w:val="1"/>
      <w:numFmt w:val="decimal"/>
      <w:lvlText w:val="%7."/>
      <w:lvlJc w:val="left"/>
      <w:pPr>
        <w:ind w:left="5040" w:hanging="360"/>
      </w:pPr>
    </w:lvl>
    <w:lvl w:ilvl="7" w:tplc="3F40F47C">
      <w:start w:val="1"/>
      <w:numFmt w:val="lowerLetter"/>
      <w:lvlText w:val="%8."/>
      <w:lvlJc w:val="left"/>
      <w:pPr>
        <w:ind w:left="5760" w:hanging="360"/>
      </w:pPr>
    </w:lvl>
    <w:lvl w:ilvl="8" w:tplc="E662F24E">
      <w:start w:val="1"/>
      <w:numFmt w:val="lowerRoman"/>
      <w:lvlText w:val="%9."/>
      <w:lvlJc w:val="right"/>
      <w:pPr>
        <w:ind w:left="6480" w:hanging="180"/>
      </w:pPr>
    </w:lvl>
  </w:abstractNum>
  <w:abstractNum w:abstractNumId="157" w15:restartNumberingAfterBreak="0">
    <w:nsid w:val="380B317E"/>
    <w:multiLevelType w:val="hybridMultilevel"/>
    <w:tmpl w:val="603A1416"/>
    <w:lvl w:ilvl="0" w:tplc="D49E599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8" w15:restartNumberingAfterBreak="0">
    <w:nsid w:val="3895CB47"/>
    <w:multiLevelType w:val="hybridMultilevel"/>
    <w:tmpl w:val="FFFFFFFF"/>
    <w:lvl w:ilvl="0" w:tplc="29726E10">
      <w:start w:val="7"/>
      <w:numFmt w:val="lowerRoman"/>
      <w:lvlText w:val="%1."/>
      <w:lvlJc w:val="right"/>
      <w:pPr>
        <w:ind w:left="1080" w:hanging="360"/>
      </w:pPr>
    </w:lvl>
    <w:lvl w:ilvl="1" w:tplc="D946FAF0">
      <w:start w:val="1"/>
      <w:numFmt w:val="lowerLetter"/>
      <w:lvlText w:val="%2."/>
      <w:lvlJc w:val="left"/>
      <w:pPr>
        <w:ind w:left="1440" w:hanging="360"/>
      </w:pPr>
    </w:lvl>
    <w:lvl w:ilvl="2" w:tplc="89389216">
      <w:start w:val="1"/>
      <w:numFmt w:val="lowerRoman"/>
      <w:lvlText w:val="%3."/>
      <w:lvlJc w:val="right"/>
      <w:pPr>
        <w:ind w:left="2160" w:hanging="180"/>
      </w:pPr>
    </w:lvl>
    <w:lvl w:ilvl="3" w:tplc="0136B098">
      <w:start w:val="1"/>
      <w:numFmt w:val="decimal"/>
      <w:lvlText w:val="%4."/>
      <w:lvlJc w:val="left"/>
      <w:pPr>
        <w:ind w:left="2880" w:hanging="360"/>
      </w:pPr>
    </w:lvl>
    <w:lvl w:ilvl="4" w:tplc="23C8F444">
      <w:start w:val="1"/>
      <w:numFmt w:val="lowerLetter"/>
      <w:lvlText w:val="%5."/>
      <w:lvlJc w:val="left"/>
      <w:pPr>
        <w:ind w:left="3600" w:hanging="360"/>
      </w:pPr>
    </w:lvl>
    <w:lvl w:ilvl="5" w:tplc="94586158">
      <w:start w:val="1"/>
      <w:numFmt w:val="lowerRoman"/>
      <w:lvlText w:val="%6."/>
      <w:lvlJc w:val="right"/>
      <w:pPr>
        <w:ind w:left="4320" w:hanging="180"/>
      </w:pPr>
    </w:lvl>
    <w:lvl w:ilvl="6" w:tplc="DA78AC8C">
      <w:start w:val="1"/>
      <w:numFmt w:val="decimal"/>
      <w:lvlText w:val="%7."/>
      <w:lvlJc w:val="left"/>
      <w:pPr>
        <w:ind w:left="5040" w:hanging="360"/>
      </w:pPr>
    </w:lvl>
    <w:lvl w:ilvl="7" w:tplc="251C131E">
      <w:start w:val="1"/>
      <w:numFmt w:val="lowerLetter"/>
      <w:lvlText w:val="%8."/>
      <w:lvlJc w:val="left"/>
      <w:pPr>
        <w:ind w:left="5760" w:hanging="360"/>
      </w:pPr>
    </w:lvl>
    <w:lvl w:ilvl="8" w:tplc="C0CAA62E">
      <w:start w:val="1"/>
      <w:numFmt w:val="lowerRoman"/>
      <w:lvlText w:val="%9."/>
      <w:lvlJc w:val="right"/>
      <w:pPr>
        <w:ind w:left="6480" w:hanging="180"/>
      </w:pPr>
    </w:lvl>
  </w:abstractNum>
  <w:abstractNum w:abstractNumId="159" w15:restartNumberingAfterBreak="0">
    <w:nsid w:val="38AB01D1"/>
    <w:multiLevelType w:val="hybridMultilevel"/>
    <w:tmpl w:val="FFFFFFFF"/>
    <w:lvl w:ilvl="0" w:tplc="FCA83F26">
      <w:start w:val="2"/>
      <w:numFmt w:val="lowerLetter"/>
      <w:lvlText w:val="%1)"/>
      <w:lvlJc w:val="left"/>
      <w:pPr>
        <w:ind w:left="720" w:hanging="360"/>
      </w:pPr>
    </w:lvl>
    <w:lvl w:ilvl="1" w:tplc="283AC512">
      <w:start w:val="1"/>
      <w:numFmt w:val="lowerLetter"/>
      <w:lvlText w:val="%2."/>
      <w:lvlJc w:val="left"/>
      <w:pPr>
        <w:ind w:left="1440" w:hanging="360"/>
      </w:pPr>
    </w:lvl>
    <w:lvl w:ilvl="2" w:tplc="E64C85B0">
      <w:start w:val="1"/>
      <w:numFmt w:val="lowerRoman"/>
      <w:lvlText w:val="%3."/>
      <w:lvlJc w:val="right"/>
      <w:pPr>
        <w:ind w:left="2160" w:hanging="180"/>
      </w:pPr>
    </w:lvl>
    <w:lvl w:ilvl="3" w:tplc="28B4CBB6">
      <w:start w:val="1"/>
      <w:numFmt w:val="decimal"/>
      <w:lvlText w:val="%4."/>
      <w:lvlJc w:val="left"/>
      <w:pPr>
        <w:ind w:left="2880" w:hanging="360"/>
      </w:pPr>
    </w:lvl>
    <w:lvl w:ilvl="4" w:tplc="94C4C0AC">
      <w:start w:val="1"/>
      <w:numFmt w:val="lowerLetter"/>
      <w:lvlText w:val="%5."/>
      <w:lvlJc w:val="left"/>
      <w:pPr>
        <w:ind w:left="3600" w:hanging="360"/>
      </w:pPr>
    </w:lvl>
    <w:lvl w:ilvl="5" w:tplc="3D681718">
      <w:start w:val="1"/>
      <w:numFmt w:val="lowerRoman"/>
      <w:lvlText w:val="%6."/>
      <w:lvlJc w:val="right"/>
      <w:pPr>
        <w:ind w:left="4320" w:hanging="180"/>
      </w:pPr>
    </w:lvl>
    <w:lvl w:ilvl="6" w:tplc="4900005E">
      <w:start w:val="1"/>
      <w:numFmt w:val="decimal"/>
      <w:lvlText w:val="%7."/>
      <w:lvlJc w:val="left"/>
      <w:pPr>
        <w:ind w:left="5040" w:hanging="360"/>
      </w:pPr>
    </w:lvl>
    <w:lvl w:ilvl="7" w:tplc="8E04CBE2">
      <w:start w:val="1"/>
      <w:numFmt w:val="lowerLetter"/>
      <w:lvlText w:val="%8."/>
      <w:lvlJc w:val="left"/>
      <w:pPr>
        <w:ind w:left="5760" w:hanging="360"/>
      </w:pPr>
    </w:lvl>
    <w:lvl w:ilvl="8" w:tplc="16E49374">
      <w:start w:val="1"/>
      <w:numFmt w:val="lowerRoman"/>
      <w:lvlText w:val="%9."/>
      <w:lvlJc w:val="right"/>
      <w:pPr>
        <w:ind w:left="6480" w:hanging="180"/>
      </w:pPr>
    </w:lvl>
  </w:abstractNum>
  <w:abstractNum w:abstractNumId="160" w15:restartNumberingAfterBreak="0">
    <w:nsid w:val="38D780B4"/>
    <w:multiLevelType w:val="hybridMultilevel"/>
    <w:tmpl w:val="FFFFFFFF"/>
    <w:lvl w:ilvl="0" w:tplc="734CA9C8">
      <w:start w:val="1"/>
      <w:numFmt w:val="decimal"/>
      <w:lvlText w:val="%1."/>
      <w:lvlJc w:val="left"/>
      <w:pPr>
        <w:ind w:left="720" w:hanging="360"/>
      </w:pPr>
    </w:lvl>
    <w:lvl w:ilvl="1" w:tplc="EBFE237A">
      <w:start w:val="5"/>
      <w:numFmt w:val="lowerRoman"/>
      <w:lvlText w:val="%2."/>
      <w:lvlJc w:val="right"/>
      <w:pPr>
        <w:ind w:left="1080" w:hanging="360"/>
      </w:pPr>
    </w:lvl>
    <w:lvl w:ilvl="2" w:tplc="495E144E">
      <w:start w:val="1"/>
      <w:numFmt w:val="lowerRoman"/>
      <w:lvlText w:val="%3."/>
      <w:lvlJc w:val="right"/>
      <w:pPr>
        <w:ind w:left="2160" w:hanging="180"/>
      </w:pPr>
    </w:lvl>
    <w:lvl w:ilvl="3" w:tplc="350EA5C2">
      <w:start w:val="1"/>
      <w:numFmt w:val="decimal"/>
      <w:lvlText w:val="%4."/>
      <w:lvlJc w:val="left"/>
      <w:pPr>
        <w:ind w:left="2880" w:hanging="360"/>
      </w:pPr>
    </w:lvl>
    <w:lvl w:ilvl="4" w:tplc="731C668C">
      <w:start w:val="1"/>
      <w:numFmt w:val="lowerLetter"/>
      <w:lvlText w:val="%5."/>
      <w:lvlJc w:val="left"/>
      <w:pPr>
        <w:ind w:left="3600" w:hanging="360"/>
      </w:pPr>
    </w:lvl>
    <w:lvl w:ilvl="5" w:tplc="96688B62">
      <w:start w:val="1"/>
      <w:numFmt w:val="lowerRoman"/>
      <w:lvlText w:val="%6."/>
      <w:lvlJc w:val="right"/>
      <w:pPr>
        <w:ind w:left="4320" w:hanging="180"/>
      </w:pPr>
    </w:lvl>
    <w:lvl w:ilvl="6" w:tplc="A3E623AC">
      <w:start w:val="1"/>
      <w:numFmt w:val="decimal"/>
      <w:lvlText w:val="%7."/>
      <w:lvlJc w:val="left"/>
      <w:pPr>
        <w:ind w:left="5040" w:hanging="360"/>
      </w:pPr>
    </w:lvl>
    <w:lvl w:ilvl="7" w:tplc="09708B00">
      <w:start w:val="1"/>
      <w:numFmt w:val="lowerLetter"/>
      <w:lvlText w:val="%8."/>
      <w:lvlJc w:val="left"/>
      <w:pPr>
        <w:ind w:left="5760" w:hanging="360"/>
      </w:pPr>
    </w:lvl>
    <w:lvl w:ilvl="8" w:tplc="18B424DC">
      <w:start w:val="1"/>
      <w:numFmt w:val="lowerRoman"/>
      <w:lvlText w:val="%9."/>
      <w:lvlJc w:val="right"/>
      <w:pPr>
        <w:ind w:left="6480" w:hanging="180"/>
      </w:pPr>
    </w:lvl>
  </w:abstractNum>
  <w:abstractNum w:abstractNumId="161" w15:restartNumberingAfterBreak="0">
    <w:nsid w:val="38E545F9"/>
    <w:multiLevelType w:val="hybridMultilevel"/>
    <w:tmpl w:val="FFFFFFFF"/>
    <w:lvl w:ilvl="0" w:tplc="CD3E645A">
      <w:start w:val="8"/>
      <w:numFmt w:val="lowerRoman"/>
      <w:lvlText w:val="%1."/>
      <w:lvlJc w:val="right"/>
      <w:pPr>
        <w:ind w:left="1080" w:hanging="360"/>
      </w:pPr>
    </w:lvl>
    <w:lvl w:ilvl="1" w:tplc="2DA0CF98">
      <w:start w:val="1"/>
      <w:numFmt w:val="lowerLetter"/>
      <w:lvlText w:val="%2."/>
      <w:lvlJc w:val="left"/>
      <w:pPr>
        <w:ind w:left="1440" w:hanging="360"/>
      </w:pPr>
    </w:lvl>
    <w:lvl w:ilvl="2" w:tplc="A02E78B2">
      <w:start w:val="1"/>
      <w:numFmt w:val="lowerRoman"/>
      <w:lvlText w:val="%3."/>
      <w:lvlJc w:val="right"/>
      <w:pPr>
        <w:ind w:left="2160" w:hanging="180"/>
      </w:pPr>
    </w:lvl>
    <w:lvl w:ilvl="3" w:tplc="B7BC3444">
      <w:start w:val="1"/>
      <w:numFmt w:val="decimal"/>
      <w:lvlText w:val="%4."/>
      <w:lvlJc w:val="left"/>
      <w:pPr>
        <w:ind w:left="2880" w:hanging="360"/>
      </w:pPr>
    </w:lvl>
    <w:lvl w:ilvl="4" w:tplc="A06E4C66">
      <w:start w:val="1"/>
      <w:numFmt w:val="lowerLetter"/>
      <w:lvlText w:val="%5."/>
      <w:lvlJc w:val="left"/>
      <w:pPr>
        <w:ind w:left="3600" w:hanging="360"/>
      </w:pPr>
    </w:lvl>
    <w:lvl w:ilvl="5" w:tplc="5A9C880A">
      <w:start w:val="1"/>
      <w:numFmt w:val="lowerRoman"/>
      <w:lvlText w:val="%6."/>
      <w:lvlJc w:val="right"/>
      <w:pPr>
        <w:ind w:left="4320" w:hanging="180"/>
      </w:pPr>
    </w:lvl>
    <w:lvl w:ilvl="6" w:tplc="7FFA1FEA">
      <w:start w:val="1"/>
      <w:numFmt w:val="decimal"/>
      <w:lvlText w:val="%7."/>
      <w:lvlJc w:val="left"/>
      <w:pPr>
        <w:ind w:left="5040" w:hanging="360"/>
      </w:pPr>
    </w:lvl>
    <w:lvl w:ilvl="7" w:tplc="C7441350">
      <w:start w:val="1"/>
      <w:numFmt w:val="lowerLetter"/>
      <w:lvlText w:val="%8."/>
      <w:lvlJc w:val="left"/>
      <w:pPr>
        <w:ind w:left="5760" w:hanging="360"/>
      </w:pPr>
    </w:lvl>
    <w:lvl w:ilvl="8" w:tplc="3CEA5ABA">
      <w:start w:val="1"/>
      <w:numFmt w:val="lowerRoman"/>
      <w:lvlText w:val="%9."/>
      <w:lvlJc w:val="right"/>
      <w:pPr>
        <w:ind w:left="6480" w:hanging="180"/>
      </w:pPr>
    </w:lvl>
  </w:abstractNum>
  <w:abstractNum w:abstractNumId="162" w15:restartNumberingAfterBreak="0">
    <w:nsid w:val="39249C31"/>
    <w:multiLevelType w:val="hybridMultilevel"/>
    <w:tmpl w:val="FFFFFFFF"/>
    <w:lvl w:ilvl="0" w:tplc="AF18CBC0">
      <w:start w:val="1"/>
      <w:numFmt w:val="decimal"/>
      <w:lvlText w:val="%1."/>
      <w:lvlJc w:val="left"/>
      <w:pPr>
        <w:ind w:left="720" w:hanging="360"/>
      </w:pPr>
    </w:lvl>
    <w:lvl w:ilvl="1" w:tplc="F8405570">
      <w:start w:val="1"/>
      <w:numFmt w:val="lowerLetter"/>
      <w:lvlText w:val="%2."/>
      <w:lvlJc w:val="left"/>
      <w:pPr>
        <w:ind w:left="1440" w:hanging="360"/>
      </w:pPr>
    </w:lvl>
    <w:lvl w:ilvl="2" w:tplc="35A683A8">
      <w:start w:val="1"/>
      <w:numFmt w:val="lowerRoman"/>
      <w:lvlText w:val="%3."/>
      <w:lvlJc w:val="right"/>
      <w:pPr>
        <w:ind w:left="2160" w:hanging="180"/>
      </w:pPr>
    </w:lvl>
    <w:lvl w:ilvl="3" w:tplc="5492BB0C">
      <w:start w:val="1"/>
      <w:numFmt w:val="decimal"/>
      <w:lvlText w:val="%4."/>
      <w:lvlJc w:val="left"/>
      <w:pPr>
        <w:ind w:left="2880" w:hanging="360"/>
      </w:pPr>
    </w:lvl>
    <w:lvl w:ilvl="4" w:tplc="2CC872C0">
      <w:start w:val="1"/>
      <w:numFmt w:val="lowerLetter"/>
      <w:lvlText w:val="%5."/>
      <w:lvlJc w:val="left"/>
      <w:pPr>
        <w:ind w:left="3600" w:hanging="360"/>
      </w:pPr>
    </w:lvl>
    <w:lvl w:ilvl="5" w:tplc="C6928C8E">
      <w:start w:val="1"/>
      <w:numFmt w:val="lowerRoman"/>
      <w:lvlText w:val="%6."/>
      <w:lvlJc w:val="right"/>
      <w:pPr>
        <w:ind w:left="4320" w:hanging="180"/>
      </w:pPr>
    </w:lvl>
    <w:lvl w:ilvl="6" w:tplc="B92AFC68">
      <w:start w:val="1"/>
      <w:numFmt w:val="decimal"/>
      <w:lvlText w:val="%7."/>
      <w:lvlJc w:val="left"/>
      <w:pPr>
        <w:ind w:left="5040" w:hanging="360"/>
      </w:pPr>
    </w:lvl>
    <w:lvl w:ilvl="7" w:tplc="E9829E46">
      <w:start w:val="1"/>
      <w:numFmt w:val="lowerLetter"/>
      <w:lvlText w:val="%8."/>
      <w:lvlJc w:val="left"/>
      <w:pPr>
        <w:ind w:left="5760" w:hanging="360"/>
      </w:pPr>
    </w:lvl>
    <w:lvl w:ilvl="8" w:tplc="8826978C">
      <w:start w:val="1"/>
      <w:numFmt w:val="lowerRoman"/>
      <w:lvlText w:val="%9."/>
      <w:lvlJc w:val="right"/>
      <w:pPr>
        <w:ind w:left="6480" w:hanging="180"/>
      </w:pPr>
    </w:lvl>
  </w:abstractNum>
  <w:abstractNum w:abstractNumId="163" w15:restartNumberingAfterBreak="0">
    <w:nsid w:val="39577F94"/>
    <w:multiLevelType w:val="hybridMultilevel"/>
    <w:tmpl w:val="FFFFFFFF"/>
    <w:lvl w:ilvl="0" w:tplc="5E4260EA">
      <w:start w:val="1"/>
      <w:numFmt w:val="decimal"/>
      <w:lvlText w:val="%1."/>
      <w:lvlJc w:val="left"/>
      <w:pPr>
        <w:ind w:left="720" w:hanging="360"/>
      </w:pPr>
    </w:lvl>
    <w:lvl w:ilvl="1" w:tplc="4432964E">
      <w:start w:val="4"/>
      <w:numFmt w:val="lowerRoman"/>
      <w:lvlText w:val="%2."/>
      <w:lvlJc w:val="right"/>
      <w:pPr>
        <w:ind w:left="1080" w:hanging="360"/>
      </w:pPr>
    </w:lvl>
    <w:lvl w:ilvl="2" w:tplc="C9D2F020">
      <w:start w:val="1"/>
      <w:numFmt w:val="lowerRoman"/>
      <w:lvlText w:val="%3."/>
      <w:lvlJc w:val="right"/>
      <w:pPr>
        <w:ind w:left="2160" w:hanging="180"/>
      </w:pPr>
    </w:lvl>
    <w:lvl w:ilvl="3" w:tplc="9B9E732E">
      <w:start w:val="1"/>
      <w:numFmt w:val="decimal"/>
      <w:lvlText w:val="%4."/>
      <w:lvlJc w:val="left"/>
      <w:pPr>
        <w:ind w:left="2880" w:hanging="360"/>
      </w:pPr>
    </w:lvl>
    <w:lvl w:ilvl="4" w:tplc="397CD67A">
      <w:start w:val="1"/>
      <w:numFmt w:val="lowerLetter"/>
      <w:lvlText w:val="%5."/>
      <w:lvlJc w:val="left"/>
      <w:pPr>
        <w:ind w:left="3600" w:hanging="360"/>
      </w:pPr>
    </w:lvl>
    <w:lvl w:ilvl="5" w:tplc="96AA810E">
      <w:start w:val="1"/>
      <w:numFmt w:val="lowerRoman"/>
      <w:lvlText w:val="%6."/>
      <w:lvlJc w:val="right"/>
      <w:pPr>
        <w:ind w:left="4320" w:hanging="180"/>
      </w:pPr>
    </w:lvl>
    <w:lvl w:ilvl="6" w:tplc="83FA91B2">
      <w:start w:val="1"/>
      <w:numFmt w:val="decimal"/>
      <w:lvlText w:val="%7."/>
      <w:lvlJc w:val="left"/>
      <w:pPr>
        <w:ind w:left="5040" w:hanging="360"/>
      </w:pPr>
    </w:lvl>
    <w:lvl w:ilvl="7" w:tplc="DADCA450">
      <w:start w:val="1"/>
      <w:numFmt w:val="lowerLetter"/>
      <w:lvlText w:val="%8."/>
      <w:lvlJc w:val="left"/>
      <w:pPr>
        <w:ind w:left="5760" w:hanging="360"/>
      </w:pPr>
    </w:lvl>
    <w:lvl w:ilvl="8" w:tplc="FBAEEBE4">
      <w:start w:val="1"/>
      <w:numFmt w:val="lowerRoman"/>
      <w:lvlText w:val="%9."/>
      <w:lvlJc w:val="right"/>
      <w:pPr>
        <w:ind w:left="6480" w:hanging="180"/>
      </w:pPr>
    </w:lvl>
  </w:abstractNum>
  <w:abstractNum w:abstractNumId="164" w15:restartNumberingAfterBreak="0">
    <w:nsid w:val="396E32F7"/>
    <w:multiLevelType w:val="hybridMultilevel"/>
    <w:tmpl w:val="FFFFFFFF"/>
    <w:lvl w:ilvl="0" w:tplc="FFDAECCE">
      <w:start w:val="1"/>
      <w:numFmt w:val="bullet"/>
      <w:lvlText w:val=""/>
      <w:lvlJc w:val="left"/>
      <w:pPr>
        <w:ind w:left="720" w:hanging="360"/>
      </w:pPr>
      <w:rPr>
        <w:rFonts w:ascii="Symbol" w:hAnsi="Symbol" w:hint="default"/>
      </w:rPr>
    </w:lvl>
    <w:lvl w:ilvl="1" w:tplc="4B404D60">
      <w:start w:val="1"/>
      <w:numFmt w:val="bullet"/>
      <w:lvlText w:val="o"/>
      <w:lvlJc w:val="left"/>
      <w:pPr>
        <w:ind w:left="1440" w:hanging="360"/>
      </w:pPr>
      <w:rPr>
        <w:rFonts w:ascii="Courier New" w:hAnsi="Courier New" w:hint="default"/>
      </w:rPr>
    </w:lvl>
    <w:lvl w:ilvl="2" w:tplc="B5DA099E">
      <w:start w:val="1"/>
      <w:numFmt w:val="bullet"/>
      <w:lvlText w:val=""/>
      <w:lvlJc w:val="left"/>
      <w:pPr>
        <w:ind w:left="2160" w:hanging="360"/>
      </w:pPr>
      <w:rPr>
        <w:rFonts w:ascii="Wingdings" w:hAnsi="Wingdings" w:hint="default"/>
      </w:rPr>
    </w:lvl>
    <w:lvl w:ilvl="3" w:tplc="337A44EE">
      <w:start w:val="1"/>
      <w:numFmt w:val="bullet"/>
      <w:lvlText w:val=""/>
      <w:lvlJc w:val="left"/>
      <w:pPr>
        <w:ind w:left="2880" w:hanging="360"/>
      </w:pPr>
      <w:rPr>
        <w:rFonts w:ascii="Symbol" w:hAnsi="Symbol" w:hint="default"/>
      </w:rPr>
    </w:lvl>
    <w:lvl w:ilvl="4" w:tplc="BDA884C2">
      <w:start w:val="1"/>
      <w:numFmt w:val="bullet"/>
      <w:lvlText w:val="o"/>
      <w:lvlJc w:val="left"/>
      <w:pPr>
        <w:ind w:left="3600" w:hanging="360"/>
      </w:pPr>
      <w:rPr>
        <w:rFonts w:ascii="Courier New" w:hAnsi="Courier New" w:hint="default"/>
      </w:rPr>
    </w:lvl>
    <w:lvl w:ilvl="5" w:tplc="9F74BCBC">
      <w:start w:val="1"/>
      <w:numFmt w:val="bullet"/>
      <w:lvlText w:val=""/>
      <w:lvlJc w:val="left"/>
      <w:pPr>
        <w:ind w:left="4320" w:hanging="360"/>
      </w:pPr>
      <w:rPr>
        <w:rFonts w:ascii="Wingdings" w:hAnsi="Wingdings" w:hint="default"/>
      </w:rPr>
    </w:lvl>
    <w:lvl w:ilvl="6" w:tplc="02A238AC">
      <w:start w:val="1"/>
      <w:numFmt w:val="bullet"/>
      <w:lvlText w:val=""/>
      <w:lvlJc w:val="left"/>
      <w:pPr>
        <w:ind w:left="5040" w:hanging="360"/>
      </w:pPr>
      <w:rPr>
        <w:rFonts w:ascii="Symbol" w:hAnsi="Symbol" w:hint="default"/>
      </w:rPr>
    </w:lvl>
    <w:lvl w:ilvl="7" w:tplc="7C4CDF48">
      <w:start w:val="1"/>
      <w:numFmt w:val="bullet"/>
      <w:lvlText w:val="o"/>
      <w:lvlJc w:val="left"/>
      <w:pPr>
        <w:ind w:left="5760" w:hanging="360"/>
      </w:pPr>
      <w:rPr>
        <w:rFonts w:ascii="Courier New" w:hAnsi="Courier New" w:hint="default"/>
      </w:rPr>
    </w:lvl>
    <w:lvl w:ilvl="8" w:tplc="769825D8">
      <w:start w:val="1"/>
      <w:numFmt w:val="bullet"/>
      <w:lvlText w:val=""/>
      <w:lvlJc w:val="left"/>
      <w:pPr>
        <w:ind w:left="6480" w:hanging="360"/>
      </w:pPr>
      <w:rPr>
        <w:rFonts w:ascii="Wingdings" w:hAnsi="Wingdings" w:hint="default"/>
      </w:rPr>
    </w:lvl>
  </w:abstractNum>
  <w:abstractNum w:abstractNumId="165" w15:restartNumberingAfterBreak="0">
    <w:nsid w:val="398CFC99"/>
    <w:multiLevelType w:val="hybridMultilevel"/>
    <w:tmpl w:val="FFFFFFFF"/>
    <w:lvl w:ilvl="0" w:tplc="4A921420">
      <w:start w:val="3"/>
      <w:numFmt w:val="lowerLetter"/>
      <w:lvlText w:val="%1)"/>
      <w:lvlJc w:val="left"/>
      <w:pPr>
        <w:ind w:left="720" w:hanging="360"/>
      </w:pPr>
    </w:lvl>
    <w:lvl w:ilvl="1" w:tplc="8B00FF40">
      <w:start w:val="1"/>
      <w:numFmt w:val="lowerLetter"/>
      <w:lvlText w:val="%2."/>
      <w:lvlJc w:val="left"/>
      <w:pPr>
        <w:ind w:left="1440" w:hanging="360"/>
      </w:pPr>
    </w:lvl>
    <w:lvl w:ilvl="2" w:tplc="F068739A">
      <w:start w:val="1"/>
      <w:numFmt w:val="lowerRoman"/>
      <w:lvlText w:val="%3."/>
      <w:lvlJc w:val="right"/>
      <w:pPr>
        <w:ind w:left="2160" w:hanging="180"/>
      </w:pPr>
    </w:lvl>
    <w:lvl w:ilvl="3" w:tplc="5E2E787C">
      <w:start w:val="1"/>
      <w:numFmt w:val="decimal"/>
      <w:lvlText w:val="%4."/>
      <w:lvlJc w:val="left"/>
      <w:pPr>
        <w:ind w:left="2880" w:hanging="360"/>
      </w:pPr>
    </w:lvl>
    <w:lvl w:ilvl="4" w:tplc="B832F648">
      <w:start w:val="1"/>
      <w:numFmt w:val="lowerLetter"/>
      <w:lvlText w:val="%5."/>
      <w:lvlJc w:val="left"/>
      <w:pPr>
        <w:ind w:left="3600" w:hanging="360"/>
      </w:pPr>
    </w:lvl>
    <w:lvl w:ilvl="5" w:tplc="C1708EE0">
      <w:start w:val="1"/>
      <w:numFmt w:val="lowerRoman"/>
      <w:lvlText w:val="%6."/>
      <w:lvlJc w:val="right"/>
      <w:pPr>
        <w:ind w:left="4320" w:hanging="180"/>
      </w:pPr>
    </w:lvl>
    <w:lvl w:ilvl="6" w:tplc="D1982C94">
      <w:start w:val="1"/>
      <w:numFmt w:val="decimal"/>
      <w:lvlText w:val="%7."/>
      <w:lvlJc w:val="left"/>
      <w:pPr>
        <w:ind w:left="5040" w:hanging="360"/>
      </w:pPr>
    </w:lvl>
    <w:lvl w:ilvl="7" w:tplc="9B9E9A40">
      <w:start w:val="1"/>
      <w:numFmt w:val="lowerLetter"/>
      <w:lvlText w:val="%8."/>
      <w:lvlJc w:val="left"/>
      <w:pPr>
        <w:ind w:left="5760" w:hanging="360"/>
      </w:pPr>
    </w:lvl>
    <w:lvl w:ilvl="8" w:tplc="F8403AE4">
      <w:start w:val="1"/>
      <w:numFmt w:val="lowerRoman"/>
      <w:lvlText w:val="%9."/>
      <w:lvlJc w:val="right"/>
      <w:pPr>
        <w:ind w:left="6480" w:hanging="180"/>
      </w:pPr>
    </w:lvl>
  </w:abstractNum>
  <w:abstractNum w:abstractNumId="166" w15:restartNumberingAfterBreak="0">
    <w:nsid w:val="39A360A6"/>
    <w:multiLevelType w:val="hybridMultilevel"/>
    <w:tmpl w:val="F74818D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7" w15:restartNumberingAfterBreak="0">
    <w:nsid w:val="39D1CB1B"/>
    <w:multiLevelType w:val="hybridMultilevel"/>
    <w:tmpl w:val="FFFFFFFF"/>
    <w:lvl w:ilvl="0" w:tplc="DE225354">
      <w:start w:val="1"/>
      <w:numFmt w:val="bullet"/>
      <w:lvlText w:val="-"/>
      <w:lvlJc w:val="left"/>
      <w:pPr>
        <w:ind w:left="1080" w:hanging="360"/>
      </w:pPr>
      <w:rPr>
        <w:rFonts w:ascii="MS Gothic" w:hAnsi="MS Gothic" w:hint="default"/>
      </w:rPr>
    </w:lvl>
    <w:lvl w:ilvl="1" w:tplc="12442F0A">
      <w:start w:val="1"/>
      <w:numFmt w:val="bullet"/>
      <w:lvlText w:val="o"/>
      <w:lvlJc w:val="left"/>
      <w:pPr>
        <w:ind w:left="1440" w:hanging="360"/>
      </w:pPr>
      <w:rPr>
        <w:rFonts w:ascii="Courier New" w:hAnsi="Courier New" w:hint="default"/>
      </w:rPr>
    </w:lvl>
    <w:lvl w:ilvl="2" w:tplc="F94EC444">
      <w:start w:val="1"/>
      <w:numFmt w:val="bullet"/>
      <w:lvlText w:val=""/>
      <w:lvlJc w:val="left"/>
      <w:pPr>
        <w:ind w:left="2160" w:hanging="360"/>
      </w:pPr>
      <w:rPr>
        <w:rFonts w:ascii="Wingdings" w:hAnsi="Wingdings" w:hint="default"/>
      </w:rPr>
    </w:lvl>
    <w:lvl w:ilvl="3" w:tplc="E6E20B66">
      <w:start w:val="1"/>
      <w:numFmt w:val="bullet"/>
      <w:lvlText w:val=""/>
      <w:lvlJc w:val="left"/>
      <w:pPr>
        <w:ind w:left="2880" w:hanging="360"/>
      </w:pPr>
      <w:rPr>
        <w:rFonts w:ascii="Symbol" w:hAnsi="Symbol" w:hint="default"/>
      </w:rPr>
    </w:lvl>
    <w:lvl w:ilvl="4" w:tplc="A4D282F6">
      <w:start w:val="1"/>
      <w:numFmt w:val="bullet"/>
      <w:lvlText w:val="o"/>
      <w:lvlJc w:val="left"/>
      <w:pPr>
        <w:ind w:left="3600" w:hanging="360"/>
      </w:pPr>
      <w:rPr>
        <w:rFonts w:ascii="Courier New" w:hAnsi="Courier New" w:hint="default"/>
      </w:rPr>
    </w:lvl>
    <w:lvl w:ilvl="5" w:tplc="83E45118">
      <w:start w:val="1"/>
      <w:numFmt w:val="bullet"/>
      <w:lvlText w:val=""/>
      <w:lvlJc w:val="left"/>
      <w:pPr>
        <w:ind w:left="4320" w:hanging="360"/>
      </w:pPr>
      <w:rPr>
        <w:rFonts w:ascii="Wingdings" w:hAnsi="Wingdings" w:hint="default"/>
      </w:rPr>
    </w:lvl>
    <w:lvl w:ilvl="6" w:tplc="67D49CD6">
      <w:start w:val="1"/>
      <w:numFmt w:val="bullet"/>
      <w:lvlText w:val=""/>
      <w:lvlJc w:val="left"/>
      <w:pPr>
        <w:ind w:left="5040" w:hanging="360"/>
      </w:pPr>
      <w:rPr>
        <w:rFonts w:ascii="Symbol" w:hAnsi="Symbol" w:hint="default"/>
      </w:rPr>
    </w:lvl>
    <w:lvl w:ilvl="7" w:tplc="35126EA2">
      <w:start w:val="1"/>
      <w:numFmt w:val="bullet"/>
      <w:lvlText w:val="o"/>
      <w:lvlJc w:val="left"/>
      <w:pPr>
        <w:ind w:left="5760" w:hanging="360"/>
      </w:pPr>
      <w:rPr>
        <w:rFonts w:ascii="Courier New" w:hAnsi="Courier New" w:hint="default"/>
      </w:rPr>
    </w:lvl>
    <w:lvl w:ilvl="8" w:tplc="97760528">
      <w:start w:val="1"/>
      <w:numFmt w:val="bullet"/>
      <w:lvlText w:val=""/>
      <w:lvlJc w:val="left"/>
      <w:pPr>
        <w:ind w:left="6480" w:hanging="360"/>
      </w:pPr>
      <w:rPr>
        <w:rFonts w:ascii="Wingdings" w:hAnsi="Wingdings" w:hint="default"/>
      </w:rPr>
    </w:lvl>
  </w:abstractNum>
  <w:abstractNum w:abstractNumId="168" w15:restartNumberingAfterBreak="0">
    <w:nsid w:val="39D73433"/>
    <w:multiLevelType w:val="hybridMultilevel"/>
    <w:tmpl w:val="FFFFFFFF"/>
    <w:lvl w:ilvl="0" w:tplc="8B48F09A">
      <w:start w:val="3"/>
      <w:numFmt w:val="decimal"/>
      <w:lvlText w:val="%1."/>
      <w:lvlJc w:val="left"/>
      <w:pPr>
        <w:ind w:left="720" w:hanging="360"/>
      </w:pPr>
    </w:lvl>
    <w:lvl w:ilvl="1" w:tplc="F28A1DCE">
      <w:start w:val="1"/>
      <w:numFmt w:val="lowerLetter"/>
      <w:lvlText w:val="%2."/>
      <w:lvlJc w:val="left"/>
      <w:pPr>
        <w:ind w:left="1440" w:hanging="360"/>
      </w:pPr>
    </w:lvl>
    <w:lvl w:ilvl="2" w:tplc="DB1A1BB2">
      <w:start w:val="1"/>
      <w:numFmt w:val="lowerRoman"/>
      <w:lvlText w:val="%3."/>
      <w:lvlJc w:val="right"/>
      <w:pPr>
        <w:ind w:left="2160" w:hanging="180"/>
      </w:pPr>
    </w:lvl>
    <w:lvl w:ilvl="3" w:tplc="C4F45812">
      <w:start w:val="1"/>
      <w:numFmt w:val="decimal"/>
      <w:lvlText w:val="%4."/>
      <w:lvlJc w:val="left"/>
      <w:pPr>
        <w:ind w:left="2880" w:hanging="360"/>
      </w:pPr>
    </w:lvl>
    <w:lvl w:ilvl="4" w:tplc="2AF8BB2E">
      <w:start w:val="1"/>
      <w:numFmt w:val="lowerLetter"/>
      <w:lvlText w:val="%5."/>
      <w:lvlJc w:val="left"/>
      <w:pPr>
        <w:ind w:left="3600" w:hanging="360"/>
      </w:pPr>
    </w:lvl>
    <w:lvl w:ilvl="5" w:tplc="647089BA">
      <w:start w:val="1"/>
      <w:numFmt w:val="lowerRoman"/>
      <w:lvlText w:val="%6."/>
      <w:lvlJc w:val="right"/>
      <w:pPr>
        <w:ind w:left="4320" w:hanging="180"/>
      </w:pPr>
    </w:lvl>
    <w:lvl w:ilvl="6" w:tplc="1A72EBDC">
      <w:start w:val="1"/>
      <w:numFmt w:val="decimal"/>
      <w:lvlText w:val="%7."/>
      <w:lvlJc w:val="left"/>
      <w:pPr>
        <w:ind w:left="5040" w:hanging="360"/>
      </w:pPr>
    </w:lvl>
    <w:lvl w:ilvl="7" w:tplc="DB4EF1E8">
      <w:start w:val="1"/>
      <w:numFmt w:val="lowerLetter"/>
      <w:lvlText w:val="%8."/>
      <w:lvlJc w:val="left"/>
      <w:pPr>
        <w:ind w:left="5760" w:hanging="360"/>
      </w:pPr>
    </w:lvl>
    <w:lvl w:ilvl="8" w:tplc="148A6BC4">
      <w:start w:val="1"/>
      <w:numFmt w:val="lowerRoman"/>
      <w:lvlText w:val="%9."/>
      <w:lvlJc w:val="right"/>
      <w:pPr>
        <w:ind w:left="6480" w:hanging="180"/>
      </w:pPr>
    </w:lvl>
  </w:abstractNum>
  <w:abstractNum w:abstractNumId="169" w15:restartNumberingAfterBreak="0">
    <w:nsid w:val="3A02227A"/>
    <w:multiLevelType w:val="hybridMultilevel"/>
    <w:tmpl w:val="C5B41DBA"/>
    <w:lvl w:ilvl="0" w:tplc="BAA6F1B0">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0" w15:restartNumberingAfterBreak="0">
    <w:nsid w:val="3A32E396"/>
    <w:multiLevelType w:val="hybridMultilevel"/>
    <w:tmpl w:val="FFFFFFFF"/>
    <w:lvl w:ilvl="0" w:tplc="D4206408">
      <w:start w:val="3"/>
      <w:numFmt w:val="decimal"/>
      <w:lvlText w:val="%1."/>
      <w:lvlJc w:val="left"/>
      <w:pPr>
        <w:ind w:left="720" w:hanging="360"/>
      </w:pPr>
    </w:lvl>
    <w:lvl w:ilvl="1" w:tplc="157C765A">
      <w:start w:val="1"/>
      <w:numFmt w:val="lowerLetter"/>
      <w:lvlText w:val="%2."/>
      <w:lvlJc w:val="left"/>
      <w:pPr>
        <w:ind w:left="1440" w:hanging="360"/>
      </w:pPr>
    </w:lvl>
    <w:lvl w:ilvl="2" w:tplc="E60CF3D0">
      <w:start w:val="1"/>
      <w:numFmt w:val="lowerRoman"/>
      <w:lvlText w:val="%3."/>
      <w:lvlJc w:val="right"/>
      <w:pPr>
        <w:ind w:left="2160" w:hanging="180"/>
      </w:pPr>
    </w:lvl>
    <w:lvl w:ilvl="3" w:tplc="2A765D80">
      <w:start w:val="1"/>
      <w:numFmt w:val="decimal"/>
      <w:lvlText w:val="%4."/>
      <w:lvlJc w:val="left"/>
      <w:pPr>
        <w:ind w:left="2880" w:hanging="360"/>
      </w:pPr>
    </w:lvl>
    <w:lvl w:ilvl="4" w:tplc="635299F4">
      <w:start w:val="1"/>
      <w:numFmt w:val="lowerLetter"/>
      <w:lvlText w:val="%5."/>
      <w:lvlJc w:val="left"/>
      <w:pPr>
        <w:ind w:left="3600" w:hanging="360"/>
      </w:pPr>
    </w:lvl>
    <w:lvl w:ilvl="5" w:tplc="A8DC7814">
      <w:start w:val="1"/>
      <w:numFmt w:val="lowerRoman"/>
      <w:lvlText w:val="%6."/>
      <w:lvlJc w:val="right"/>
      <w:pPr>
        <w:ind w:left="4320" w:hanging="180"/>
      </w:pPr>
    </w:lvl>
    <w:lvl w:ilvl="6" w:tplc="033C5362">
      <w:start w:val="1"/>
      <w:numFmt w:val="decimal"/>
      <w:lvlText w:val="%7."/>
      <w:lvlJc w:val="left"/>
      <w:pPr>
        <w:ind w:left="5040" w:hanging="360"/>
      </w:pPr>
    </w:lvl>
    <w:lvl w:ilvl="7" w:tplc="7124DBC4">
      <w:start w:val="1"/>
      <w:numFmt w:val="lowerLetter"/>
      <w:lvlText w:val="%8."/>
      <w:lvlJc w:val="left"/>
      <w:pPr>
        <w:ind w:left="5760" w:hanging="360"/>
      </w:pPr>
    </w:lvl>
    <w:lvl w:ilvl="8" w:tplc="95928EDC">
      <w:start w:val="1"/>
      <w:numFmt w:val="lowerRoman"/>
      <w:lvlText w:val="%9."/>
      <w:lvlJc w:val="right"/>
      <w:pPr>
        <w:ind w:left="6480" w:hanging="180"/>
      </w:pPr>
    </w:lvl>
  </w:abstractNum>
  <w:abstractNum w:abstractNumId="171" w15:restartNumberingAfterBreak="0">
    <w:nsid w:val="3AB44722"/>
    <w:multiLevelType w:val="hybridMultilevel"/>
    <w:tmpl w:val="66A2DCA0"/>
    <w:lvl w:ilvl="0" w:tplc="9484F038">
      <w:start w:val="1"/>
      <w:numFmt w:val="bullet"/>
      <w:lvlText w:val=""/>
      <w:lvlJc w:val="left"/>
      <w:pPr>
        <w:ind w:left="720" w:hanging="360"/>
      </w:pPr>
      <w:rPr>
        <w:rFonts w:ascii="Symbol" w:hAnsi="Symbol"/>
      </w:rPr>
    </w:lvl>
    <w:lvl w:ilvl="1" w:tplc="2E22280C">
      <w:start w:val="1"/>
      <w:numFmt w:val="bullet"/>
      <w:lvlText w:val=""/>
      <w:lvlJc w:val="left"/>
      <w:pPr>
        <w:ind w:left="720" w:hanging="360"/>
      </w:pPr>
      <w:rPr>
        <w:rFonts w:ascii="Symbol" w:hAnsi="Symbol"/>
      </w:rPr>
    </w:lvl>
    <w:lvl w:ilvl="2" w:tplc="C3089C7E">
      <w:start w:val="1"/>
      <w:numFmt w:val="bullet"/>
      <w:lvlText w:val=""/>
      <w:lvlJc w:val="left"/>
      <w:pPr>
        <w:ind w:left="720" w:hanging="360"/>
      </w:pPr>
      <w:rPr>
        <w:rFonts w:ascii="Symbol" w:hAnsi="Symbol"/>
      </w:rPr>
    </w:lvl>
    <w:lvl w:ilvl="3" w:tplc="FB82426E">
      <w:start w:val="1"/>
      <w:numFmt w:val="bullet"/>
      <w:lvlText w:val=""/>
      <w:lvlJc w:val="left"/>
      <w:pPr>
        <w:ind w:left="720" w:hanging="360"/>
      </w:pPr>
      <w:rPr>
        <w:rFonts w:ascii="Symbol" w:hAnsi="Symbol"/>
      </w:rPr>
    </w:lvl>
    <w:lvl w:ilvl="4" w:tplc="CFFC9E52">
      <w:start w:val="1"/>
      <w:numFmt w:val="bullet"/>
      <w:lvlText w:val=""/>
      <w:lvlJc w:val="left"/>
      <w:pPr>
        <w:ind w:left="720" w:hanging="360"/>
      </w:pPr>
      <w:rPr>
        <w:rFonts w:ascii="Symbol" w:hAnsi="Symbol"/>
      </w:rPr>
    </w:lvl>
    <w:lvl w:ilvl="5" w:tplc="53880E42">
      <w:start w:val="1"/>
      <w:numFmt w:val="bullet"/>
      <w:lvlText w:val=""/>
      <w:lvlJc w:val="left"/>
      <w:pPr>
        <w:ind w:left="720" w:hanging="360"/>
      </w:pPr>
      <w:rPr>
        <w:rFonts w:ascii="Symbol" w:hAnsi="Symbol"/>
      </w:rPr>
    </w:lvl>
    <w:lvl w:ilvl="6" w:tplc="52A4CD38">
      <w:start w:val="1"/>
      <w:numFmt w:val="bullet"/>
      <w:lvlText w:val=""/>
      <w:lvlJc w:val="left"/>
      <w:pPr>
        <w:ind w:left="720" w:hanging="360"/>
      </w:pPr>
      <w:rPr>
        <w:rFonts w:ascii="Symbol" w:hAnsi="Symbol"/>
      </w:rPr>
    </w:lvl>
    <w:lvl w:ilvl="7" w:tplc="87AE8786">
      <w:start w:val="1"/>
      <w:numFmt w:val="bullet"/>
      <w:lvlText w:val=""/>
      <w:lvlJc w:val="left"/>
      <w:pPr>
        <w:ind w:left="720" w:hanging="360"/>
      </w:pPr>
      <w:rPr>
        <w:rFonts w:ascii="Symbol" w:hAnsi="Symbol"/>
      </w:rPr>
    </w:lvl>
    <w:lvl w:ilvl="8" w:tplc="972E252C">
      <w:start w:val="1"/>
      <w:numFmt w:val="bullet"/>
      <w:lvlText w:val=""/>
      <w:lvlJc w:val="left"/>
      <w:pPr>
        <w:ind w:left="720" w:hanging="360"/>
      </w:pPr>
      <w:rPr>
        <w:rFonts w:ascii="Symbol" w:hAnsi="Symbol"/>
      </w:rPr>
    </w:lvl>
  </w:abstractNum>
  <w:abstractNum w:abstractNumId="172" w15:restartNumberingAfterBreak="0">
    <w:nsid w:val="3ADB971C"/>
    <w:multiLevelType w:val="hybridMultilevel"/>
    <w:tmpl w:val="FFFFFFFF"/>
    <w:lvl w:ilvl="0" w:tplc="BC467014">
      <w:start w:val="5"/>
      <w:numFmt w:val="lowerRoman"/>
      <w:lvlText w:val="%1."/>
      <w:lvlJc w:val="right"/>
      <w:pPr>
        <w:ind w:left="1080" w:hanging="360"/>
      </w:pPr>
    </w:lvl>
    <w:lvl w:ilvl="1" w:tplc="4746C914">
      <w:start w:val="1"/>
      <w:numFmt w:val="lowerLetter"/>
      <w:lvlText w:val="%2."/>
      <w:lvlJc w:val="left"/>
      <w:pPr>
        <w:ind w:left="1440" w:hanging="360"/>
      </w:pPr>
    </w:lvl>
    <w:lvl w:ilvl="2" w:tplc="B7FCDB6A">
      <w:start w:val="1"/>
      <w:numFmt w:val="lowerRoman"/>
      <w:lvlText w:val="%3."/>
      <w:lvlJc w:val="right"/>
      <w:pPr>
        <w:ind w:left="2160" w:hanging="180"/>
      </w:pPr>
    </w:lvl>
    <w:lvl w:ilvl="3" w:tplc="25FCA64C">
      <w:start w:val="1"/>
      <w:numFmt w:val="decimal"/>
      <w:lvlText w:val="%4."/>
      <w:lvlJc w:val="left"/>
      <w:pPr>
        <w:ind w:left="2880" w:hanging="360"/>
      </w:pPr>
    </w:lvl>
    <w:lvl w:ilvl="4" w:tplc="3044FDA6">
      <w:start w:val="1"/>
      <w:numFmt w:val="lowerLetter"/>
      <w:lvlText w:val="%5."/>
      <w:lvlJc w:val="left"/>
      <w:pPr>
        <w:ind w:left="3600" w:hanging="360"/>
      </w:pPr>
    </w:lvl>
    <w:lvl w:ilvl="5" w:tplc="75F80B28">
      <w:start w:val="1"/>
      <w:numFmt w:val="lowerRoman"/>
      <w:lvlText w:val="%6."/>
      <w:lvlJc w:val="right"/>
      <w:pPr>
        <w:ind w:left="4320" w:hanging="180"/>
      </w:pPr>
    </w:lvl>
    <w:lvl w:ilvl="6" w:tplc="73FE4E22">
      <w:start w:val="1"/>
      <w:numFmt w:val="decimal"/>
      <w:lvlText w:val="%7."/>
      <w:lvlJc w:val="left"/>
      <w:pPr>
        <w:ind w:left="5040" w:hanging="360"/>
      </w:pPr>
    </w:lvl>
    <w:lvl w:ilvl="7" w:tplc="F3968240">
      <w:start w:val="1"/>
      <w:numFmt w:val="lowerLetter"/>
      <w:lvlText w:val="%8."/>
      <w:lvlJc w:val="left"/>
      <w:pPr>
        <w:ind w:left="5760" w:hanging="360"/>
      </w:pPr>
    </w:lvl>
    <w:lvl w:ilvl="8" w:tplc="682CE082">
      <w:start w:val="1"/>
      <w:numFmt w:val="lowerRoman"/>
      <w:lvlText w:val="%9."/>
      <w:lvlJc w:val="right"/>
      <w:pPr>
        <w:ind w:left="6480" w:hanging="180"/>
      </w:pPr>
    </w:lvl>
  </w:abstractNum>
  <w:abstractNum w:abstractNumId="173" w15:restartNumberingAfterBreak="0">
    <w:nsid w:val="3B684F80"/>
    <w:multiLevelType w:val="hybridMultilevel"/>
    <w:tmpl w:val="6D5E35EA"/>
    <w:lvl w:ilvl="0" w:tplc="18090017">
      <w:start w:val="1"/>
      <w:numFmt w:val="lowerLetter"/>
      <w:lvlText w:val="%1)"/>
      <w:lvlJc w:val="left"/>
      <w:pPr>
        <w:ind w:left="1069" w:hanging="360"/>
      </w:p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74" w15:restartNumberingAfterBreak="0">
    <w:nsid w:val="3B7F5A7B"/>
    <w:multiLevelType w:val="hybridMultilevel"/>
    <w:tmpl w:val="FFFFFFFF"/>
    <w:lvl w:ilvl="0" w:tplc="A8A8A892">
      <w:start w:val="1"/>
      <w:numFmt w:val="bullet"/>
      <w:lvlText w:val=""/>
      <w:lvlJc w:val="left"/>
      <w:pPr>
        <w:ind w:left="720" w:hanging="360"/>
      </w:pPr>
      <w:rPr>
        <w:rFonts w:ascii="Symbol" w:hAnsi="Symbol" w:hint="default"/>
      </w:rPr>
    </w:lvl>
    <w:lvl w:ilvl="1" w:tplc="8CA41C64">
      <w:start w:val="1"/>
      <w:numFmt w:val="bullet"/>
      <w:lvlText w:val="o"/>
      <w:lvlJc w:val="left"/>
      <w:pPr>
        <w:ind w:left="1440" w:hanging="360"/>
      </w:pPr>
      <w:rPr>
        <w:rFonts w:ascii="Courier New" w:hAnsi="Courier New" w:hint="default"/>
      </w:rPr>
    </w:lvl>
    <w:lvl w:ilvl="2" w:tplc="69520452">
      <w:start w:val="1"/>
      <w:numFmt w:val="bullet"/>
      <w:lvlText w:val=""/>
      <w:lvlJc w:val="left"/>
      <w:pPr>
        <w:ind w:left="2160" w:hanging="360"/>
      </w:pPr>
      <w:rPr>
        <w:rFonts w:ascii="Wingdings" w:hAnsi="Wingdings" w:hint="default"/>
      </w:rPr>
    </w:lvl>
    <w:lvl w:ilvl="3" w:tplc="3B20C54E">
      <w:start w:val="1"/>
      <w:numFmt w:val="bullet"/>
      <w:lvlText w:val=""/>
      <w:lvlJc w:val="left"/>
      <w:pPr>
        <w:ind w:left="2880" w:hanging="360"/>
      </w:pPr>
      <w:rPr>
        <w:rFonts w:ascii="Symbol" w:hAnsi="Symbol" w:hint="default"/>
      </w:rPr>
    </w:lvl>
    <w:lvl w:ilvl="4" w:tplc="DDD60F56">
      <w:start w:val="1"/>
      <w:numFmt w:val="bullet"/>
      <w:lvlText w:val="o"/>
      <w:lvlJc w:val="left"/>
      <w:pPr>
        <w:ind w:left="3600" w:hanging="360"/>
      </w:pPr>
      <w:rPr>
        <w:rFonts w:ascii="Courier New" w:hAnsi="Courier New" w:hint="default"/>
      </w:rPr>
    </w:lvl>
    <w:lvl w:ilvl="5" w:tplc="C78A9DCC">
      <w:start w:val="1"/>
      <w:numFmt w:val="bullet"/>
      <w:lvlText w:val=""/>
      <w:lvlJc w:val="left"/>
      <w:pPr>
        <w:ind w:left="4320" w:hanging="360"/>
      </w:pPr>
      <w:rPr>
        <w:rFonts w:ascii="Wingdings" w:hAnsi="Wingdings" w:hint="default"/>
      </w:rPr>
    </w:lvl>
    <w:lvl w:ilvl="6" w:tplc="44FCDB80">
      <w:start w:val="1"/>
      <w:numFmt w:val="bullet"/>
      <w:lvlText w:val=""/>
      <w:lvlJc w:val="left"/>
      <w:pPr>
        <w:ind w:left="5040" w:hanging="360"/>
      </w:pPr>
      <w:rPr>
        <w:rFonts w:ascii="Symbol" w:hAnsi="Symbol" w:hint="default"/>
      </w:rPr>
    </w:lvl>
    <w:lvl w:ilvl="7" w:tplc="44ACDA96">
      <w:start w:val="1"/>
      <w:numFmt w:val="bullet"/>
      <w:lvlText w:val="o"/>
      <w:lvlJc w:val="left"/>
      <w:pPr>
        <w:ind w:left="5760" w:hanging="360"/>
      </w:pPr>
      <w:rPr>
        <w:rFonts w:ascii="Courier New" w:hAnsi="Courier New" w:hint="default"/>
      </w:rPr>
    </w:lvl>
    <w:lvl w:ilvl="8" w:tplc="69FC611C">
      <w:start w:val="1"/>
      <w:numFmt w:val="bullet"/>
      <w:lvlText w:val=""/>
      <w:lvlJc w:val="left"/>
      <w:pPr>
        <w:ind w:left="6480" w:hanging="360"/>
      </w:pPr>
      <w:rPr>
        <w:rFonts w:ascii="Wingdings" w:hAnsi="Wingdings" w:hint="default"/>
      </w:rPr>
    </w:lvl>
  </w:abstractNum>
  <w:abstractNum w:abstractNumId="175" w15:restartNumberingAfterBreak="0">
    <w:nsid w:val="3C291BF8"/>
    <w:multiLevelType w:val="hybridMultilevel"/>
    <w:tmpl w:val="FFFFFFFF"/>
    <w:lvl w:ilvl="0" w:tplc="B208547A">
      <w:start w:val="1"/>
      <w:numFmt w:val="decimal"/>
      <w:lvlText w:val="%1."/>
      <w:lvlJc w:val="left"/>
      <w:pPr>
        <w:ind w:left="720" w:hanging="360"/>
      </w:pPr>
    </w:lvl>
    <w:lvl w:ilvl="1" w:tplc="48BA55E0">
      <w:start w:val="1"/>
      <w:numFmt w:val="lowerLetter"/>
      <w:lvlText w:val="%2."/>
      <w:lvlJc w:val="left"/>
      <w:pPr>
        <w:ind w:left="1440" w:hanging="360"/>
      </w:pPr>
    </w:lvl>
    <w:lvl w:ilvl="2" w:tplc="FBD24EE2">
      <w:start w:val="1"/>
      <w:numFmt w:val="lowerRoman"/>
      <w:lvlText w:val="%3."/>
      <w:lvlJc w:val="right"/>
      <w:pPr>
        <w:ind w:left="2160" w:hanging="180"/>
      </w:pPr>
    </w:lvl>
    <w:lvl w:ilvl="3" w:tplc="C1C8D0CC">
      <w:start w:val="1"/>
      <w:numFmt w:val="decimal"/>
      <w:lvlText w:val="%4."/>
      <w:lvlJc w:val="left"/>
      <w:pPr>
        <w:ind w:left="2880" w:hanging="360"/>
      </w:pPr>
    </w:lvl>
    <w:lvl w:ilvl="4" w:tplc="DB947D98">
      <w:start w:val="1"/>
      <w:numFmt w:val="lowerLetter"/>
      <w:lvlText w:val="%5."/>
      <w:lvlJc w:val="left"/>
      <w:pPr>
        <w:ind w:left="3600" w:hanging="360"/>
      </w:pPr>
    </w:lvl>
    <w:lvl w:ilvl="5" w:tplc="BD12E13A">
      <w:start w:val="1"/>
      <w:numFmt w:val="lowerRoman"/>
      <w:lvlText w:val="%6."/>
      <w:lvlJc w:val="right"/>
      <w:pPr>
        <w:ind w:left="4320" w:hanging="180"/>
      </w:pPr>
    </w:lvl>
    <w:lvl w:ilvl="6" w:tplc="0D50F84E">
      <w:start w:val="1"/>
      <w:numFmt w:val="decimal"/>
      <w:lvlText w:val="%7."/>
      <w:lvlJc w:val="left"/>
      <w:pPr>
        <w:ind w:left="5040" w:hanging="360"/>
      </w:pPr>
    </w:lvl>
    <w:lvl w:ilvl="7" w:tplc="7CA2C86A">
      <w:start w:val="1"/>
      <w:numFmt w:val="lowerLetter"/>
      <w:lvlText w:val="%8."/>
      <w:lvlJc w:val="left"/>
      <w:pPr>
        <w:ind w:left="5760" w:hanging="360"/>
      </w:pPr>
    </w:lvl>
    <w:lvl w:ilvl="8" w:tplc="11C4EABE">
      <w:start w:val="1"/>
      <w:numFmt w:val="lowerRoman"/>
      <w:lvlText w:val="%9."/>
      <w:lvlJc w:val="right"/>
      <w:pPr>
        <w:ind w:left="6480" w:hanging="180"/>
      </w:pPr>
    </w:lvl>
  </w:abstractNum>
  <w:abstractNum w:abstractNumId="176" w15:restartNumberingAfterBreak="0">
    <w:nsid w:val="3D761110"/>
    <w:multiLevelType w:val="multilevel"/>
    <w:tmpl w:val="A69068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3D85594C"/>
    <w:multiLevelType w:val="multilevel"/>
    <w:tmpl w:val="18FCD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8" w15:restartNumberingAfterBreak="0">
    <w:nsid w:val="3DCCB424"/>
    <w:multiLevelType w:val="hybridMultilevel"/>
    <w:tmpl w:val="FFFFFFFF"/>
    <w:lvl w:ilvl="0" w:tplc="4FDC093E">
      <w:start w:val="4"/>
      <w:numFmt w:val="decimal"/>
      <w:lvlText w:val="%1."/>
      <w:lvlJc w:val="left"/>
      <w:pPr>
        <w:ind w:left="720" w:hanging="360"/>
      </w:pPr>
    </w:lvl>
    <w:lvl w:ilvl="1" w:tplc="E5C0A6EC">
      <w:start w:val="1"/>
      <w:numFmt w:val="lowerLetter"/>
      <w:lvlText w:val="%2."/>
      <w:lvlJc w:val="left"/>
      <w:pPr>
        <w:ind w:left="1440" w:hanging="360"/>
      </w:pPr>
    </w:lvl>
    <w:lvl w:ilvl="2" w:tplc="210E6A04">
      <w:start w:val="1"/>
      <w:numFmt w:val="lowerRoman"/>
      <w:lvlText w:val="%3."/>
      <w:lvlJc w:val="right"/>
      <w:pPr>
        <w:ind w:left="2160" w:hanging="180"/>
      </w:pPr>
    </w:lvl>
    <w:lvl w:ilvl="3" w:tplc="ACAA9282">
      <w:start w:val="1"/>
      <w:numFmt w:val="decimal"/>
      <w:lvlText w:val="%4."/>
      <w:lvlJc w:val="left"/>
      <w:pPr>
        <w:ind w:left="2880" w:hanging="360"/>
      </w:pPr>
    </w:lvl>
    <w:lvl w:ilvl="4" w:tplc="2E1E956E">
      <w:start w:val="1"/>
      <w:numFmt w:val="lowerLetter"/>
      <w:lvlText w:val="%5."/>
      <w:lvlJc w:val="left"/>
      <w:pPr>
        <w:ind w:left="3600" w:hanging="360"/>
      </w:pPr>
    </w:lvl>
    <w:lvl w:ilvl="5" w:tplc="2826B842">
      <w:start w:val="1"/>
      <w:numFmt w:val="lowerRoman"/>
      <w:lvlText w:val="%6."/>
      <w:lvlJc w:val="right"/>
      <w:pPr>
        <w:ind w:left="4320" w:hanging="180"/>
      </w:pPr>
    </w:lvl>
    <w:lvl w:ilvl="6" w:tplc="5F081998">
      <w:start w:val="1"/>
      <w:numFmt w:val="decimal"/>
      <w:lvlText w:val="%7."/>
      <w:lvlJc w:val="left"/>
      <w:pPr>
        <w:ind w:left="5040" w:hanging="360"/>
      </w:pPr>
    </w:lvl>
    <w:lvl w:ilvl="7" w:tplc="540A65FA">
      <w:start w:val="1"/>
      <w:numFmt w:val="lowerLetter"/>
      <w:lvlText w:val="%8."/>
      <w:lvlJc w:val="left"/>
      <w:pPr>
        <w:ind w:left="5760" w:hanging="360"/>
      </w:pPr>
    </w:lvl>
    <w:lvl w:ilvl="8" w:tplc="C142A5AC">
      <w:start w:val="1"/>
      <w:numFmt w:val="lowerRoman"/>
      <w:lvlText w:val="%9."/>
      <w:lvlJc w:val="right"/>
      <w:pPr>
        <w:ind w:left="6480" w:hanging="180"/>
      </w:pPr>
    </w:lvl>
  </w:abstractNum>
  <w:abstractNum w:abstractNumId="179" w15:restartNumberingAfterBreak="0">
    <w:nsid w:val="3DF2CBBC"/>
    <w:multiLevelType w:val="hybridMultilevel"/>
    <w:tmpl w:val="FFFFFFFF"/>
    <w:lvl w:ilvl="0" w:tplc="9DAAF7A2">
      <w:start w:val="3"/>
      <w:numFmt w:val="lowerRoman"/>
      <w:lvlText w:val="%1."/>
      <w:lvlJc w:val="right"/>
      <w:pPr>
        <w:ind w:left="1080" w:hanging="360"/>
      </w:pPr>
    </w:lvl>
    <w:lvl w:ilvl="1" w:tplc="937A367A">
      <w:start w:val="1"/>
      <w:numFmt w:val="lowerLetter"/>
      <w:lvlText w:val="%2."/>
      <w:lvlJc w:val="left"/>
      <w:pPr>
        <w:ind w:left="1440" w:hanging="360"/>
      </w:pPr>
    </w:lvl>
    <w:lvl w:ilvl="2" w:tplc="56509FE4">
      <w:start w:val="1"/>
      <w:numFmt w:val="lowerRoman"/>
      <w:lvlText w:val="%3."/>
      <w:lvlJc w:val="right"/>
      <w:pPr>
        <w:ind w:left="2160" w:hanging="180"/>
      </w:pPr>
    </w:lvl>
    <w:lvl w:ilvl="3" w:tplc="755A7540">
      <w:start w:val="1"/>
      <w:numFmt w:val="decimal"/>
      <w:lvlText w:val="%4."/>
      <w:lvlJc w:val="left"/>
      <w:pPr>
        <w:ind w:left="2880" w:hanging="360"/>
      </w:pPr>
    </w:lvl>
    <w:lvl w:ilvl="4" w:tplc="83747E38">
      <w:start w:val="1"/>
      <w:numFmt w:val="lowerLetter"/>
      <w:lvlText w:val="%5."/>
      <w:lvlJc w:val="left"/>
      <w:pPr>
        <w:ind w:left="3600" w:hanging="360"/>
      </w:pPr>
    </w:lvl>
    <w:lvl w:ilvl="5" w:tplc="A344D91A">
      <w:start w:val="1"/>
      <w:numFmt w:val="lowerRoman"/>
      <w:lvlText w:val="%6."/>
      <w:lvlJc w:val="right"/>
      <w:pPr>
        <w:ind w:left="4320" w:hanging="180"/>
      </w:pPr>
    </w:lvl>
    <w:lvl w:ilvl="6" w:tplc="4DD42A94">
      <w:start w:val="1"/>
      <w:numFmt w:val="decimal"/>
      <w:lvlText w:val="%7."/>
      <w:lvlJc w:val="left"/>
      <w:pPr>
        <w:ind w:left="5040" w:hanging="360"/>
      </w:pPr>
    </w:lvl>
    <w:lvl w:ilvl="7" w:tplc="FC7CDD78">
      <w:start w:val="1"/>
      <w:numFmt w:val="lowerLetter"/>
      <w:lvlText w:val="%8."/>
      <w:lvlJc w:val="left"/>
      <w:pPr>
        <w:ind w:left="5760" w:hanging="360"/>
      </w:pPr>
    </w:lvl>
    <w:lvl w:ilvl="8" w:tplc="CF8CD0A6">
      <w:start w:val="1"/>
      <w:numFmt w:val="lowerRoman"/>
      <w:lvlText w:val="%9."/>
      <w:lvlJc w:val="right"/>
      <w:pPr>
        <w:ind w:left="6480" w:hanging="180"/>
      </w:pPr>
    </w:lvl>
  </w:abstractNum>
  <w:abstractNum w:abstractNumId="180" w15:restartNumberingAfterBreak="0">
    <w:nsid w:val="3DF43027"/>
    <w:multiLevelType w:val="hybridMultilevel"/>
    <w:tmpl w:val="FFFFFFFF"/>
    <w:lvl w:ilvl="0" w:tplc="E3E0AA96">
      <w:start w:val="1"/>
      <w:numFmt w:val="decimal"/>
      <w:lvlText w:val="%1."/>
      <w:lvlJc w:val="left"/>
      <w:pPr>
        <w:ind w:left="720" w:hanging="360"/>
      </w:pPr>
    </w:lvl>
    <w:lvl w:ilvl="1" w:tplc="EBB2A6B2">
      <w:start w:val="6"/>
      <w:numFmt w:val="lowerRoman"/>
      <w:lvlText w:val="%2."/>
      <w:lvlJc w:val="right"/>
      <w:pPr>
        <w:ind w:left="1080" w:hanging="360"/>
      </w:pPr>
    </w:lvl>
    <w:lvl w:ilvl="2" w:tplc="78CC9884">
      <w:start w:val="1"/>
      <w:numFmt w:val="lowerRoman"/>
      <w:lvlText w:val="%3."/>
      <w:lvlJc w:val="right"/>
      <w:pPr>
        <w:ind w:left="2160" w:hanging="180"/>
      </w:pPr>
    </w:lvl>
    <w:lvl w:ilvl="3" w:tplc="696830E4">
      <w:start w:val="1"/>
      <w:numFmt w:val="decimal"/>
      <w:lvlText w:val="%4."/>
      <w:lvlJc w:val="left"/>
      <w:pPr>
        <w:ind w:left="2880" w:hanging="360"/>
      </w:pPr>
    </w:lvl>
    <w:lvl w:ilvl="4" w:tplc="1A405334">
      <w:start w:val="1"/>
      <w:numFmt w:val="lowerLetter"/>
      <w:lvlText w:val="%5."/>
      <w:lvlJc w:val="left"/>
      <w:pPr>
        <w:ind w:left="3600" w:hanging="360"/>
      </w:pPr>
    </w:lvl>
    <w:lvl w:ilvl="5" w:tplc="8410D5EA">
      <w:start w:val="1"/>
      <w:numFmt w:val="lowerRoman"/>
      <w:lvlText w:val="%6."/>
      <w:lvlJc w:val="right"/>
      <w:pPr>
        <w:ind w:left="4320" w:hanging="180"/>
      </w:pPr>
    </w:lvl>
    <w:lvl w:ilvl="6" w:tplc="1612EE04">
      <w:start w:val="1"/>
      <w:numFmt w:val="decimal"/>
      <w:lvlText w:val="%7."/>
      <w:lvlJc w:val="left"/>
      <w:pPr>
        <w:ind w:left="5040" w:hanging="360"/>
      </w:pPr>
    </w:lvl>
    <w:lvl w:ilvl="7" w:tplc="971C8B46">
      <w:start w:val="1"/>
      <w:numFmt w:val="lowerLetter"/>
      <w:lvlText w:val="%8."/>
      <w:lvlJc w:val="left"/>
      <w:pPr>
        <w:ind w:left="5760" w:hanging="360"/>
      </w:pPr>
    </w:lvl>
    <w:lvl w:ilvl="8" w:tplc="A20AF5E0">
      <w:start w:val="1"/>
      <w:numFmt w:val="lowerRoman"/>
      <w:lvlText w:val="%9."/>
      <w:lvlJc w:val="right"/>
      <w:pPr>
        <w:ind w:left="6480" w:hanging="180"/>
      </w:pPr>
    </w:lvl>
  </w:abstractNum>
  <w:abstractNum w:abstractNumId="181" w15:restartNumberingAfterBreak="0">
    <w:nsid w:val="3E427376"/>
    <w:multiLevelType w:val="hybridMultilevel"/>
    <w:tmpl w:val="E6A26BB2"/>
    <w:lvl w:ilvl="0" w:tplc="E7E02F90">
      <w:start w:val="2"/>
      <w:numFmt w:val="decimal"/>
      <w:lvlText w:val="%1."/>
      <w:lvlJc w:val="left"/>
      <w:pPr>
        <w:ind w:left="720" w:hanging="360"/>
      </w:pPr>
    </w:lvl>
    <w:lvl w:ilvl="1" w:tplc="FB9E90EC">
      <w:start w:val="1"/>
      <w:numFmt w:val="lowerLetter"/>
      <w:lvlText w:val="%2."/>
      <w:lvlJc w:val="left"/>
      <w:pPr>
        <w:ind w:left="1440" w:hanging="360"/>
      </w:pPr>
    </w:lvl>
    <w:lvl w:ilvl="2" w:tplc="0FA47222">
      <w:start w:val="1"/>
      <w:numFmt w:val="lowerRoman"/>
      <w:lvlText w:val="%3."/>
      <w:lvlJc w:val="right"/>
      <w:pPr>
        <w:ind w:left="2160" w:hanging="180"/>
      </w:pPr>
    </w:lvl>
    <w:lvl w:ilvl="3" w:tplc="F25683E6">
      <w:start w:val="1"/>
      <w:numFmt w:val="decimal"/>
      <w:lvlText w:val="%4."/>
      <w:lvlJc w:val="left"/>
      <w:pPr>
        <w:ind w:left="2880" w:hanging="360"/>
      </w:pPr>
    </w:lvl>
    <w:lvl w:ilvl="4" w:tplc="70829ABE">
      <w:start w:val="1"/>
      <w:numFmt w:val="lowerLetter"/>
      <w:lvlText w:val="%5."/>
      <w:lvlJc w:val="left"/>
      <w:pPr>
        <w:ind w:left="3600" w:hanging="360"/>
      </w:pPr>
    </w:lvl>
    <w:lvl w:ilvl="5" w:tplc="DF3A36FA">
      <w:start w:val="1"/>
      <w:numFmt w:val="lowerRoman"/>
      <w:lvlText w:val="%6."/>
      <w:lvlJc w:val="right"/>
      <w:pPr>
        <w:ind w:left="4320" w:hanging="180"/>
      </w:pPr>
    </w:lvl>
    <w:lvl w:ilvl="6" w:tplc="A6D83B90">
      <w:start w:val="1"/>
      <w:numFmt w:val="decimal"/>
      <w:lvlText w:val="%7."/>
      <w:lvlJc w:val="left"/>
      <w:pPr>
        <w:ind w:left="5040" w:hanging="360"/>
      </w:pPr>
    </w:lvl>
    <w:lvl w:ilvl="7" w:tplc="639CB248">
      <w:start w:val="1"/>
      <w:numFmt w:val="lowerLetter"/>
      <w:lvlText w:val="%8."/>
      <w:lvlJc w:val="left"/>
      <w:pPr>
        <w:ind w:left="5760" w:hanging="360"/>
      </w:pPr>
    </w:lvl>
    <w:lvl w:ilvl="8" w:tplc="18CA7A76">
      <w:start w:val="1"/>
      <w:numFmt w:val="lowerRoman"/>
      <w:lvlText w:val="%9."/>
      <w:lvlJc w:val="right"/>
      <w:pPr>
        <w:ind w:left="6480" w:hanging="180"/>
      </w:pPr>
    </w:lvl>
  </w:abstractNum>
  <w:abstractNum w:abstractNumId="182" w15:restartNumberingAfterBreak="0">
    <w:nsid w:val="3E58A596"/>
    <w:multiLevelType w:val="hybridMultilevel"/>
    <w:tmpl w:val="FFFFFFFF"/>
    <w:lvl w:ilvl="0" w:tplc="DEEEE3E4">
      <w:start w:val="1"/>
      <w:numFmt w:val="decimal"/>
      <w:lvlText w:val="%1."/>
      <w:lvlJc w:val="left"/>
      <w:pPr>
        <w:ind w:left="720" w:hanging="360"/>
      </w:pPr>
    </w:lvl>
    <w:lvl w:ilvl="1" w:tplc="1E70178C">
      <w:start w:val="3"/>
      <w:numFmt w:val="lowerLetter"/>
      <w:lvlText w:val="%2."/>
      <w:lvlJc w:val="left"/>
      <w:pPr>
        <w:ind w:left="1440" w:hanging="360"/>
      </w:pPr>
    </w:lvl>
    <w:lvl w:ilvl="2" w:tplc="CE343D1A">
      <w:start w:val="1"/>
      <w:numFmt w:val="lowerRoman"/>
      <w:lvlText w:val="%3."/>
      <w:lvlJc w:val="right"/>
      <w:pPr>
        <w:ind w:left="2160" w:hanging="180"/>
      </w:pPr>
    </w:lvl>
    <w:lvl w:ilvl="3" w:tplc="A2A2C910">
      <w:start w:val="1"/>
      <w:numFmt w:val="decimal"/>
      <w:lvlText w:val="%4."/>
      <w:lvlJc w:val="left"/>
      <w:pPr>
        <w:ind w:left="2880" w:hanging="360"/>
      </w:pPr>
    </w:lvl>
    <w:lvl w:ilvl="4" w:tplc="0186ABC4">
      <w:start w:val="1"/>
      <w:numFmt w:val="lowerLetter"/>
      <w:lvlText w:val="%5."/>
      <w:lvlJc w:val="left"/>
      <w:pPr>
        <w:ind w:left="3600" w:hanging="360"/>
      </w:pPr>
    </w:lvl>
    <w:lvl w:ilvl="5" w:tplc="00425EDC">
      <w:start w:val="1"/>
      <w:numFmt w:val="lowerRoman"/>
      <w:lvlText w:val="%6."/>
      <w:lvlJc w:val="right"/>
      <w:pPr>
        <w:ind w:left="4320" w:hanging="180"/>
      </w:pPr>
    </w:lvl>
    <w:lvl w:ilvl="6" w:tplc="95E88268">
      <w:start w:val="1"/>
      <w:numFmt w:val="decimal"/>
      <w:lvlText w:val="%7."/>
      <w:lvlJc w:val="left"/>
      <w:pPr>
        <w:ind w:left="5040" w:hanging="360"/>
      </w:pPr>
    </w:lvl>
    <w:lvl w:ilvl="7" w:tplc="55201CA6">
      <w:start w:val="1"/>
      <w:numFmt w:val="lowerLetter"/>
      <w:lvlText w:val="%8."/>
      <w:lvlJc w:val="left"/>
      <w:pPr>
        <w:ind w:left="5760" w:hanging="360"/>
      </w:pPr>
    </w:lvl>
    <w:lvl w:ilvl="8" w:tplc="589A8BA2">
      <w:start w:val="1"/>
      <w:numFmt w:val="lowerRoman"/>
      <w:lvlText w:val="%9."/>
      <w:lvlJc w:val="right"/>
      <w:pPr>
        <w:ind w:left="6480" w:hanging="180"/>
      </w:pPr>
    </w:lvl>
  </w:abstractNum>
  <w:abstractNum w:abstractNumId="183" w15:restartNumberingAfterBreak="0">
    <w:nsid w:val="3EE34B57"/>
    <w:multiLevelType w:val="hybridMultilevel"/>
    <w:tmpl w:val="3C56098E"/>
    <w:lvl w:ilvl="0" w:tplc="D35E365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3F084F3A"/>
    <w:multiLevelType w:val="hybridMultilevel"/>
    <w:tmpl w:val="4C164D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3FF0E36E"/>
    <w:multiLevelType w:val="hybridMultilevel"/>
    <w:tmpl w:val="FFFFFFFF"/>
    <w:lvl w:ilvl="0" w:tplc="1F1A78CE">
      <w:start w:val="1"/>
      <w:numFmt w:val="decimal"/>
      <w:lvlText w:val="%1."/>
      <w:lvlJc w:val="left"/>
      <w:pPr>
        <w:ind w:left="720" w:hanging="360"/>
      </w:pPr>
    </w:lvl>
    <w:lvl w:ilvl="1" w:tplc="E90ADC6A">
      <w:start w:val="1"/>
      <w:numFmt w:val="lowerRoman"/>
      <w:lvlText w:val="%2."/>
      <w:lvlJc w:val="right"/>
      <w:pPr>
        <w:ind w:left="1440" w:hanging="360"/>
      </w:pPr>
    </w:lvl>
    <w:lvl w:ilvl="2" w:tplc="89FC1078">
      <w:start w:val="1"/>
      <w:numFmt w:val="lowerRoman"/>
      <w:lvlText w:val="%3."/>
      <w:lvlJc w:val="right"/>
      <w:pPr>
        <w:ind w:left="2160" w:hanging="180"/>
      </w:pPr>
    </w:lvl>
    <w:lvl w:ilvl="3" w:tplc="1B0C19D8">
      <w:start w:val="1"/>
      <w:numFmt w:val="decimal"/>
      <w:lvlText w:val="%4."/>
      <w:lvlJc w:val="left"/>
      <w:pPr>
        <w:ind w:left="2880" w:hanging="360"/>
      </w:pPr>
    </w:lvl>
    <w:lvl w:ilvl="4" w:tplc="F6A49D3E">
      <w:start w:val="1"/>
      <w:numFmt w:val="lowerLetter"/>
      <w:lvlText w:val="%5."/>
      <w:lvlJc w:val="left"/>
      <w:pPr>
        <w:ind w:left="3600" w:hanging="360"/>
      </w:pPr>
    </w:lvl>
    <w:lvl w:ilvl="5" w:tplc="BB705E2E">
      <w:start w:val="1"/>
      <w:numFmt w:val="lowerRoman"/>
      <w:lvlText w:val="%6."/>
      <w:lvlJc w:val="right"/>
      <w:pPr>
        <w:ind w:left="4320" w:hanging="180"/>
      </w:pPr>
    </w:lvl>
    <w:lvl w:ilvl="6" w:tplc="5E9CEE8C">
      <w:start w:val="1"/>
      <w:numFmt w:val="decimal"/>
      <w:lvlText w:val="%7."/>
      <w:lvlJc w:val="left"/>
      <w:pPr>
        <w:ind w:left="5040" w:hanging="360"/>
      </w:pPr>
    </w:lvl>
    <w:lvl w:ilvl="7" w:tplc="1DA46600">
      <w:start w:val="1"/>
      <w:numFmt w:val="lowerLetter"/>
      <w:lvlText w:val="%8."/>
      <w:lvlJc w:val="left"/>
      <w:pPr>
        <w:ind w:left="5760" w:hanging="360"/>
      </w:pPr>
    </w:lvl>
    <w:lvl w:ilvl="8" w:tplc="AA68E804">
      <w:start w:val="1"/>
      <w:numFmt w:val="lowerRoman"/>
      <w:lvlText w:val="%9."/>
      <w:lvlJc w:val="right"/>
      <w:pPr>
        <w:ind w:left="6480" w:hanging="180"/>
      </w:pPr>
    </w:lvl>
  </w:abstractNum>
  <w:abstractNum w:abstractNumId="186" w15:restartNumberingAfterBreak="0">
    <w:nsid w:val="40189F16"/>
    <w:multiLevelType w:val="hybridMultilevel"/>
    <w:tmpl w:val="FFFFFFFF"/>
    <w:lvl w:ilvl="0" w:tplc="6942828C">
      <w:start w:val="1"/>
      <w:numFmt w:val="bullet"/>
      <w:lvlText w:val=""/>
      <w:lvlJc w:val="left"/>
      <w:pPr>
        <w:ind w:left="720" w:hanging="360"/>
      </w:pPr>
      <w:rPr>
        <w:rFonts w:ascii="Symbol" w:hAnsi="Symbol" w:hint="default"/>
      </w:rPr>
    </w:lvl>
    <w:lvl w:ilvl="1" w:tplc="B1CEBDE2">
      <w:start w:val="1"/>
      <w:numFmt w:val="bullet"/>
      <w:lvlText w:val="o"/>
      <w:lvlJc w:val="left"/>
      <w:pPr>
        <w:ind w:left="1440" w:hanging="360"/>
      </w:pPr>
      <w:rPr>
        <w:rFonts w:ascii="Courier New" w:hAnsi="Courier New" w:hint="default"/>
      </w:rPr>
    </w:lvl>
    <w:lvl w:ilvl="2" w:tplc="1AB632EA">
      <w:start w:val="1"/>
      <w:numFmt w:val="bullet"/>
      <w:lvlText w:val=""/>
      <w:lvlJc w:val="left"/>
      <w:pPr>
        <w:ind w:left="2160" w:hanging="360"/>
      </w:pPr>
      <w:rPr>
        <w:rFonts w:ascii="Wingdings" w:hAnsi="Wingdings" w:hint="default"/>
      </w:rPr>
    </w:lvl>
    <w:lvl w:ilvl="3" w:tplc="8E3AAF7E">
      <w:start w:val="1"/>
      <w:numFmt w:val="bullet"/>
      <w:lvlText w:val=""/>
      <w:lvlJc w:val="left"/>
      <w:pPr>
        <w:ind w:left="2880" w:hanging="360"/>
      </w:pPr>
      <w:rPr>
        <w:rFonts w:ascii="Symbol" w:hAnsi="Symbol" w:hint="default"/>
      </w:rPr>
    </w:lvl>
    <w:lvl w:ilvl="4" w:tplc="06A66DA4">
      <w:start w:val="1"/>
      <w:numFmt w:val="bullet"/>
      <w:lvlText w:val="o"/>
      <w:lvlJc w:val="left"/>
      <w:pPr>
        <w:ind w:left="3600" w:hanging="360"/>
      </w:pPr>
      <w:rPr>
        <w:rFonts w:ascii="Courier New" w:hAnsi="Courier New" w:hint="default"/>
      </w:rPr>
    </w:lvl>
    <w:lvl w:ilvl="5" w:tplc="95F0C3C6">
      <w:start w:val="1"/>
      <w:numFmt w:val="bullet"/>
      <w:lvlText w:val=""/>
      <w:lvlJc w:val="left"/>
      <w:pPr>
        <w:ind w:left="4320" w:hanging="360"/>
      </w:pPr>
      <w:rPr>
        <w:rFonts w:ascii="Wingdings" w:hAnsi="Wingdings" w:hint="default"/>
      </w:rPr>
    </w:lvl>
    <w:lvl w:ilvl="6" w:tplc="F6BEA340">
      <w:start w:val="1"/>
      <w:numFmt w:val="bullet"/>
      <w:lvlText w:val=""/>
      <w:lvlJc w:val="left"/>
      <w:pPr>
        <w:ind w:left="5040" w:hanging="360"/>
      </w:pPr>
      <w:rPr>
        <w:rFonts w:ascii="Symbol" w:hAnsi="Symbol" w:hint="default"/>
      </w:rPr>
    </w:lvl>
    <w:lvl w:ilvl="7" w:tplc="75666744">
      <w:start w:val="1"/>
      <w:numFmt w:val="bullet"/>
      <w:lvlText w:val="o"/>
      <w:lvlJc w:val="left"/>
      <w:pPr>
        <w:ind w:left="5760" w:hanging="360"/>
      </w:pPr>
      <w:rPr>
        <w:rFonts w:ascii="Courier New" w:hAnsi="Courier New" w:hint="default"/>
      </w:rPr>
    </w:lvl>
    <w:lvl w:ilvl="8" w:tplc="02FCFC2A">
      <w:start w:val="1"/>
      <w:numFmt w:val="bullet"/>
      <w:lvlText w:val=""/>
      <w:lvlJc w:val="left"/>
      <w:pPr>
        <w:ind w:left="6480" w:hanging="360"/>
      </w:pPr>
      <w:rPr>
        <w:rFonts w:ascii="Wingdings" w:hAnsi="Wingdings" w:hint="default"/>
      </w:rPr>
    </w:lvl>
  </w:abstractNum>
  <w:abstractNum w:abstractNumId="187" w15:restartNumberingAfterBreak="0">
    <w:nsid w:val="409A090C"/>
    <w:multiLevelType w:val="multilevel"/>
    <w:tmpl w:val="CE5EA90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8" w15:restartNumberingAfterBreak="0">
    <w:nsid w:val="40B7791F"/>
    <w:multiLevelType w:val="multilevel"/>
    <w:tmpl w:val="C598F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4100F493"/>
    <w:multiLevelType w:val="hybridMultilevel"/>
    <w:tmpl w:val="FFFFFFFF"/>
    <w:lvl w:ilvl="0" w:tplc="B22842C8">
      <w:start w:val="8"/>
      <w:numFmt w:val="lowerRoman"/>
      <w:lvlText w:val="%1."/>
      <w:lvlJc w:val="right"/>
      <w:pPr>
        <w:ind w:left="1080" w:hanging="360"/>
      </w:pPr>
    </w:lvl>
    <w:lvl w:ilvl="1" w:tplc="85F2F99E">
      <w:start w:val="1"/>
      <w:numFmt w:val="lowerLetter"/>
      <w:lvlText w:val="%2."/>
      <w:lvlJc w:val="left"/>
      <w:pPr>
        <w:ind w:left="1440" w:hanging="360"/>
      </w:pPr>
    </w:lvl>
    <w:lvl w:ilvl="2" w:tplc="D67C0340">
      <w:start w:val="1"/>
      <w:numFmt w:val="lowerRoman"/>
      <w:lvlText w:val="%3."/>
      <w:lvlJc w:val="right"/>
      <w:pPr>
        <w:ind w:left="2160" w:hanging="180"/>
      </w:pPr>
    </w:lvl>
    <w:lvl w:ilvl="3" w:tplc="2E746A46">
      <w:start w:val="1"/>
      <w:numFmt w:val="decimal"/>
      <w:lvlText w:val="%4."/>
      <w:lvlJc w:val="left"/>
      <w:pPr>
        <w:ind w:left="2880" w:hanging="360"/>
      </w:pPr>
    </w:lvl>
    <w:lvl w:ilvl="4" w:tplc="557E545C">
      <w:start w:val="1"/>
      <w:numFmt w:val="lowerLetter"/>
      <w:lvlText w:val="%5."/>
      <w:lvlJc w:val="left"/>
      <w:pPr>
        <w:ind w:left="3600" w:hanging="360"/>
      </w:pPr>
    </w:lvl>
    <w:lvl w:ilvl="5" w:tplc="D5A48E3E">
      <w:start w:val="1"/>
      <w:numFmt w:val="lowerRoman"/>
      <w:lvlText w:val="%6."/>
      <w:lvlJc w:val="right"/>
      <w:pPr>
        <w:ind w:left="4320" w:hanging="180"/>
      </w:pPr>
    </w:lvl>
    <w:lvl w:ilvl="6" w:tplc="766EBB18">
      <w:start w:val="1"/>
      <w:numFmt w:val="decimal"/>
      <w:lvlText w:val="%7."/>
      <w:lvlJc w:val="left"/>
      <w:pPr>
        <w:ind w:left="5040" w:hanging="360"/>
      </w:pPr>
    </w:lvl>
    <w:lvl w:ilvl="7" w:tplc="1ECE364E">
      <w:start w:val="1"/>
      <w:numFmt w:val="lowerLetter"/>
      <w:lvlText w:val="%8."/>
      <w:lvlJc w:val="left"/>
      <w:pPr>
        <w:ind w:left="5760" w:hanging="360"/>
      </w:pPr>
    </w:lvl>
    <w:lvl w:ilvl="8" w:tplc="D2CC563C">
      <w:start w:val="1"/>
      <w:numFmt w:val="lowerRoman"/>
      <w:lvlText w:val="%9."/>
      <w:lvlJc w:val="right"/>
      <w:pPr>
        <w:ind w:left="6480" w:hanging="180"/>
      </w:pPr>
    </w:lvl>
  </w:abstractNum>
  <w:abstractNum w:abstractNumId="190" w15:restartNumberingAfterBreak="0">
    <w:nsid w:val="4106484C"/>
    <w:multiLevelType w:val="hybridMultilevel"/>
    <w:tmpl w:val="14426AF8"/>
    <w:lvl w:ilvl="0" w:tplc="4372B89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4106FC49"/>
    <w:multiLevelType w:val="hybridMultilevel"/>
    <w:tmpl w:val="FFFFFFFF"/>
    <w:lvl w:ilvl="0" w:tplc="7174DC60">
      <w:start w:val="2"/>
      <w:numFmt w:val="decimal"/>
      <w:lvlText w:val="%1."/>
      <w:lvlJc w:val="left"/>
      <w:pPr>
        <w:ind w:left="720" w:hanging="360"/>
      </w:pPr>
    </w:lvl>
    <w:lvl w:ilvl="1" w:tplc="EAF8AC92">
      <w:start w:val="1"/>
      <w:numFmt w:val="lowerLetter"/>
      <w:lvlText w:val="%2."/>
      <w:lvlJc w:val="left"/>
      <w:pPr>
        <w:ind w:left="1440" w:hanging="360"/>
      </w:pPr>
    </w:lvl>
    <w:lvl w:ilvl="2" w:tplc="C890E090">
      <w:start w:val="1"/>
      <w:numFmt w:val="lowerRoman"/>
      <w:lvlText w:val="%3."/>
      <w:lvlJc w:val="right"/>
      <w:pPr>
        <w:ind w:left="2160" w:hanging="180"/>
      </w:pPr>
    </w:lvl>
    <w:lvl w:ilvl="3" w:tplc="B2E22688">
      <w:start w:val="1"/>
      <w:numFmt w:val="decimal"/>
      <w:lvlText w:val="%4."/>
      <w:lvlJc w:val="left"/>
      <w:pPr>
        <w:ind w:left="2880" w:hanging="360"/>
      </w:pPr>
    </w:lvl>
    <w:lvl w:ilvl="4" w:tplc="7ED2DC1A">
      <w:start w:val="1"/>
      <w:numFmt w:val="lowerLetter"/>
      <w:lvlText w:val="%5."/>
      <w:lvlJc w:val="left"/>
      <w:pPr>
        <w:ind w:left="3600" w:hanging="360"/>
      </w:pPr>
    </w:lvl>
    <w:lvl w:ilvl="5" w:tplc="4EE4D726">
      <w:start w:val="1"/>
      <w:numFmt w:val="lowerRoman"/>
      <w:lvlText w:val="%6."/>
      <w:lvlJc w:val="right"/>
      <w:pPr>
        <w:ind w:left="4320" w:hanging="180"/>
      </w:pPr>
    </w:lvl>
    <w:lvl w:ilvl="6" w:tplc="8730C968">
      <w:start w:val="1"/>
      <w:numFmt w:val="decimal"/>
      <w:lvlText w:val="%7."/>
      <w:lvlJc w:val="left"/>
      <w:pPr>
        <w:ind w:left="5040" w:hanging="360"/>
      </w:pPr>
    </w:lvl>
    <w:lvl w:ilvl="7" w:tplc="2F5C6A68">
      <w:start w:val="1"/>
      <w:numFmt w:val="lowerLetter"/>
      <w:lvlText w:val="%8."/>
      <w:lvlJc w:val="left"/>
      <w:pPr>
        <w:ind w:left="5760" w:hanging="360"/>
      </w:pPr>
    </w:lvl>
    <w:lvl w:ilvl="8" w:tplc="8B362D86">
      <w:start w:val="1"/>
      <w:numFmt w:val="lowerRoman"/>
      <w:lvlText w:val="%9."/>
      <w:lvlJc w:val="right"/>
      <w:pPr>
        <w:ind w:left="6480" w:hanging="180"/>
      </w:pPr>
    </w:lvl>
  </w:abstractNum>
  <w:abstractNum w:abstractNumId="192" w15:restartNumberingAfterBreak="0">
    <w:nsid w:val="4143C15F"/>
    <w:multiLevelType w:val="hybridMultilevel"/>
    <w:tmpl w:val="FFFFFFFF"/>
    <w:lvl w:ilvl="0" w:tplc="7F02CED2">
      <w:start w:val="4"/>
      <w:numFmt w:val="decimal"/>
      <w:lvlText w:val="%1."/>
      <w:lvlJc w:val="left"/>
      <w:pPr>
        <w:ind w:left="720" w:hanging="360"/>
      </w:pPr>
    </w:lvl>
    <w:lvl w:ilvl="1" w:tplc="E2660872">
      <w:start w:val="1"/>
      <w:numFmt w:val="lowerLetter"/>
      <w:lvlText w:val="%2."/>
      <w:lvlJc w:val="left"/>
      <w:pPr>
        <w:ind w:left="1440" w:hanging="360"/>
      </w:pPr>
    </w:lvl>
    <w:lvl w:ilvl="2" w:tplc="39DC1634">
      <w:start w:val="1"/>
      <w:numFmt w:val="lowerRoman"/>
      <w:lvlText w:val="%3."/>
      <w:lvlJc w:val="right"/>
      <w:pPr>
        <w:ind w:left="2160" w:hanging="180"/>
      </w:pPr>
    </w:lvl>
    <w:lvl w:ilvl="3" w:tplc="21C4DBF6">
      <w:start w:val="1"/>
      <w:numFmt w:val="decimal"/>
      <w:lvlText w:val="%4."/>
      <w:lvlJc w:val="left"/>
      <w:pPr>
        <w:ind w:left="2880" w:hanging="360"/>
      </w:pPr>
    </w:lvl>
    <w:lvl w:ilvl="4" w:tplc="2C9CC832">
      <w:start w:val="1"/>
      <w:numFmt w:val="lowerLetter"/>
      <w:lvlText w:val="%5."/>
      <w:lvlJc w:val="left"/>
      <w:pPr>
        <w:ind w:left="3600" w:hanging="360"/>
      </w:pPr>
    </w:lvl>
    <w:lvl w:ilvl="5" w:tplc="C4C2E874">
      <w:start w:val="1"/>
      <w:numFmt w:val="lowerRoman"/>
      <w:lvlText w:val="%6."/>
      <w:lvlJc w:val="right"/>
      <w:pPr>
        <w:ind w:left="4320" w:hanging="180"/>
      </w:pPr>
    </w:lvl>
    <w:lvl w:ilvl="6" w:tplc="36745368">
      <w:start w:val="1"/>
      <w:numFmt w:val="decimal"/>
      <w:lvlText w:val="%7."/>
      <w:lvlJc w:val="left"/>
      <w:pPr>
        <w:ind w:left="5040" w:hanging="360"/>
      </w:pPr>
    </w:lvl>
    <w:lvl w:ilvl="7" w:tplc="17348E42">
      <w:start w:val="1"/>
      <w:numFmt w:val="lowerLetter"/>
      <w:lvlText w:val="%8."/>
      <w:lvlJc w:val="left"/>
      <w:pPr>
        <w:ind w:left="5760" w:hanging="360"/>
      </w:pPr>
    </w:lvl>
    <w:lvl w:ilvl="8" w:tplc="F9527456">
      <w:start w:val="1"/>
      <w:numFmt w:val="lowerRoman"/>
      <w:lvlText w:val="%9."/>
      <w:lvlJc w:val="right"/>
      <w:pPr>
        <w:ind w:left="6480" w:hanging="180"/>
      </w:pPr>
    </w:lvl>
  </w:abstractNum>
  <w:abstractNum w:abstractNumId="193" w15:restartNumberingAfterBreak="0">
    <w:nsid w:val="41914B31"/>
    <w:multiLevelType w:val="hybridMultilevel"/>
    <w:tmpl w:val="FFFFFFFF"/>
    <w:lvl w:ilvl="0" w:tplc="86DAFBA4">
      <w:start w:val="1"/>
      <w:numFmt w:val="bullet"/>
      <w:lvlText w:val="·"/>
      <w:lvlJc w:val="left"/>
      <w:pPr>
        <w:ind w:left="720" w:hanging="360"/>
      </w:pPr>
      <w:rPr>
        <w:rFonts w:ascii="&quot;Times New Roman&quot;,serif" w:hAnsi="&quot;Times New Roman&quot;,serif" w:hint="default"/>
      </w:rPr>
    </w:lvl>
    <w:lvl w:ilvl="1" w:tplc="8B1E71CA">
      <w:start w:val="1"/>
      <w:numFmt w:val="bullet"/>
      <w:lvlText w:val="o"/>
      <w:lvlJc w:val="left"/>
      <w:pPr>
        <w:ind w:left="1440" w:hanging="360"/>
      </w:pPr>
      <w:rPr>
        <w:rFonts w:ascii="Courier New" w:hAnsi="Courier New" w:hint="default"/>
      </w:rPr>
    </w:lvl>
    <w:lvl w:ilvl="2" w:tplc="CED2EE88">
      <w:start w:val="1"/>
      <w:numFmt w:val="bullet"/>
      <w:lvlText w:val=""/>
      <w:lvlJc w:val="left"/>
      <w:pPr>
        <w:ind w:left="2160" w:hanging="360"/>
      </w:pPr>
      <w:rPr>
        <w:rFonts w:ascii="Wingdings" w:hAnsi="Wingdings" w:hint="default"/>
      </w:rPr>
    </w:lvl>
    <w:lvl w:ilvl="3" w:tplc="577C925C">
      <w:start w:val="1"/>
      <w:numFmt w:val="bullet"/>
      <w:lvlText w:val=""/>
      <w:lvlJc w:val="left"/>
      <w:pPr>
        <w:ind w:left="2880" w:hanging="360"/>
      </w:pPr>
      <w:rPr>
        <w:rFonts w:ascii="Symbol" w:hAnsi="Symbol" w:hint="default"/>
      </w:rPr>
    </w:lvl>
    <w:lvl w:ilvl="4" w:tplc="46741FEA">
      <w:start w:val="1"/>
      <w:numFmt w:val="bullet"/>
      <w:lvlText w:val="o"/>
      <w:lvlJc w:val="left"/>
      <w:pPr>
        <w:ind w:left="3600" w:hanging="360"/>
      </w:pPr>
      <w:rPr>
        <w:rFonts w:ascii="Courier New" w:hAnsi="Courier New" w:hint="default"/>
      </w:rPr>
    </w:lvl>
    <w:lvl w:ilvl="5" w:tplc="E03E44B4">
      <w:start w:val="1"/>
      <w:numFmt w:val="bullet"/>
      <w:lvlText w:val=""/>
      <w:lvlJc w:val="left"/>
      <w:pPr>
        <w:ind w:left="4320" w:hanging="360"/>
      </w:pPr>
      <w:rPr>
        <w:rFonts w:ascii="Wingdings" w:hAnsi="Wingdings" w:hint="default"/>
      </w:rPr>
    </w:lvl>
    <w:lvl w:ilvl="6" w:tplc="3ACE58B8">
      <w:start w:val="1"/>
      <w:numFmt w:val="bullet"/>
      <w:lvlText w:val=""/>
      <w:lvlJc w:val="left"/>
      <w:pPr>
        <w:ind w:left="5040" w:hanging="360"/>
      </w:pPr>
      <w:rPr>
        <w:rFonts w:ascii="Symbol" w:hAnsi="Symbol" w:hint="default"/>
      </w:rPr>
    </w:lvl>
    <w:lvl w:ilvl="7" w:tplc="225200A6">
      <w:start w:val="1"/>
      <w:numFmt w:val="bullet"/>
      <w:lvlText w:val="o"/>
      <w:lvlJc w:val="left"/>
      <w:pPr>
        <w:ind w:left="5760" w:hanging="360"/>
      </w:pPr>
      <w:rPr>
        <w:rFonts w:ascii="Courier New" w:hAnsi="Courier New" w:hint="default"/>
      </w:rPr>
    </w:lvl>
    <w:lvl w:ilvl="8" w:tplc="24A06AFC">
      <w:start w:val="1"/>
      <w:numFmt w:val="bullet"/>
      <w:lvlText w:val=""/>
      <w:lvlJc w:val="left"/>
      <w:pPr>
        <w:ind w:left="6480" w:hanging="360"/>
      </w:pPr>
      <w:rPr>
        <w:rFonts w:ascii="Wingdings" w:hAnsi="Wingdings" w:hint="default"/>
      </w:rPr>
    </w:lvl>
  </w:abstractNum>
  <w:abstractNum w:abstractNumId="194" w15:restartNumberingAfterBreak="0">
    <w:nsid w:val="4199D7FA"/>
    <w:multiLevelType w:val="hybridMultilevel"/>
    <w:tmpl w:val="FFFFFFFF"/>
    <w:lvl w:ilvl="0" w:tplc="B22CBFDE">
      <w:start w:val="3"/>
      <w:numFmt w:val="decimal"/>
      <w:lvlText w:val="%1."/>
      <w:lvlJc w:val="left"/>
      <w:pPr>
        <w:ind w:left="720" w:hanging="360"/>
      </w:pPr>
    </w:lvl>
    <w:lvl w:ilvl="1" w:tplc="467A2120">
      <w:start w:val="1"/>
      <w:numFmt w:val="lowerLetter"/>
      <w:lvlText w:val="%2."/>
      <w:lvlJc w:val="left"/>
      <w:pPr>
        <w:ind w:left="1440" w:hanging="360"/>
      </w:pPr>
    </w:lvl>
    <w:lvl w:ilvl="2" w:tplc="22046D08">
      <w:start w:val="1"/>
      <w:numFmt w:val="lowerRoman"/>
      <w:lvlText w:val="%3."/>
      <w:lvlJc w:val="right"/>
      <w:pPr>
        <w:ind w:left="2160" w:hanging="180"/>
      </w:pPr>
    </w:lvl>
    <w:lvl w:ilvl="3" w:tplc="2A36C27E">
      <w:start w:val="1"/>
      <w:numFmt w:val="decimal"/>
      <w:lvlText w:val="%4."/>
      <w:lvlJc w:val="left"/>
      <w:pPr>
        <w:ind w:left="2880" w:hanging="360"/>
      </w:pPr>
    </w:lvl>
    <w:lvl w:ilvl="4" w:tplc="DE7CF8FE">
      <w:start w:val="1"/>
      <w:numFmt w:val="lowerLetter"/>
      <w:lvlText w:val="%5."/>
      <w:lvlJc w:val="left"/>
      <w:pPr>
        <w:ind w:left="3600" w:hanging="360"/>
      </w:pPr>
    </w:lvl>
    <w:lvl w:ilvl="5" w:tplc="E08CDA10">
      <w:start w:val="1"/>
      <w:numFmt w:val="lowerRoman"/>
      <w:lvlText w:val="%6."/>
      <w:lvlJc w:val="right"/>
      <w:pPr>
        <w:ind w:left="4320" w:hanging="180"/>
      </w:pPr>
    </w:lvl>
    <w:lvl w:ilvl="6" w:tplc="3BFA4234">
      <w:start w:val="1"/>
      <w:numFmt w:val="decimal"/>
      <w:lvlText w:val="%7."/>
      <w:lvlJc w:val="left"/>
      <w:pPr>
        <w:ind w:left="5040" w:hanging="360"/>
      </w:pPr>
    </w:lvl>
    <w:lvl w:ilvl="7" w:tplc="42541D62">
      <w:start w:val="1"/>
      <w:numFmt w:val="lowerLetter"/>
      <w:lvlText w:val="%8."/>
      <w:lvlJc w:val="left"/>
      <w:pPr>
        <w:ind w:left="5760" w:hanging="360"/>
      </w:pPr>
    </w:lvl>
    <w:lvl w:ilvl="8" w:tplc="A6266C7E">
      <w:start w:val="1"/>
      <w:numFmt w:val="lowerRoman"/>
      <w:lvlText w:val="%9."/>
      <w:lvlJc w:val="right"/>
      <w:pPr>
        <w:ind w:left="6480" w:hanging="180"/>
      </w:pPr>
    </w:lvl>
  </w:abstractNum>
  <w:abstractNum w:abstractNumId="19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6" w15:restartNumberingAfterBreak="0">
    <w:nsid w:val="42ED4F8E"/>
    <w:multiLevelType w:val="hybridMultilevel"/>
    <w:tmpl w:val="79CAD97C"/>
    <w:lvl w:ilvl="0" w:tplc="25C8F47E">
      <w:start w:val="1"/>
      <w:numFmt w:val="bullet"/>
      <w:lvlText w:val="-"/>
      <w:lvlJc w:val="left"/>
      <w:pPr>
        <w:ind w:left="720" w:hanging="360"/>
      </w:pPr>
      <w:rPr>
        <w:rFonts w:ascii="Calibri" w:hAnsi="Calibri" w:hint="default"/>
      </w:rPr>
    </w:lvl>
    <w:lvl w:ilvl="1" w:tplc="33546922">
      <w:start w:val="1"/>
      <w:numFmt w:val="bullet"/>
      <w:lvlText w:val="o"/>
      <w:lvlJc w:val="left"/>
      <w:pPr>
        <w:ind w:left="1440" w:hanging="360"/>
      </w:pPr>
      <w:rPr>
        <w:rFonts w:ascii="Courier New" w:hAnsi="Courier New" w:hint="default"/>
      </w:rPr>
    </w:lvl>
    <w:lvl w:ilvl="2" w:tplc="AFC0D13A">
      <w:start w:val="1"/>
      <w:numFmt w:val="bullet"/>
      <w:lvlText w:val=""/>
      <w:lvlJc w:val="left"/>
      <w:pPr>
        <w:ind w:left="2160" w:hanging="360"/>
      </w:pPr>
      <w:rPr>
        <w:rFonts w:ascii="Wingdings" w:hAnsi="Wingdings" w:hint="default"/>
      </w:rPr>
    </w:lvl>
    <w:lvl w:ilvl="3" w:tplc="483A448E">
      <w:start w:val="1"/>
      <w:numFmt w:val="bullet"/>
      <w:lvlText w:val=""/>
      <w:lvlJc w:val="left"/>
      <w:pPr>
        <w:ind w:left="2880" w:hanging="360"/>
      </w:pPr>
      <w:rPr>
        <w:rFonts w:ascii="Symbol" w:hAnsi="Symbol" w:hint="default"/>
      </w:rPr>
    </w:lvl>
    <w:lvl w:ilvl="4" w:tplc="881AF23C">
      <w:start w:val="1"/>
      <w:numFmt w:val="bullet"/>
      <w:lvlText w:val="o"/>
      <w:lvlJc w:val="left"/>
      <w:pPr>
        <w:ind w:left="3600" w:hanging="360"/>
      </w:pPr>
      <w:rPr>
        <w:rFonts w:ascii="Courier New" w:hAnsi="Courier New" w:hint="default"/>
      </w:rPr>
    </w:lvl>
    <w:lvl w:ilvl="5" w:tplc="6BA89F1A">
      <w:start w:val="1"/>
      <w:numFmt w:val="bullet"/>
      <w:lvlText w:val=""/>
      <w:lvlJc w:val="left"/>
      <w:pPr>
        <w:ind w:left="4320" w:hanging="360"/>
      </w:pPr>
      <w:rPr>
        <w:rFonts w:ascii="Wingdings" w:hAnsi="Wingdings" w:hint="default"/>
      </w:rPr>
    </w:lvl>
    <w:lvl w:ilvl="6" w:tplc="569C0054">
      <w:start w:val="1"/>
      <w:numFmt w:val="bullet"/>
      <w:lvlText w:val=""/>
      <w:lvlJc w:val="left"/>
      <w:pPr>
        <w:ind w:left="5040" w:hanging="360"/>
      </w:pPr>
      <w:rPr>
        <w:rFonts w:ascii="Symbol" w:hAnsi="Symbol" w:hint="default"/>
      </w:rPr>
    </w:lvl>
    <w:lvl w:ilvl="7" w:tplc="D90A0A0A">
      <w:start w:val="1"/>
      <w:numFmt w:val="bullet"/>
      <w:lvlText w:val="o"/>
      <w:lvlJc w:val="left"/>
      <w:pPr>
        <w:ind w:left="5760" w:hanging="360"/>
      </w:pPr>
      <w:rPr>
        <w:rFonts w:ascii="Courier New" w:hAnsi="Courier New" w:hint="default"/>
      </w:rPr>
    </w:lvl>
    <w:lvl w:ilvl="8" w:tplc="947492B0">
      <w:start w:val="1"/>
      <w:numFmt w:val="bullet"/>
      <w:lvlText w:val=""/>
      <w:lvlJc w:val="left"/>
      <w:pPr>
        <w:ind w:left="6480" w:hanging="360"/>
      </w:pPr>
      <w:rPr>
        <w:rFonts w:ascii="Wingdings" w:hAnsi="Wingdings" w:hint="default"/>
      </w:rPr>
    </w:lvl>
  </w:abstractNum>
  <w:abstractNum w:abstractNumId="19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8" w15:restartNumberingAfterBreak="0">
    <w:nsid w:val="430B5CA0"/>
    <w:multiLevelType w:val="hybridMultilevel"/>
    <w:tmpl w:val="FFFFFFFF"/>
    <w:lvl w:ilvl="0" w:tplc="1082A0BC">
      <w:start w:val="1"/>
      <w:numFmt w:val="decimal"/>
      <w:lvlText w:val="%1."/>
      <w:lvlJc w:val="left"/>
      <w:pPr>
        <w:ind w:left="720" w:hanging="360"/>
      </w:pPr>
    </w:lvl>
    <w:lvl w:ilvl="1" w:tplc="B896CD12">
      <w:start w:val="6"/>
      <w:numFmt w:val="lowerRoman"/>
      <w:lvlText w:val="%2."/>
      <w:lvlJc w:val="right"/>
      <w:pPr>
        <w:ind w:left="1080" w:hanging="360"/>
      </w:pPr>
    </w:lvl>
    <w:lvl w:ilvl="2" w:tplc="BD3AD952">
      <w:start w:val="1"/>
      <w:numFmt w:val="lowerRoman"/>
      <w:lvlText w:val="%3."/>
      <w:lvlJc w:val="right"/>
      <w:pPr>
        <w:ind w:left="2160" w:hanging="180"/>
      </w:pPr>
    </w:lvl>
    <w:lvl w:ilvl="3" w:tplc="C7E647CA">
      <w:start w:val="1"/>
      <w:numFmt w:val="decimal"/>
      <w:lvlText w:val="%4."/>
      <w:lvlJc w:val="left"/>
      <w:pPr>
        <w:ind w:left="2880" w:hanging="360"/>
      </w:pPr>
    </w:lvl>
    <w:lvl w:ilvl="4" w:tplc="7312FC9A">
      <w:start w:val="1"/>
      <w:numFmt w:val="lowerLetter"/>
      <w:lvlText w:val="%5."/>
      <w:lvlJc w:val="left"/>
      <w:pPr>
        <w:ind w:left="3600" w:hanging="360"/>
      </w:pPr>
    </w:lvl>
    <w:lvl w:ilvl="5" w:tplc="360A743A">
      <w:start w:val="1"/>
      <w:numFmt w:val="lowerRoman"/>
      <w:lvlText w:val="%6."/>
      <w:lvlJc w:val="right"/>
      <w:pPr>
        <w:ind w:left="4320" w:hanging="180"/>
      </w:pPr>
    </w:lvl>
    <w:lvl w:ilvl="6" w:tplc="543C08D0">
      <w:start w:val="1"/>
      <w:numFmt w:val="decimal"/>
      <w:lvlText w:val="%7."/>
      <w:lvlJc w:val="left"/>
      <w:pPr>
        <w:ind w:left="5040" w:hanging="360"/>
      </w:pPr>
    </w:lvl>
    <w:lvl w:ilvl="7" w:tplc="69125C1A">
      <w:start w:val="1"/>
      <w:numFmt w:val="lowerLetter"/>
      <w:lvlText w:val="%8."/>
      <w:lvlJc w:val="left"/>
      <w:pPr>
        <w:ind w:left="5760" w:hanging="360"/>
      </w:pPr>
    </w:lvl>
    <w:lvl w:ilvl="8" w:tplc="E542B164">
      <w:start w:val="1"/>
      <w:numFmt w:val="lowerRoman"/>
      <w:lvlText w:val="%9."/>
      <w:lvlJc w:val="right"/>
      <w:pPr>
        <w:ind w:left="6480" w:hanging="180"/>
      </w:pPr>
    </w:lvl>
  </w:abstractNum>
  <w:abstractNum w:abstractNumId="199" w15:restartNumberingAfterBreak="0">
    <w:nsid w:val="431D947E"/>
    <w:multiLevelType w:val="hybridMultilevel"/>
    <w:tmpl w:val="FFFFFFFF"/>
    <w:lvl w:ilvl="0" w:tplc="C9FA2900">
      <w:start w:val="2"/>
      <w:numFmt w:val="lowerLetter"/>
      <w:lvlText w:val="%1)"/>
      <w:lvlJc w:val="left"/>
      <w:pPr>
        <w:ind w:left="720" w:hanging="360"/>
      </w:pPr>
    </w:lvl>
    <w:lvl w:ilvl="1" w:tplc="3B64EF5A">
      <w:start w:val="1"/>
      <w:numFmt w:val="lowerLetter"/>
      <w:lvlText w:val="%2."/>
      <w:lvlJc w:val="left"/>
      <w:pPr>
        <w:ind w:left="1440" w:hanging="360"/>
      </w:pPr>
    </w:lvl>
    <w:lvl w:ilvl="2" w:tplc="07EE73DC">
      <w:start w:val="1"/>
      <w:numFmt w:val="lowerRoman"/>
      <w:lvlText w:val="%3."/>
      <w:lvlJc w:val="right"/>
      <w:pPr>
        <w:ind w:left="2160" w:hanging="180"/>
      </w:pPr>
    </w:lvl>
    <w:lvl w:ilvl="3" w:tplc="26B8BC5E">
      <w:start w:val="1"/>
      <w:numFmt w:val="decimal"/>
      <w:lvlText w:val="%4."/>
      <w:lvlJc w:val="left"/>
      <w:pPr>
        <w:ind w:left="2880" w:hanging="360"/>
      </w:pPr>
    </w:lvl>
    <w:lvl w:ilvl="4" w:tplc="FF0634E8">
      <w:start w:val="1"/>
      <w:numFmt w:val="lowerLetter"/>
      <w:lvlText w:val="%5."/>
      <w:lvlJc w:val="left"/>
      <w:pPr>
        <w:ind w:left="3600" w:hanging="360"/>
      </w:pPr>
    </w:lvl>
    <w:lvl w:ilvl="5" w:tplc="216230FC">
      <w:start w:val="1"/>
      <w:numFmt w:val="lowerRoman"/>
      <w:lvlText w:val="%6."/>
      <w:lvlJc w:val="right"/>
      <w:pPr>
        <w:ind w:left="4320" w:hanging="180"/>
      </w:pPr>
    </w:lvl>
    <w:lvl w:ilvl="6" w:tplc="A092AC74">
      <w:start w:val="1"/>
      <w:numFmt w:val="decimal"/>
      <w:lvlText w:val="%7."/>
      <w:lvlJc w:val="left"/>
      <w:pPr>
        <w:ind w:left="5040" w:hanging="360"/>
      </w:pPr>
    </w:lvl>
    <w:lvl w:ilvl="7" w:tplc="5F2C8B20">
      <w:start w:val="1"/>
      <w:numFmt w:val="lowerLetter"/>
      <w:lvlText w:val="%8."/>
      <w:lvlJc w:val="left"/>
      <w:pPr>
        <w:ind w:left="5760" w:hanging="360"/>
      </w:pPr>
    </w:lvl>
    <w:lvl w:ilvl="8" w:tplc="BD085BCE">
      <w:start w:val="1"/>
      <w:numFmt w:val="lowerRoman"/>
      <w:lvlText w:val="%9."/>
      <w:lvlJc w:val="right"/>
      <w:pPr>
        <w:ind w:left="6480" w:hanging="180"/>
      </w:pPr>
    </w:lvl>
  </w:abstractNum>
  <w:abstractNum w:abstractNumId="200" w15:restartNumberingAfterBreak="0">
    <w:nsid w:val="439ADE95"/>
    <w:multiLevelType w:val="hybridMultilevel"/>
    <w:tmpl w:val="FFFFFFFF"/>
    <w:lvl w:ilvl="0" w:tplc="E21A7C68">
      <w:start w:val="1"/>
      <w:numFmt w:val="bullet"/>
      <w:lvlText w:val="·"/>
      <w:lvlJc w:val="left"/>
      <w:pPr>
        <w:ind w:left="720" w:hanging="360"/>
      </w:pPr>
      <w:rPr>
        <w:rFonts w:ascii="Symbol" w:hAnsi="Symbol" w:hint="default"/>
      </w:rPr>
    </w:lvl>
    <w:lvl w:ilvl="1" w:tplc="0BAC4BC6">
      <w:start w:val="1"/>
      <w:numFmt w:val="bullet"/>
      <w:lvlText w:val="o"/>
      <w:lvlJc w:val="left"/>
      <w:pPr>
        <w:ind w:left="1440" w:hanging="360"/>
      </w:pPr>
      <w:rPr>
        <w:rFonts w:ascii="Courier New" w:hAnsi="Courier New" w:hint="default"/>
      </w:rPr>
    </w:lvl>
    <w:lvl w:ilvl="2" w:tplc="55A88C18">
      <w:start w:val="1"/>
      <w:numFmt w:val="bullet"/>
      <w:lvlText w:val=""/>
      <w:lvlJc w:val="left"/>
      <w:pPr>
        <w:ind w:left="2160" w:hanging="360"/>
      </w:pPr>
      <w:rPr>
        <w:rFonts w:ascii="Wingdings" w:hAnsi="Wingdings" w:hint="default"/>
      </w:rPr>
    </w:lvl>
    <w:lvl w:ilvl="3" w:tplc="F2E4CF28">
      <w:start w:val="1"/>
      <w:numFmt w:val="bullet"/>
      <w:lvlText w:val=""/>
      <w:lvlJc w:val="left"/>
      <w:pPr>
        <w:ind w:left="2880" w:hanging="360"/>
      </w:pPr>
      <w:rPr>
        <w:rFonts w:ascii="Symbol" w:hAnsi="Symbol" w:hint="default"/>
      </w:rPr>
    </w:lvl>
    <w:lvl w:ilvl="4" w:tplc="CDC6CBCC">
      <w:start w:val="1"/>
      <w:numFmt w:val="bullet"/>
      <w:lvlText w:val="o"/>
      <w:lvlJc w:val="left"/>
      <w:pPr>
        <w:ind w:left="3600" w:hanging="360"/>
      </w:pPr>
      <w:rPr>
        <w:rFonts w:ascii="Courier New" w:hAnsi="Courier New" w:hint="default"/>
      </w:rPr>
    </w:lvl>
    <w:lvl w:ilvl="5" w:tplc="CD468464">
      <w:start w:val="1"/>
      <w:numFmt w:val="bullet"/>
      <w:lvlText w:val=""/>
      <w:lvlJc w:val="left"/>
      <w:pPr>
        <w:ind w:left="4320" w:hanging="360"/>
      </w:pPr>
      <w:rPr>
        <w:rFonts w:ascii="Wingdings" w:hAnsi="Wingdings" w:hint="default"/>
      </w:rPr>
    </w:lvl>
    <w:lvl w:ilvl="6" w:tplc="7F72B6C8">
      <w:start w:val="1"/>
      <w:numFmt w:val="bullet"/>
      <w:lvlText w:val=""/>
      <w:lvlJc w:val="left"/>
      <w:pPr>
        <w:ind w:left="5040" w:hanging="360"/>
      </w:pPr>
      <w:rPr>
        <w:rFonts w:ascii="Symbol" w:hAnsi="Symbol" w:hint="default"/>
      </w:rPr>
    </w:lvl>
    <w:lvl w:ilvl="7" w:tplc="9934E76A">
      <w:start w:val="1"/>
      <w:numFmt w:val="bullet"/>
      <w:lvlText w:val="o"/>
      <w:lvlJc w:val="left"/>
      <w:pPr>
        <w:ind w:left="5760" w:hanging="360"/>
      </w:pPr>
      <w:rPr>
        <w:rFonts w:ascii="Courier New" w:hAnsi="Courier New" w:hint="default"/>
      </w:rPr>
    </w:lvl>
    <w:lvl w:ilvl="8" w:tplc="837EEB50">
      <w:start w:val="1"/>
      <w:numFmt w:val="bullet"/>
      <w:lvlText w:val=""/>
      <w:lvlJc w:val="left"/>
      <w:pPr>
        <w:ind w:left="6480" w:hanging="360"/>
      </w:pPr>
      <w:rPr>
        <w:rFonts w:ascii="Wingdings" w:hAnsi="Wingdings" w:hint="default"/>
      </w:rPr>
    </w:lvl>
  </w:abstractNum>
  <w:abstractNum w:abstractNumId="201" w15:restartNumberingAfterBreak="0">
    <w:nsid w:val="43D647AD"/>
    <w:multiLevelType w:val="hybridMultilevel"/>
    <w:tmpl w:val="FFFFFFFF"/>
    <w:lvl w:ilvl="0" w:tplc="71E4D82E">
      <w:start w:val="5"/>
      <w:numFmt w:val="lowerLetter"/>
      <w:lvlText w:val="%1)"/>
      <w:lvlJc w:val="left"/>
      <w:pPr>
        <w:ind w:left="720" w:hanging="360"/>
      </w:pPr>
    </w:lvl>
    <w:lvl w:ilvl="1" w:tplc="DB5CFAA4">
      <w:start w:val="1"/>
      <w:numFmt w:val="lowerLetter"/>
      <w:lvlText w:val="%2."/>
      <w:lvlJc w:val="left"/>
      <w:pPr>
        <w:ind w:left="1440" w:hanging="360"/>
      </w:pPr>
    </w:lvl>
    <w:lvl w:ilvl="2" w:tplc="F8C8DDD8">
      <w:start w:val="1"/>
      <w:numFmt w:val="lowerRoman"/>
      <w:lvlText w:val="%3."/>
      <w:lvlJc w:val="right"/>
      <w:pPr>
        <w:ind w:left="2160" w:hanging="180"/>
      </w:pPr>
    </w:lvl>
    <w:lvl w:ilvl="3" w:tplc="52CE01A6">
      <w:start w:val="1"/>
      <w:numFmt w:val="decimal"/>
      <w:lvlText w:val="%4."/>
      <w:lvlJc w:val="left"/>
      <w:pPr>
        <w:ind w:left="2880" w:hanging="360"/>
      </w:pPr>
    </w:lvl>
    <w:lvl w:ilvl="4" w:tplc="9D544E42">
      <w:start w:val="1"/>
      <w:numFmt w:val="lowerLetter"/>
      <w:lvlText w:val="%5."/>
      <w:lvlJc w:val="left"/>
      <w:pPr>
        <w:ind w:left="3600" w:hanging="360"/>
      </w:pPr>
    </w:lvl>
    <w:lvl w:ilvl="5" w:tplc="89A06950">
      <w:start w:val="1"/>
      <w:numFmt w:val="lowerRoman"/>
      <w:lvlText w:val="%6."/>
      <w:lvlJc w:val="right"/>
      <w:pPr>
        <w:ind w:left="4320" w:hanging="180"/>
      </w:pPr>
    </w:lvl>
    <w:lvl w:ilvl="6" w:tplc="91724F92">
      <w:start w:val="1"/>
      <w:numFmt w:val="decimal"/>
      <w:lvlText w:val="%7."/>
      <w:lvlJc w:val="left"/>
      <w:pPr>
        <w:ind w:left="5040" w:hanging="360"/>
      </w:pPr>
    </w:lvl>
    <w:lvl w:ilvl="7" w:tplc="22E2B90C">
      <w:start w:val="1"/>
      <w:numFmt w:val="lowerLetter"/>
      <w:lvlText w:val="%8."/>
      <w:lvlJc w:val="left"/>
      <w:pPr>
        <w:ind w:left="5760" w:hanging="360"/>
      </w:pPr>
    </w:lvl>
    <w:lvl w:ilvl="8" w:tplc="B21214A2">
      <w:start w:val="1"/>
      <w:numFmt w:val="lowerRoman"/>
      <w:lvlText w:val="%9."/>
      <w:lvlJc w:val="right"/>
      <w:pPr>
        <w:ind w:left="6480" w:hanging="180"/>
      </w:pPr>
    </w:lvl>
  </w:abstractNum>
  <w:abstractNum w:abstractNumId="202" w15:restartNumberingAfterBreak="0">
    <w:nsid w:val="4494263B"/>
    <w:multiLevelType w:val="hybridMultilevel"/>
    <w:tmpl w:val="DFDC7B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4" w15:restartNumberingAfterBreak="0">
    <w:nsid w:val="45A03C9B"/>
    <w:multiLevelType w:val="hybridMultilevel"/>
    <w:tmpl w:val="221A8812"/>
    <w:lvl w:ilvl="0" w:tplc="BF140532">
      <w:start w:val="1"/>
      <w:numFmt w:val="bullet"/>
      <w:lvlText w:val=""/>
      <w:lvlJc w:val="left"/>
      <w:pPr>
        <w:ind w:left="1440" w:hanging="360"/>
      </w:pPr>
      <w:rPr>
        <w:rFonts w:ascii="Symbol" w:hAnsi="Symbol" w:hint="default"/>
        <w:sz w:val="24"/>
        <w:szCs w:val="24"/>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5" w15:restartNumberingAfterBreak="0">
    <w:nsid w:val="45B20F85"/>
    <w:multiLevelType w:val="hybridMultilevel"/>
    <w:tmpl w:val="0018E5FA"/>
    <w:lvl w:ilvl="0" w:tplc="555E7FC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6" w15:restartNumberingAfterBreak="0">
    <w:nsid w:val="45EF13A0"/>
    <w:multiLevelType w:val="hybridMultilevel"/>
    <w:tmpl w:val="E95E4FAC"/>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466C5D6E"/>
    <w:multiLevelType w:val="hybridMultilevel"/>
    <w:tmpl w:val="1E0033B6"/>
    <w:lvl w:ilvl="0" w:tplc="FFFFFFFF">
      <w:start w:val="1"/>
      <w:numFmt w:val="decimal"/>
      <w:lvlText w:val="%1."/>
      <w:lvlJc w:val="left"/>
      <w:pPr>
        <w:ind w:left="720" w:hanging="360"/>
      </w:pPr>
      <w:rPr>
        <w:rFonts w:hint="default"/>
      </w:rPr>
    </w:lvl>
    <w:lvl w:ilvl="1" w:tplc="1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472A2633"/>
    <w:multiLevelType w:val="hybridMultilevel"/>
    <w:tmpl w:val="FFFFFFFF"/>
    <w:lvl w:ilvl="0" w:tplc="D19CF52C">
      <w:start w:val="3"/>
      <w:numFmt w:val="decimal"/>
      <w:lvlText w:val="%1."/>
      <w:lvlJc w:val="left"/>
      <w:pPr>
        <w:ind w:left="720" w:hanging="360"/>
      </w:pPr>
    </w:lvl>
    <w:lvl w:ilvl="1" w:tplc="3C366370">
      <w:start w:val="1"/>
      <w:numFmt w:val="lowerLetter"/>
      <w:lvlText w:val="%2."/>
      <w:lvlJc w:val="left"/>
      <w:pPr>
        <w:ind w:left="1440" w:hanging="360"/>
      </w:pPr>
    </w:lvl>
    <w:lvl w:ilvl="2" w:tplc="42AC27CC">
      <w:start w:val="1"/>
      <w:numFmt w:val="lowerRoman"/>
      <w:lvlText w:val="%3."/>
      <w:lvlJc w:val="right"/>
      <w:pPr>
        <w:ind w:left="2160" w:hanging="180"/>
      </w:pPr>
    </w:lvl>
    <w:lvl w:ilvl="3" w:tplc="3540616A">
      <w:start w:val="1"/>
      <w:numFmt w:val="decimal"/>
      <w:lvlText w:val="%4."/>
      <w:lvlJc w:val="left"/>
      <w:pPr>
        <w:ind w:left="2880" w:hanging="360"/>
      </w:pPr>
    </w:lvl>
    <w:lvl w:ilvl="4" w:tplc="7E561252">
      <w:start w:val="1"/>
      <w:numFmt w:val="lowerLetter"/>
      <w:lvlText w:val="%5."/>
      <w:lvlJc w:val="left"/>
      <w:pPr>
        <w:ind w:left="3600" w:hanging="360"/>
      </w:pPr>
    </w:lvl>
    <w:lvl w:ilvl="5" w:tplc="1B586328">
      <w:start w:val="1"/>
      <w:numFmt w:val="lowerRoman"/>
      <w:lvlText w:val="%6."/>
      <w:lvlJc w:val="right"/>
      <w:pPr>
        <w:ind w:left="4320" w:hanging="180"/>
      </w:pPr>
    </w:lvl>
    <w:lvl w:ilvl="6" w:tplc="6B1ED078">
      <w:start w:val="1"/>
      <w:numFmt w:val="decimal"/>
      <w:lvlText w:val="%7."/>
      <w:lvlJc w:val="left"/>
      <w:pPr>
        <w:ind w:left="5040" w:hanging="360"/>
      </w:pPr>
    </w:lvl>
    <w:lvl w:ilvl="7" w:tplc="4350B000">
      <w:start w:val="1"/>
      <w:numFmt w:val="lowerLetter"/>
      <w:lvlText w:val="%8."/>
      <w:lvlJc w:val="left"/>
      <w:pPr>
        <w:ind w:left="5760" w:hanging="360"/>
      </w:pPr>
    </w:lvl>
    <w:lvl w:ilvl="8" w:tplc="91608F30">
      <w:start w:val="1"/>
      <w:numFmt w:val="lowerRoman"/>
      <w:lvlText w:val="%9."/>
      <w:lvlJc w:val="right"/>
      <w:pPr>
        <w:ind w:left="6480" w:hanging="180"/>
      </w:pPr>
    </w:lvl>
  </w:abstractNum>
  <w:abstractNum w:abstractNumId="209" w15:restartNumberingAfterBreak="0">
    <w:nsid w:val="4817CAB1"/>
    <w:multiLevelType w:val="hybridMultilevel"/>
    <w:tmpl w:val="FFFFFFFF"/>
    <w:lvl w:ilvl="0" w:tplc="78DAC97C">
      <w:start w:val="2"/>
      <w:numFmt w:val="lowerRoman"/>
      <w:lvlText w:val="%1."/>
      <w:lvlJc w:val="right"/>
      <w:pPr>
        <w:ind w:left="1080" w:hanging="360"/>
      </w:pPr>
    </w:lvl>
    <w:lvl w:ilvl="1" w:tplc="0ED0B7E4">
      <w:start w:val="1"/>
      <w:numFmt w:val="lowerLetter"/>
      <w:lvlText w:val="%2."/>
      <w:lvlJc w:val="left"/>
      <w:pPr>
        <w:ind w:left="1440" w:hanging="360"/>
      </w:pPr>
    </w:lvl>
    <w:lvl w:ilvl="2" w:tplc="1BF4D06E">
      <w:start w:val="1"/>
      <w:numFmt w:val="lowerRoman"/>
      <w:lvlText w:val="%3."/>
      <w:lvlJc w:val="right"/>
      <w:pPr>
        <w:ind w:left="2160" w:hanging="180"/>
      </w:pPr>
    </w:lvl>
    <w:lvl w:ilvl="3" w:tplc="AC62C4FC">
      <w:start w:val="1"/>
      <w:numFmt w:val="decimal"/>
      <w:lvlText w:val="%4."/>
      <w:lvlJc w:val="left"/>
      <w:pPr>
        <w:ind w:left="2880" w:hanging="360"/>
      </w:pPr>
    </w:lvl>
    <w:lvl w:ilvl="4" w:tplc="AED82B14">
      <w:start w:val="1"/>
      <w:numFmt w:val="lowerLetter"/>
      <w:lvlText w:val="%5."/>
      <w:lvlJc w:val="left"/>
      <w:pPr>
        <w:ind w:left="3600" w:hanging="360"/>
      </w:pPr>
    </w:lvl>
    <w:lvl w:ilvl="5" w:tplc="1062CC26">
      <w:start w:val="1"/>
      <w:numFmt w:val="lowerRoman"/>
      <w:lvlText w:val="%6."/>
      <w:lvlJc w:val="right"/>
      <w:pPr>
        <w:ind w:left="4320" w:hanging="180"/>
      </w:pPr>
    </w:lvl>
    <w:lvl w:ilvl="6" w:tplc="47F25BDA">
      <w:start w:val="1"/>
      <w:numFmt w:val="decimal"/>
      <w:lvlText w:val="%7."/>
      <w:lvlJc w:val="left"/>
      <w:pPr>
        <w:ind w:left="5040" w:hanging="360"/>
      </w:pPr>
    </w:lvl>
    <w:lvl w:ilvl="7" w:tplc="3F62EF02">
      <w:start w:val="1"/>
      <w:numFmt w:val="lowerLetter"/>
      <w:lvlText w:val="%8."/>
      <w:lvlJc w:val="left"/>
      <w:pPr>
        <w:ind w:left="5760" w:hanging="360"/>
      </w:pPr>
    </w:lvl>
    <w:lvl w:ilvl="8" w:tplc="E5B4C5D8">
      <w:start w:val="1"/>
      <w:numFmt w:val="lowerRoman"/>
      <w:lvlText w:val="%9."/>
      <w:lvlJc w:val="right"/>
      <w:pPr>
        <w:ind w:left="6480" w:hanging="180"/>
      </w:pPr>
    </w:lvl>
  </w:abstractNum>
  <w:abstractNum w:abstractNumId="210" w15:restartNumberingAfterBreak="0">
    <w:nsid w:val="484D0E2C"/>
    <w:multiLevelType w:val="hybridMultilevel"/>
    <w:tmpl w:val="FFFFFFFF"/>
    <w:lvl w:ilvl="0" w:tplc="7A022B4E">
      <w:start w:val="1"/>
      <w:numFmt w:val="decimal"/>
      <w:lvlText w:val="%1."/>
      <w:lvlJc w:val="left"/>
      <w:pPr>
        <w:ind w:left="720" w:hanging="360"/>
      </w:pPr>
    </w:lvl>
    <w:lvl w:ilvl="1" w:tplc="C764F72C">
      <w:start w:val="2"/>
      <w:numFmt w:val="lowerLetter"/>
      <w:lvlText w:val="%2."/>
      <w:lvlJc w:val="left"/>
      <w:pPr>
        <w:ind w:left="1440" w:hanging="360"/>
      </w:pPr>
    </w:lvl>
    <w:lvl w:ilvl="2" w:tplc="E10C41CE">
      <w:start w:val="1"/>
      <w:numFmt w:val="lowerRoman"/>
      <w:lvlText w:val="%3."/>
      <w:lvlJc w:val="right"/>
      <w:pPr>
        <w:ind w:left="2160" w:hanging="180"/>
      </w:pPr>
    </w:lvl>
    <w:lvl w:ilvl="3" w:tplc="DE0031B8">
      <w:start w:val="1"/>
      <w:numFmt w:val="decimal"/>
      <w:lvlText w:val="%4."/>
      <w:lvlJc w:val="left"/>
      <w:pPr>
        <w:ind w:left="2880" w:hanging="360"/>
      </w:pPr>
    </w:lvl>
    <w:lvl w:ilvl="4" w:tplc="C1EADC4A">
      <w:start w:val="1"/>
      <w:numFmt w:val="lowerLetter"/>
      <w:lvlText w:val="%5."/>
      <w:lvlJc w:val="left"/>
      <w:pPr>
        <w:ind w:left="3600" w:hanging="360"/>
      </w:pPr>
    </w:lvl>
    <w:lvl w:ilvl="5" w:tplc="86482254">
      <w:start w:val="1"/>
      <w:numFmt w:val="lowerRoman"/>
      <w:lvlText w:val="%6."/>
      <w:lvlJc w:val="right"/>
      <w:pPr>
        <w:ind w:left="4320" w:hanging="180"/>
      </w:pPr>
    </w:lvl>
    <w:lvl w:ilvl="6" w:tplc="607E1A48">
      <w:start w:val="1"/>
      <w:numFmt w:val="decimal"/>
      <w:lvlText w:val="%7."/>
      <w:lvlJc w:val="left"/>
      <w:pPr>
        <w:ind w:left="5040" w:hanging="360"/>
      </w:pPr>
    </w:lvl>
    <w:lvl w:ilvl="7" w:tplc="9BB88318">
      <w:start w:val="1"/>
      <w:numFmt w:val="lowerLetter"/>
      <w:lvlText w:val="%8."/>
      <w:lvlJc w:val="left"/>
      <w:pPr>
        <w:ind w:left="5760" w:hanging="360"/>
      </w:pPr>
    </w:lvl>
    <w:lvl w:ilvl="8" w:tplc="B0403CE8">
      <w:start w:val="1"/>
      <w:numFmt w:val="lowerRoman"/>
      <w:lvlText w:val="%9."/>
      <w:lvlJc w:val="right"/>
      <w:pPr>
        <w:ind w:left="6480" w:hanging="180"/>
      </w:pPr>
    </w:lvl>
  </w:abstractNum>
  <w:abstractNum w:abstractNumId="211" w15:restartNumberingAfterBreak="0">
    <w:nsid w:val="489D548A"/>
    <w:multiLevelType w:val="hybridMultilevel"/>
    <w:tmpl w:val="FFFFFFFF"/>
    <w:lvl w:ilvl="0" w:tplc="C7325628">
      <w:start w:val="1"/>
      <w:numFmt w:val="decimal"/>
      <w:lvlText w:val="%1."/>
      <w:lvlJc w:val="left"/>
      <w:pPr>
        <w:ind w:left="720" w:hanging="360"/>
      </w:pPr>
    </w:lvl>
    <w:lvl w:ilvl="1" w:tplc="A8CE6998">
      <w:start w:val="5"/>
      <w:numFmt w:val="lowerRoman"/>
      <w:lvlText w:val="%2."/>
      <w:lvlJc w:val="right"/>
      <w:pPr>
        <w:ind w:left="1440" w:hanging="360"/>
      </w:pPr>
    </w:lvl>
    <w:lvl w:ilvl="2" w:tplc="75B2BBB2">
      <w:start w:val="1"/>
      <w:numFmt w:val="lowerRoman"/>
      <w:lvlText w:val="%3."/>
      <w:lvlJc w:val="right"/>
      <w:pPr>
        <w:ind w:left="2160" w:hanging="180"/>
      </w:pPr>
    </w:lvl>
    <w:lvl w:ilvl="3" w:tplc="101EBF24">
      <w:start w:val="1"/>
      <w:numFmt w:val="decimal"/>
      <w:lvlText w:val="%4."/>
      <w:lvlJc w:val="left"/>
      <w:pPr>
        <w:ind w:left="2880" w:hanging="360"/>
      </w:pPr>
    </w:lvl>
    <w:lvl w:ilvl="4" w:tplc="422CF632">
      <w:start w:val="1"/>
      <w:numFmt w:val="lowerLetter"/>
      <w:lvlText w:val="%5."/>
      <w:lvlJc w:val="left"/>
      <w:pPr>
        <w:ind w:left="3600" w:hanging="360"/>
      </w:pPr>
    </w:lvl>
    <w:lvl w:ilvl="5" w:tplc="979E0498">
      <w:start w:val="1"/>
      <w:numFmt w:val="lowerRoman"/>
      <w:lvlText w:val="%6."/>
      <w:lvlJc w:val="right"/>
      <w:pPr>
        <w:ind w:left="4320" w:hanging="180"/>
      </w:pPr>
    </w:lvl>
    <w:lvl w:ilvl="6" w:tplc="86340FE4">
      <w:start w:val="1"/>
      <w:numFmt w:val="decimal"/>
      <w:lvlText w:val="%7."/>
      <w:lvlJc w:val="left"/>
      <w:pPr>
        <w:ind w:left="5040" w:hanging="360"/>
      </w:pPr>
    </w:lvl>
    <w:lvl w:ilvl="7" w:tplc="E500CABC">
      <w:start w:val="1"/>
      <w:numFmt w:val="lowerLetter"/>
      <w:lvlText w:val="%8."/>
      <w:lvlJc w:val="left"/>
      <w:pPr>
        <w:ind w:left="5760" w:hanging="360"/>
      </w:pPr>
    </w:lvl>
    <w:lvl w:ilvl="8" w:tplc="03705EC8">
      <w:start w:val="1"/>
      <w:numFmt w:val="lowerRoman"/>
      <w:lvlText w:val="%9."/>
      <w:lvlJc w:val="right"/>
      <w:pPr>
        <w:ind w:left="6480" w:hanging="180"/>
      </w:pPr>
    </w:lvl>
  </w:abstractNum>
  <w:abstractNum w:abstractNumId="212" w15:restartNumberingAfterBreak="0">
    <w:nsid w:val="48ECD395"/>
    <w:multiLevelType w:val="hybridMultilevel"/>
    <w:tmpl w:val="FFFFFFFF"/>
    <w:lvl w:ilvl="0" w:tplc="46D2569C">
      <w:start w:val="3"/>
      <w:numFmt w:val="decimal"/>
      <w:lvlText w:val="%1."/>
      <w:lvlJc w:val="left"/>
      <w:pPr>
        <w:ind w:left="720" w:hanging="360"/>
      </w:pPr>
    </w:lvl>
    <w:lvl w:ilvl="1" w:tplc="2AFA2CCC">
      <w:start w:val="1"/>
      <w:numFmt w:val="lowerLetter"/>
      <w:lvlText w:val="%2."/>
      <w:lvlJc w:val="left"/>
      <w:pPr>
        <w:ind w:left="1440" w:hanging="360"/>
      </w:pPr>
    </w:lvl>
    <w:lvl w:ilvl="2" w:tplc="E7C6145E">
      <w:start w:val="1"/>
      <w:numFmt w:val="lowerRoman"/>
      <w:lvlText w:val="%3."/>
      <w:lvlJc w:val="right"/>
      <w:pPr>
        <w:ind w:left="2160" w:hanging="180"/>
      </w:pPr>
    </w:lvl>
    <w:lvl w:ilvl="3" w:tplc="D5781864">
      <w:start w:val="1"/>
      <w:numFmt w:val="decimal"/>
      <w:lvlText w:val="%4."/>
      <w:lvlJc w:val="left"/>
      <w:pPr>
        <w:ind w:left="2880" w:hanging="360"/>
      </w:pPr>
    </w:lvl>
    <w:lvl w:ilvl="4" w:tplc="139CAC14">
      <w:start w:val="1"/>
      <w:numFmt w:val="lowerLetter"/>
      <w:lvlText w:val="%5."/>
      <w:lvlJc w:val="left"/>
      <w:pPr>
        <w:ind w:left="3600" w:hanging="360"/>
      </w:pPr>
    </w:lvl>
    <w:lvl w:ilvl="5" w:tplc="F28EF18C">
      <w:start w:val="1"/>
      <w:numFmt w:val="lowerRoman"/>
      <w:lvlText w:val="%6."/>
      <w:lvlJc w:val="right"/>
      <w:pPr>
        <w:ind w:left="4320" w:hanging="180"/>
      </w:pPr>
    </w:lvl>
    <w:lvl w:ilvl="6" w:tplc="35624478">
      <w:start w:val="1"/>
      <w:numFmt w:val="decimal"/>
      <w:lvlText w:val="%7."/>
      <w:lvlJc w:val="left"/>
      <w:pPr>
        <w:ind w:left="5040" w:hanging="360"/>
      </w:pPr>
    </w:lvl>
    <w:lvl w:ilvl="7" w:tplc="29228448">
      <w:start w:val="1"/>
      <w:numFmt w:val="lowerLetter"/>
      <w:lvlText w:val="%8."/>
      <w:lvlJc w:val="left"/>
      <w:pPr>
        <w:ind w:left="5760" w:hanging="360"/>
      </w:pPr>
    </w:lvl>
    <w:lvl w:ilvl="8" w:tplc="246E1CE0">
      <w:start w:val="1"/>
      <w:numFmt w:val="lowerRoman"/>
      <w:lvlText w:val="%9."/>
      <w:lvlJc w:val="right"/>
      <w:pPr>
        <w:ind w:left="6480" w:hanging="180"/>
      </w:pPr>
    </w:lvl>
  </w:abstractNum>
  <w:abstractNum w:abstractNumId="213" w15:restartNumberingAfterBreak="0">
    <w:nsid w:val="491C5001"/>
    <w:multiLevelType w:val="hybridMultilevel"/>
    <w:tmpl w:val="FFFFFFFF"/>
    <w:lvl w:ilvl="0" w:tplc="512C6B14">
      <w:start w:val="8"/>
      <w:numFmt w:val="decimal"/>
      <w:lvlText w:val="%1."/>
      <w:lvlJc w:val="left"/>
      <w:pPr>
        <w:ind w:left="720" w:hanging="360"/>
      </w:pPr>
    </w:lvl>
    <w:lvl w:ilvl="1" w:tplc="77CA26A4">
      <w:start w:val="1"/>
      <w:numFmt w:val="lowerLetter"/>
      <w:lvlText w:val="%2."/>
      <w:lvlJc w:val="left"/>
      <w:pPr>
        <w:ind w:left="1440" w:hanging="360"/>
      </w:pPr>
    </w:lvl>
    <w:lvl w:ilvl="2" w:tplc="EA066ABE">
      <w:start w:val="1"/>
      <w:numFmt w:val="lowerRoman"/>
      <w:lvlText w:val="%3."/>
      <w:lvlJc w:val="right"/>
      <w:pPr>
        <w:ind w:left="2160" w:hanging="180"/>
      </w:pPr>
    </w:lvl>
    <w:lvl w:ilvl="3" w:tplc="63285588">
      <w:start w:val="1"/>
      <w:numFmt w:val="decimal"/>
      <w:lvlText w:val="%4."/>
      <w:lvlJc w:val="left"/>
      <w:pPr>
        <w:ind w:left="2880" w:hanging="360"/>
      </w:pPr>
    </w:lvl>
    <w:lvl w:ilvl="4" w:tplc="BD4243D4">
      <w:start w:val="1"/>
      <w:numFmt w:val="lowerLetter"/>
      <w:lvlText w:val="%5."/>
      <w:lvlJc w:val="left"/>
      <w:pPr>
        <w:ind w:left="3600" w:hanging="360"/>
      </w:pPr>
    </w:lvl>
    <w:lvl w:ilvl="5" w:tplc="AEC41816">
      <w:start w:val="1"/>
      <w:numFmt w:val="lowerRoman"/>
      <w:lvlText w:val="%6."/>
      <w:lvlJc w:val="right"/>
      <w:pPr>
        <w:ind w:left="4320" w:hanging="180"/>
      </w:pPr>
    </w:lvl>
    <w:lvl w:ilvl="6" w:tplc="51A80024">
      <w:start w:val="1"/>
      <w:numFmt w:val="decimal"/>
      <w:lvlText w:val="%7."/>
      <w:lvlJc w:val="left"/>
      <w:pPr>
        <w:ind w:left="5040" w:hanging="360"/>
      </w:pPr>
    </w:lvl>
    <w:lvl w:ilvl="7" w:tplc="CF6AC42A">
      <w:start w:val="1"/>
      <w:numFmt w:val="lowerLetter"/>
      <w:lvlText w:val="%8."/>
      <w:lvlJc w:val="left"/>
      <w:pPr>
        <w:ind w:left="5760" w:hanging="360"/>
      </w:pPr>
    </w:lvl>
    <w:lvl w:ilvl="8" w:tplc="2078FBB8">
      <w:start w:val="1"/>
      <w:numFmt w:val="lowerRoman"/>
      <w:lvlText w:val="%9."/>
      <w:lvlJc w:val="right"/>
      <w:pPr>
        <w:ind w:left="6480" w:hanging="180"/>
      </w:pPr>
    </w:lvl>
  </w:abstractNum>
  <w:abstractNum w:abstractNumId="214" w15:restartNumberingAfterBreak="0">
    <w:nsid w:val="49964EB8"/>
    <w:multiLevelType w:val="hybridMultilevel"/>
    <w:tmpl w:val="FFFFFFFF"/>
    <w:lvl w:ilvl="0" w:tplc="F1561DC2">
      <w:start w:val="2"/>
      <w:numFmt w:val="lowerRoman"/>
      <w:lvlText w:val="%1."/>
      <w:lvlJc w:val="right"/>
      <w:pPr>
        <w:ind w:left="1080" w:hanging="360"/>
      </w:pPr>
    </w:lvl>
    <w:lvl w:ilvl="1" w:tplc="FDF8DB0E">
      <w:start w:val="1"/>
      <w:numFmt w:val="lowerLetter"/>
      <w:lvlText w:val="%2."/>
      <w:lvlJc w:val="left"/>
      <w:pPr>
        <w:ind w:left="1440" w:hanging="360"/>
      </w:pPr>
    </w:lvl>
    <w:lvl w:ilvl="2" w:tplc="3C4222A8">
      <w:start w:val="1"/>
      <w:numFmt w:val="lowerRoman"/>
      <w:lvlText w:val="%3."/>
      <w:lvlJc w:val="right"/>
      <w:pPr>
        <w:ind w:left="2160" w:hanging="180"/>
      </w:pPr>
    </w:lvl>
    <w:lvl w:ilvl="3" w:tplc="0CFA2B5E">
      <w:start w:val="1"/>
      <w:numFmt w:val="decimal"/>
      <w:lvlText w:val="%4."/>
      <w:lvlJc w:val="left"/>
      <w:pPr>
        <w:ind w:left="2880" w:hanging="360"/>
      </w:pPr>
    </w:lvl>
    <w:lvl w:ilvl="4" w:tplc="27EAC552">
      <w:start w:val="1"/>
      <w:numFmt w:val="lowerLetter"/>
      <w:lvlText w:val="%5."/>
      <w:lvlJc w:val="left"/>
      <w:pPr>
        <w:ind w:left="3600" w:hanging="360"/>
      </w:pPr>
    </w:lvl>
    <w:lvl w:ilvl="5" w:tplc="9814E018">
      <w:start w:val="1"/>
      <w:numFmt w:val="lowerRoman"/>
      <w:lvlText w:val="%6."/>
      <w:lvlJc w:val="right"/>
      <w:pPr>
        <w:ind w:left="4320" w:hanging="180"/>
      </w:pPr>
    </w:lvl>
    <w:lvl w:ilvl="6" w:tplc="A4804358">
      <w:start w:val="1"/>
      <w:numFmt w:val="decimal"/>
      <w:lvlText w:val="%7."/>
      <w:lvlJc w:val="left"/>
      <w:pPr>
        <w:ind w:left="5040" w:hanging="360"/>
      </w:pPr>
    </w:lvl>
    <w:lvl w:ilvl="7" w:tplc="1472E012">
      <w:start w:val="1"/>
      <w:numFmt w:val="lowerLetter"/>
      <w:lvlText w:val="%8."/>
      <w:lvlJc w:val="left"/>
      <w:pPr>
        <w:ind w:left="5760" w:hanging="360"/>
      </w:pPr>
    </w:lvl>
    <w:lvl w:ilvl="8" w:tplc="8D3A7332">
      <w:start w:val="1"/>
      <w:numFmt w:val="lowerRoman"/>
      <w:lvlText w:val="%9."/>
      <w:lvlJc w:val="right"/>
      <w:pPr>
        <w:ind w:left="6480" w:hanging="180"/>
      </w:pPr>
    </w:lvl>
  </w:abstractNum>
  <w:abstractNum w:abstractNumId="215" w15:restartNumberingAfterBreak="0">
    <w:nsid w:val="49A45912"/>
    <w:multiLevelType w:val="hybridMultilevel"/>
    <w:tmpl w:val="8EF48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6" w15:restartNumberingAfterBreak="0">
    <w:nsid w:val="49E79FE9"/>
    <w:multiLevelType w:val="hybridMultilevel"/>
    <w:tmpl w:val="FFFFFFFF"/>
    <w:lvl w:ilvl="0" w:tplc="925C6314">
      <w:start w:val="1"/>
      <w:numFmt w:val="bullet"/>
      <w:lvlText w:val=""/>
      <w:lvlJc w:val="left"/>
      <w:pPr>
        <w:ind w:left="720" w:hanging="360"/>
      </w:pPr>
      <w:rPr>
        <w:rFonts w:ascii="Symbol" w:hAnsi="Symbol" w:hint="default"/>
      </w:rPr>
    </w:lvl>
    <w:lvl w:ilvl="1" w:tplc="931E82F4">
      <w:start w:val="1"/>
      <w:numFmt w:val="bullet"/>
      <w:lvlText w:val="o"/>
      <w:lvlJc w:val="left"/>
      <w:pPr>
        <w:ind w:left="1440" w:hanging="360"/>
      </w:pPr>
      <w:rPr>
        <w:rFonts w:ascii="Courier New" w:hAnsi="Courier New" w:hint="default"/>
      </w:rPr>
    </w:lvl>
    <w:lvl w:ilvl="2" w:tplc="61209734">
      <w:start w:val="1"/>
      <w:numFmt w:val="bullet"/>
      <w:lvlText w:val=""/>
      <w:lvlJc w:val="left"/>
      <w:pPr>
        <w:ind w:left="2160" w:hanging="360"/>
      </w:pPr>
      <w:rPr>
        <w:rFonts w:ascii="Wingdings" w:hAnsi="Wingdings" w:hint="default"/>
      </w:rPr>
    </w:lvl>
    <w:lvl w:ilvl="3" w:tplc="2A1CD70A">
      <w:start w:val="1"/>
      <w:numFmt w:val="bullet"/>
      <w:lvlText w:val=""/>
      <w:lvlJc w:val="left"/>
      <w:pPr>
        <w:ind w:left="2880" w:hanging="360"/>
      </w:pPr>
      <w:rPr>
        <w:rFonts w:ascii="Symbol" w:hAnsi="Symbol" w:hint="default"/>
      </w:rPr>
    </w:lvl>
    <w:lvl w:ilvl="4" w:tplc="2750B18E">
      <w:start w:val="1"/>
      <w:numFmt w:val="bullet"/>
      <w:lvlText w:val="o"/>
      <w:lvlJc w:val="left"/>
      <w:pPr>
        <w:ind w:left="3600" w:hanging="360"/>
      </w:pPr>
      <w:rPr>
        <w:rFonts w:ascii="Courier New" w:hAnsi="Courier New" w:hint="default"/>
      </w:rPr>
    </w:lvl>
    <w:lvl w:ilvl="5" w:tplc="04C65880">
      <w:start w:val="1"/>
      <w:numFmt w:val="bullet"/>
      <w:lvlText w:val=""/>
      <w:lvlJc w:val="left"/>
      <w:pPr>
        <w:ind w:left="4320" w:hanging="360"/>
      </w:pPr>
      <w:rPr>
        <w:rFonts w:ascii="Wingdings" w:hAnsi="Wingdings" w:hint="default"/>
      </w:rPr>
    </w:lvl>
    <w:lvl w:ilvl="6" w:tplc="7BD409B2">
      <w:start w:val="1"/>
      <w:numFmt w:val="bullet"/>
      <w:lvlText w:val=""/>
      <w:lvlJc w:val="left"/>
      <w:pPr>
        <w:ind w:left="5040" w:hanging="360"/>
      </w:pPr>
      <w:rPr>
        <w:rFonts w:ascii="Symbol" w:hAnsi="Symbol" w:hint="default"/>
      </w:rPr>
    </w:lvl>
    <w:lvl w:ilvl="7" w:tplc="314EE8DE">
      <w:start w:val="1"/>
      <w:numFmt w:val="bullet"/>
      <w:lvlText w:val="o"/>
      <w:lvlJc w:val="left"/>
      <w:pPr>
        <w:ind w:left="5760" w:hanging="360"/>
      </w:pPr>
      <w:rPr>
        <w:rFonts w:ascii="Courier New" w:hAnsi="Courier New" w:hint="default"/>
      </w:rPr>
    </w:lvl>
    <w:lvl w:ilvl="8" w:tplc="2064E964">
      <w:start w:val="1"/>
      <w:numFmt w:val="bullet"/>
      <w:lvlText w:val=""/>
      <w:lvlJc w:val="left"/>
      <w:pPr>
        <w:ind w:left="6480" w:hanging="360"/>
      </w:pPr>
      <w:rPr>
        <w:rFonts w:ascii="Wingdings" w:hAnsi="Wingdings" w:hint="default"/>
      </w:rPr>
    </w:lvl>
  </w:abstractNum>
  <w:abstractNum w:abstractNumId="217" w15:restartNumberingAfterBreak="0">
    <w:nsid w:val="49FC89E2"/>
    <w:multiLevelType w:val="hybridMultilevel"/>
    <w:tmpl w:val="FFFFFFFF"/>
    <w:lvl w:ilvl="0" w:tplc="6C080CA6">
      <w:start w:val="1"/>
      <w:numFmt w:val="bullet"/>
      <w:lvlText w:val="-"/>
      <w:lvlJc w:val="left"/>
      <w:pPr>
        <w:ind w:left="720" w:hanging="360"/>
      </w:pPr>
      <w:rPr>
        <w:rFonts w:ascii="Symbol" w:hAnsi="Symbol" w:hint="default"/>
      </w:rPr>
    </w:lvl>
    <w:lvl w:ilvl="1" w:tplc="94CA9882">
      <w:start w:val="1"/>
      <w:numFmt w:val="bullet"/>
      <w:lvlText w:val="o"/>
      <w:lvlJc w:val="left"/>
      <w:pPr>
        <w:ind w:left="1440" w:hanging="360"/>
      </w:pPr>
      <w:rPr>
        <w:rFonts w:ascii="Courier New" w:hAnsi="Courier New" w:hint="default"/>
      </w:rPr>
    </w:lvl>
    <w:lvl w:ilvl="2" w:tplc="366ACCA2">
      <w:start w:val="1"/>
      <w:numFmt w:val="bullet"/>
      <w:lvlText w:val=""/>
      <w:lvlJc w:val="left"/>
      <w:pPr>
        <w:ind w:left="2160" w:hanging="360"/>
      </w:pPr>
      <w:rPr>
        <w:rFonts w:ascii="Wingdings" w:hAnsi="Wingdings" w:hint="default"/>
      </w:rPr>
    </w:lvl>
    <w:lvl w:ilvl="3" w:tplc="E37CA088">
      <w:start w:val="1"/>
      <w:numFmt w:val="bullet"/>
      <w:lvlText w:val=""/>
      <w:lvlJc w:val="left"/>
      <w:pPr>
        <w:ind w:left="2880" w:hanging="360"/>
      </w:pPr>
      <w:rPr>
        <w:rFonts w:ascii="Symbol" w:hAnsi="Symbol" w:hint="default"/>
      </w:rPr>
    </w:lvl>
    <w:lvl w:ilvl="4" w:tplc="2A242302">
      <w:start w:val="1"/>
      <w:numFmt w:val="bullet"/>
      <w:lvlText w:val="o"/>
      <w:lvlJc w:val="left"/>
      <w:pPr>
        <w:ind w:left="3600" w:hanging="360"/>
      </w:pPr>
      <w:rPr>
        <w:rFonts w:ascii="Courier New" w:hAnsi="Courier New" w:hint="default"/>
      </w:rPr>
    </w:lvl>
    <w:lvl w:ilvl="5" w:tplc="87845926">
      <w:start w:val="1"/>
      <w:numFmt w:val="bullet"/>
      <w:lvlText w:val=""/>
      <w:lvlJc w:val="left"/>
      <w:pPr>
        <w:ind w:left="4320" w:hanging="360"/>
      </w:pPr>
      <w:rPr>
        <w:rFonts w:ascii="Wingdings" w:hAnsi="Wingdings" w:hint="default"/>
      </w:rPr>
    </w:lvl>
    <w:lvl w:ilvl="6" w:tplc="777C6746">
      <w:start w:val="1"/>
      <w:numFmt w:val="bullet"/>
      <w:lvlText w:val=""/>
      <w:lvlJc w:val="left"/>
      <w:pPr>
        <w:ind w:left="5040" w:hanging="360"/>
      </w:pPr>
      <w:rPr>
        <w:rFonts w:ascii="Symbol" w:hAnsi="Symbol" w:hint="default"/>
      </w:rPr>
    </w:lvl>
    <w:lvl w:ilvl="7" w:tplc="64BABCE6">
      <w:start w:val="1"/>
      <w:numFmt w:val="bullet"/>
      <w:lvlText w:val="o"/>
      <w:lvlJc w:val="left"/>
      <w:pPr>
        <w:ind w:left="5760" w:hanging="360"/>
      </w:pPr>
      <w:rPr>
        <w:rFonts w:ascii="Courier New" w:hAnsi="Courier New" w:hint="default"/>
      </w:rPr>
    </w:lvl>
    <w:lvl w:ilvl="8" w:tplc="66CCFCEA">
      <w:start w:val="1"/>
      <w:numFmt w:val="bullet"/>
      <w:lvlText w:val=""/>
      <w:lvlJc w:val="left"/>
      <w:pPr>
        <w:ind w:left="6480" w:hanging="360"/>
      </w:pPr>
      <w:rPr>
        <w:rFonts w:ascii="Wingdings" w:hAnsi="Wingdings" w:hint="default"/>
      </w:rPr>
    </w:lvl>
  </w:abstractNum>
  <w:abstractNum w:abstractNumId="218" w15:restartNumberingAfterBreak="0">
    <w:nsid w:val="4AC332A7"/>
    <w:multiLevelType w:val="hybridMultilevel"/>
    <w:tmpl w:val="A37422E2"/>
    <w:lvl w:ilvl="0" w:tplc="B492D810">
      <w:start w:val="1"/>
      <w:numFmt w:val="bullet"/>
      <w:lvlText w:val="-"/>
      <w:lvlJc w:val="left"/>
      <w:pPr>
        <w:ind w:left="720" w:hanging="360"/>
      </w:pPr>
      <w:rPr>
        <w:rFonts w:ascii="Calibri" w:hAnsi="Calibri" w:hint="default"/>
      </w:rPr>
    </w:lvl>
    <w:lvl w:ilvl="1" w:tplc="8F3EC806">
      <w:start w:val="1"/>
      <w:numFmt w:val="bullet"/>
      <w:lvlText w:val="o"/>
      <w:lvlJc w:val="left"/>
      <w:pPr>
        <w:ind w:left="1440" w:hanging="360"/>
      </w:pPr>
      <w:rPr>
        <w:rFonts w:ascii="Courier New" w:hAnsi="Courier New" w:hint="default"/>
      </w:rPr>
    </w:lvl>
    <w:lvl w:ilvl="2" w:tplc="13146264">
      <w:start w:val="1"/>
      <w:numFmt w:val="bullet"/>
      <w:lvlText w:val=""/>
      <w:lvlJc w:val="left"/>
      <w:pPr>
        <w:ind w:left="2160" w:hanging="360"/>
      </w:pPr>
      <w:rPr>
        <w:rFonts w:ascii="Wingdings" w:hAnsi="Wingdings" w:hint="default"/>
      </w:rPr>
    </w:lvl>
    <w:lvl w:ilvl="3" w:tplc="2E26EFE0">
      <w:start w:val="1"/>
      <w:numFmt w:val="bullet"/>
      <w:lvlText w:val=""/>
      <w:lvlJc w:val="left"/>
      <w:pPr>
        <w:ind w:left="2880" w:hanging="360"/>
      </w:pPr>
      <w:rPr>
        <w:rFonts w:ascii="Symbol" w:hAnsi="Symbol" w:hint="default"/>
      </w:rPr>
    </w:lvl>
    <w:lvl w:ilvl="4" w:tplc="05749478">
      <w:start w:val="1"/>
      <w:numFmt w:val="bullet"/>
      <w:lvlText w:val="o"/>
      <w:lvlJc w:val="left"/>
      <w:pPr>
        <w:ind w:left="3600" w:hanging="360"/>
      </w:pPr>
      <w:rPr>
        <w:rFonts w:ascii="Courier New" w:hAnsi="Courier New" w:hint="default"/>
      </w:rPr>
    </w:lvl>
    <w:lvl w:ilvl="5" w:tplc="2C54EB44">
      <w:start w:val="1"/>
      <w:numFmt w:val="bullet"/>
      <w:lvlText w:val=""/>
      <w:lvlJc w:val="left"/>
      <w:pPr>
        <w:ind w:left="4320" w:hanging="360"/>
      </w:pPr>
      <w:rPr>
        <w:rFonts w:ascii="Wingdings" w:hAnsi="Wingdings" w:hint="default"/>
      </w:rPr>
    </w:lvl>
    <w:lvl w:ilvl="6" w:tplc="45620FEA">
      <w:start w:val="1"/>
      <w:numFmt w:val="bullet"/>
      <w:lvlText w:val=""/>
      <w:lvlJc w:val="left"/>
      <w:pPr>
        <w:ind w:left="5040" w:hanging="360"/>
      </w:pPr>
      <w:rPr>
        <w:rFonts w:ascii="Symbol" w:hAnsi="Symbol" w:hint="default"/>
      </w:rPr>
    </w:lvl>
    <w:lvl w:ilvl="7" w:tplc="0A142628">
      <w:start w:val="1"/>
      <w:numFmt w:val="bullet"/>
      <w:lvlText w:val="o"/>
      <w:lvlJc w:val="left"/>
      <w:pPr>
        <w:ind w:left="5760" w:hanging="360"/>
      </w:pPr>
      <w:rPr>
        <w:rFonts w:ascii="Courier New" w:hAnsi="Courier New" w:hint="default"/>
      </w:rPr>
    </w:lvl>
    <w:lvl w:ilvl="8" w:tplc="103E6ED8">
      <w:start w:val="1"/>
      <w:numFmt w:val="bullet"/>
      <w:lvlText w:val=""/>
      <w:lvlJc w:val="left"/>
      <w:pPr>
        <w:ind w:left="6480" w:hanging="360"/>
      </w:pPr>
      <w:rPr>
        <w:rFonts w:ascii="Wingdings" w:hAnsi="Wingdings" w:hint="default"/>
      </w:rPr>
    </w:lvl>
  </w:abstractNum>
  <w:abstractNum w:abstractNumId="219" w15:restartNumberingAfterBreak="0">
    <w:nsid w:val="4AD76898"/>
    <w:multiLevelType w:val="hybridMultilevel"/>
    <w:tmpl w:val="537E5D4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0" w15:restartNumberingAfterBreak="0">
    <w:nsid w:val="4B95FFF8"/>
    <w:multiLevelType w:val="hybridMultilevel"/>
    <w:tmpl w:val="FFFFFFFF"/>
    <w:lvl w:ilvl="0" w:tplc="2B7A3CEC">
      <w:start w:val="1"/>
      <w:numFmt w:val="decimal"/>
      <w:lvlText w:val="%1."/>
      <w:lvlJc w:val="left"/>
      <w:pPr>
        <w:ind w:left="720" w:hanging="360"/>
      </w:pPr>
    </w:lvl>
    <w:lvl w:ilvl="1" w:tplc="AC9C6324">
      <w:start w:val="1"/>
      <w:numFmt w:val="lowerLetter"/>
      <w:lvlText w:val="%2."/>
      <w:lvlJc w:val="left"/>
      <w:pPr>
        <w:ind w:left="1440" w:hanging="360"/>
      </w:pPr>
    </w:lvl>
    <w:lvl w:ilvl="2" w:tplc="DAF81B40">
      <w:start w:val="1"/>
      <w:numFmt w:val="lowerRoman"/>
      <w:lvlText w:val="%3."/>
      <w:lvlJc w:val="right"/>
      <w:pPr>
        <w:ind w:left="2160" w:hanging="180"/>
      </w:pPr>
    </w:lvl>
    <w:lvl w:ilvl="3" w:tplc="D09ECDBA">
      <w:start w:val="1"/>
      <w:numFmt w:val="decimal"/>
      <w:lvlText w:val="%4."/>
      <w:lvlJc w:val="left"/>
      <w:pPr>
        <w:ind w:left="2880" w:hanging="360"/>
      </w:pPr>
    </w:lvl>
    <w:lvl w:ilvl="4" w:tplc="0F20B444">
      <w:start w:val="1"/>
      <w:numFmt w:val="lowerLetter"/>
      <w:lvlText w:val="%5."/>
      <w:lvlJc w:val="left"/>
      <w:pPr>
        <w:ind w:left="3600" w:hanging="360"/>
      </w:pPr>
    </w:lvl>
    <w:lvl w:ilvl="5" w:tplc="209C6006">
      <w:start w:val="1"/>
      <w:numFmt w:val="lowerRoman"/>
      <w:lvlText w:val="%6."/>
      <w:lvlJc w:val="right"/>
      <w:pPr>
        <w:ind w:left="4320" w:hanging="180"/>
      </w:pPr>
    </w:lvl>
    <w:lvl w:ilvl="6" w:tplc="28A6C392">
      <w:start w:val="1"/>
      <w:numFmt w:val="decimal"/>
      <w:lvlText w:val="%7."/>
      <w:lvlJc w:val="left"/>
      <w:pPr>
        <w:ind w:left="5040" w:hanging="360"/>
      </w:pPr>
    </w:lvl>
    <w:lvl w:ilvl="7" w:tplc="427AC780">
      <w:start w:val="1"/>
      <w:numFmt w:val="lowerLetter"/>
      <w:lvlText w:val="%8."/>
      <w:lvlJc w:val="left"/>
      <w:pPr>
        <w:ind w:left="5760" w:hanging="360"/>
      </w:pPr>
    </w:lvl>
    <w:lvl w:ilvl="8" w:tplc="3320C29C">
      <w:start w:val="1"/>
      <w:numFmt w:val="lowerRoman"/>
      <w:lvlText w:val="%9."/>
      <w:lvlJc w:val="right"/>
      <w:pPr>
        <w:ind w:left="6480" w:hanging="180"/>
      </w:pPr>
    </w:lvl>
  </w:abstractNum>
  <w:abstractNum w:abstractNumId="221" w15:restartNumberingAfterBreak="0">
    <w:nsid w:val="4BC44B6D"/>
    <w:multiLevelType w:val="hybridMultilevel"/>
    <w:tmpl w:val="FFFFFFFF"/>
    <w:lvl w:ilvl="0" w:tplc="7C6CD0C8">
      <w:start w:val="1"/>
      <w:numFmt w:val="decimal"/>
      <w:lvlText w:val="%1."/>
      <w:lvlJc w:val="left"/>
      <w:pPr>
        <w:ind w:left="720" w:hanging="360"/>
      </w:pPr>
    </w:lvl>
    <w:lvl w:ilvl="1" w:tplc="0A48CCC2">
      <w:start w:val="1"/>
      <w:numFmt w:val="lowerLetter"/>
      <w:lvlText w:val="%2."/>
      <w:lvlJc w:val="left"/>
      <w:pPr>
        <w:ind w:left="1440" w:hanging="360"/>
      </w:pPr>
    </w:lvl>
    <w:lvl w:ilvl="2" w:tplc="E7C289AC">
      <w:start w:val="1"/>
      <w:numFmt w:val="lowerRoman"/>
      <w:lvlText w:val="%3."/>
      <w:lvlJc w:val="right"/>
      <w:pPr>
        <w:ind w:left="2160" w:hanging="180"/>
      </w:pPr>
    </w:lvl>
    <w:lvl w:ilvl="3" w:tplc="33CA5E9E">
      <w:start w:val="1"/>
      <w:numFmt w:val="decimal"/>
      <w:lvlText w:val="%4."/>
      <w:lvlJc w:val="left"/>
      <w:pPr>
        <w:ind w:left="2880" w:hanging="360"/>
      </w:pPr>
    </w:lvl>
    <w:lvl w:ilvl="4" w:tplc="2B50EA48">
      <w:start w:val="1"/>
      <w:numFmt w:val="lowerLetter"/>
      <w:lvlText w:val="%5."/>
      <w:lvlJc w:val="left"/>
      <w:pPr>
        <w:ind w:left="3600" w:hanging="360"/>
      </w:pPr>
    </w:lvl>
    <w:lvl w:ilvl="5" w:tplc="5F469642">
      <w:start w:val="1"/>
      <w:numFmt w:val="lowerRoman"/>
      <w:lvlText w:val="%6."/>
      <w:lvlJc w:val="right"/>
      <w:pPr>
        <w:ind w:left="4320" w:hanging="180"/>
      </w:pPr>
    </w:lvl>
    <w:lvl w:ilvl="6" w:tplc="D256BDFE">
      <w:start w:val="1"/>
      <w:numFmt w:val="decimal"/>
      <w:lvlText w:val="%7."/>
      <w:lvlJc w:val="left"/>
      <w:pPr>
        <w:ind w:left="5040" w:hanging="360"/>
      </w:pPr>
    </w:lvl>
    <w:lvl w:ilvl="7" w:tplc="3860171A">
      <w:start w:val="1"/>
      <w:numFmt w:val="lowerLetter"/>
      <w:lvlText w:val="%8."/>
      <w:lvlJc w:val="left"/>
      <w:pPr>
        <w:ind w:left="5760" w:hanging="360"/>
      </w:pPr>
    </w:lvl>
    <w:lvl w:ilvl="8" w:tplc="BDE21580">
      <w:start w:val="1"/>
      <w:numFmt w:val="lowerRoman"/>
      <w:lvlText w:val="%9."/>
      <w:lvlJc w:val="right"/>
      <w:pPr>
        <w:ind w:left="6480" w:hanging="180"/>
      </w:pPr>
    </w:lvl>
  </w:abstractNum>
  <w:abstractNum w:abstractNumId="222" w15:restartNumberingAfterBreak="0">
    <w:nsid w:val="4BD5F6CB"/>
    <w:multiLevelType w:val="hybridMultilevel"/>
    <w:tmpl w:val="FFFFFFFF"/>
    <w:lvl w:ilvl="0" w:tplc="86C2409A">
      <w:start w:val="4"/>
      <w:numFmt w:val="lowerLetter"/>
      <w:lvlText w:val="%1)"/>
      <w:lvlJc w:val="left"/>
      <w:pPr>
        <w:ind w:left="720" w:hanging="360"/>
      </w:pPr>
    </w:lvl>
    <w:lvl w:ilvl="1" w:tplc="B78CE812">
      <w:start w:val="1"/>
      <w:numFmt w:val="lowerLetter"/>
      <w:lvlText w:val="%2."/>
      <w:lvlJc w:val="left"/>
      <w:pPr>
        <w:ind w:left="1440" w:hanging="360"/>
      </w:pPr>
    </w:lvl>
    <w:lvl w:ilvl="2" w:tplc="B232DC1C">
      <w:start w:val="1"/>
      <w:numFmt w:val="lowerRoman"/>
      <w:lvlText w:val="%3."/>
      <w:lvlJc w:val="right"/>
      <w:pPr>
        <w:ind w:left="2160" w:hanging="180"/>
      </w:pPr>
    </w:lvl>
    <w:lvl w:ilvl="3" w:tplc="9F307E8A">
      <w:start w:val="1"/>
      <w:numFmt w:val="decimal"/>
      <w:lvlText w:val="%4."/>
      <w:lvlJc w:val="left"/>
      <w:pPr>
        <w:ind w:left="2880" w:hanging="360"/>
      </w:pPr>
    </w:lvl>
    <w:lvl w:ilvl="4" w:tplc="0C684E74">
      <w:start w:val="1"/>
      <w:numFmt w:val="lowerLetter"/>
      <w:lvlText w:val="%5."/>
      <w:lvlJc w:val="left"/>
      <w:pPr>
        <w:ind w:left="3600" w:hanging="360"/>
      </w:pPr>
    </w:lvl>
    <w:lvl w:ilvl="5" w:tplc="159AFD58">
      <w:start w:val="1"/>
      <w:numFmt w:val="lowerRoman"/>
      <w:lvlText w:val="%6."/>
      <w:lvlJc w:val="right"/>
      <w:pPr>
        <w:ind w:left="4320" w:hanging="180"/>
      </w:pPr>
    </w:lvl>
    <w:lvl w:ilvl="6" w:tplc="9CB09554">
      <w:start w:val="1"/>
      <w:numFmt w:val="decimal"/>
      <w:lvlText w:val="%7."/>
      <w:lvlJc w:val="left"/>
      <w:pPr>
        <w:ind w:left="5040" w:hanging="360"/>
      </w:pPr>
    </w:lvl>
    <w:lvl w:ilvl="7" w:tplc="421A58C4">
      <w:start w:val="1"/>
      <w:numFmt w:val="lowerLetter"/>
      <w:lvlText w:val="%8."/>
      <w:lvlJc w:val="left"/>
      <w:pPr>
        <w:ind w:left="5760" w:hanging="360"/>
      </w:pPr>
    </w:lvl>
    <w:lvl w:ilvl="8" w:tplc="CB9E155E">
      <w:start w:val="1"/>
      <w:numFmt w:val="lowerRoman"/>
      <w:lvlText w:val="%9."/>
      <w:lvlJc w:val="right"/>
      <w:pPr>
        <w:ind w:left="6480" w:hanging="180"/>
      </w:pPr>
    </w:lvl>
  </w:abstractNum>
  <w:abstractNum w:abstractNumId="223" w15:restartNumberingAfterBreak="0">
    <w:nsid w:val="4CF7CE9B"/>
    <w:multiLevelType w:val="hybridMultilevel"/>
    <w:tmpl w:val="FFFFFFFF"/>
    <w:lvl w:ilvl="0" w:tplc="34A4E56A">
      <w:start w:val="3"/>
      <w:numFmt w:val="lowerLetter"/>
      <w:lvlText w:val="%1."/>
      <w:lvlJc w:val="left"/>
      <w:pPr>
        <w:ind w:left="720" w:hanging="360"/>
      </w:pPr>
    </w:lvl>
    <w:lvl w:ilvl="1" w:tplc="A95A7480">
      <w:start w:val="1"/>
      <w:numFmt w:val="lowerLetter"/>
      <w:lvlText w:val="%2."/>
      <w:lvlJc w:val="left"/>
      <w:pPr>
        <w:ind w:left="1440" w:hanging="360"/>
      </w:pPr>
    </w:lvl>
    <w:lvl w:ilvl="2" w:tplc="DB7A8740">
      <w:start w:val="1"/>
      <w:numFmt w:val="lowerRoman"/>
      <w:lvlText w:val="%3."/>
      <w:lvlJc w:val="right"/>
      <w:pPr>
        <w:ind w:left="2160" w:hanging="180"/>
      </w:pPr>
    </w:lvl>
    <w:lvl w:ilvl="3" w:tplc="095EBE78">
      <w:start w:val="1"/>
      <w:numFmt w:val="decimal"/>
      <w:lvlText w:val="%4."/>
      <w:lvlJc w:val="left"/>
      <w:pPr>
        <w:ind w:left="2880" w:hanging="360"/>
      </w:pPr>
    </w:lvl>
    <w:lvl w:ilvl="4" w:tplc="A7004E46">
      <w:start w:val="1"/>
      <w:numFmt w:val="lowerLetter"/>
      <w:lvlText w:val="%5."/>
      <w:lvlJc w:val="left"/>
      <w:pPr>
        <w:ind w:left="3600" w:hanging="360"/>
      </w:pPr>
    </w:lvl>
    <w:lvl w:ilvl="5" w:tplc="285839B8">
      <w:start w:val="1"/>
      <w:numFmt w:val="lowerRoman"/>
      <w:lvlText w:val="%6."/>
      <w:lvlJc w:val="right"/>
      <w:pPr>
        <w:ind w:left="4320" w:hanging="180"/>
      </w:pPr>
    </w:lvl>
    <w:lvl w:ilvl="6" w:tplc="BE0A1A5A">
      <w:start w:val="1"/>
      <w:numFmt w:val="decimal"/>
      <w:lvlText w:val="%7."/>
      <w:lvlJc w:val="left"/>
      <w:pPr>
        <w:ind w:left="5040" w:hanging="360"/>
      </w:pPr>
    </w:lvl>
    <w:lvl w:ilvl="7" w:tplc="44EC9376">
      <w:start w:val="1"/>
      <w:numFmt w:val="lowerLetter"/>
      <w:lvlText w:val="%8."/>
      <w:lvlJc w:val="left"/>
      <w:pPr>
        <w:ind w:left="5760" w:hanging="360"/>
      </w:pPr>
    </w:lvl>
    <w:lvl w:ilvl="8" w:tplc="B4FA5CF0">
      <w:start w:val="1"/>
      <w:numFmt w:val="lowerRoman"/>
      <w:lvlText w:val="%9."/>
      <w:lvlJc w:val="right"/>
      <w:pPr>
        <w:ind w:left="6480" w:hanging="180"/>
      </w:pPr>
    </w:lvl>
  </w:abstractNum>
  <w:abstractNum w:abstractNumId="224" w15:restartNumberingAfterBreak="0">
    <w:nsid w:val="4D197852"/>
    <w:multiLevelType w:val="hybridMultilevel"/>
    <w:tmpl w:val="FFFFFFFF"/>
    <w:lvl w:ilvl="0" w:tplc="B3CC390E">
      <w:start w:val="1"/>
      <w:numFmt w:val="decimal"/>
      <w:lvlText w:val="%1."/>
      <w:lvlJc w:val="left"/>
      <w:pPr>
        <w:ind w:left="720" w:hanging="360"/>
      </w:pPr>
    </w:lvl>
    <w:lvl w:ilvl="1" w:tplc="5C0E22E0">
      <w:start w:val="1"/>
      <w:numFmt w:val="lowerLetter"/>
      <w:lvlText w:val="%2."/>
      <w:lvlJc w:val="left"/>
      <w:pPr>
        <w:ind w:left="1440" w:hanging="360"/>
      </w:pPr>
    </w:lvl>
    <w:lvl w:ilvl="2" w:tplc="78A0EE02">
      <w:start w:val="1"/>
      <w:numFmt w:val="lowerRoman"/>
      <w:lvlText w:val="%3."/>
      <w:lvlJc w:val="right"/>
      <w:pPr>
        <w:ind w:left="2160" w:hanging="180"/>
      </w:pPr>
    </w:lvl>
    <w:lvl w:ilvl="3" w:tplc="51D49D9C">
      <w:start w:val="1"/>
      <w:numFmt w:val="decimal"/>
      <w:lvlText w:val="%4."/>
      <w:lvlJc w:val="left"/>
      <w:pPr>
        <w:ind w:left="2880" w:hanging="360"/>
      </w:pPr>
    </w:lvl>
    <w:lvl w:ilvl="4" w:tplc="1292D246">
      <w:start w:val="1"/>
      <w:numFmt w:val="lowerLetter"/>
      <w:lvlText w:val="%5."/>
      <w:lvlJc w:val="left"/>
      <w:pPr>
        <w:ind w:left="3600" w:hanging="360"/>
      </w:pPr>
    </w:lvl>
    <w:lvl w:ilvl="5" w:tplc="3F4EF75C">
      <w:start w:val="1"/>
      <w:numFmt w:val="lowerRoman"/>
      <w:lvlText w:val="%6."/>
      <w:lvlJc w:val="right"/>
      <w:pPr>
        <w:ind w:left="4320" w:hanging="180"/>
      </w:pPr>
    </w:lvl>
    <w:lvl w:ilvl="6" w:tplc="1E44971C">
      <w:start w:val="1"/>
      <w:numFmt w:val="decimal"/>
      <w:lvlText w:val="%7."/>
      <w:lvlJc w:val="left"/>
      <w:pPr>
        <w:ind w:left="5040" w:hanging="360"/>
      </w:pPr>
    </w:lvl>
    <w:lvl w:ilvl="7" w:tplc="7F789362">
      <w:start w:val="1"/>
      <w:numFmt w:val="lowerLetter"/>
      <w:lvlText w:val="%8."/>
      <w:lvlJc w:val="left"/>
      <w:pPr>
        <w:ind w:left="5760" w:hanging="360"/>
      </w:pPr>
    </w:lvl>
    <w:lvl w:ilvl="8" w:tplc="C25CB92A">
      <w:start w:val="1"/>
      <w:numFmt w:val="lowerRoman"/>
      <w:lvlText w:val="%9."/>
      <w:lvlJc w:val="right"/>
      <w:pPr>
        <w:ind w:left="6480" w:hanging="180"/>
      </w:pPr>
    </w:lvl>
  </w:abstractNum>
  <w:abstractNum w:abstractNumId="225" w15:restartNumberingAfterBreak="0">
    <w:nsid w:val="4D434A1F"/>
    <w:multiLevelType w:val="hybridMultilevel"/>
    <w:tmpl w:val="7B18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4D56C284"/>
    <w:multiLevelType w:val="hybridMultilevel"/>
    <w:tmpl w:val="FFFFFFFF"/>
    <w:lvl w:ilvl="0" w:tplc="FFFFFFFF">
      <w:start w:val="1"/>
      <w:numFmt w:val="bullet"/>
      <w:lvlText w:val="-"/>
      <w:lvlJc w:val="left"/>
      <w:pPr>
        <w:ind w:left="720" w:hanging="360"/>
      </w:pPr>
      <w:rPr>
        <w:rFonts w:ascii="Symbol" w:hAnsi="Symbol" w:hint="default"/>
      </w:rPr>
    </w:lvl>
    <w:lvl w:ilvl="1" w:tplc="0F627744">
      <w:start w:val="1"/>
      <w:numFmt w:val="bullet"/>
      <w:lvlText w:val="o"/>
      <w:lvlJc w:val="left"/>
      <w:pPr>
        <w:ind w:left="1440" w:hanging="360"/>
      </w:pPr>
      <w:rPr>
        <w:rFonts w:ascii="Courier New" w:hAnsi="Courier New" w:hint="default"/>
      </w:rPr>
    </w:lvl>
    <w:lvl w:ilvl="2" w:tplc="DF8ED760">
      <w:start w:val="1"/>
      <w:numFmt w:val="bullet"/>
      <w:lvlText w:val=""/>
      <w:lvlJc w:val="left"/>
      <w:pPr>
        <w:ind w:left="2160" w:hanging="360"/>
      </w:pPr>
      <w:rPr>
        <w:rFonts w:ascii="Wingdings" w:hAnsi="Wingdings" w:hint="default"/>
      </w:rPr>
    </w:lvl>
    <w:lvl w:ilvl="3" w:tplc="024803B8">
      <w:start w:val="1"/>
      <w:numFmt w:val="bullet"/>
      <w:lvlText w:val=""/>
      <w:lvlJc w:val="left"/>
      <w:pPr>
        <w:ind w:left="2880" w:hanging="360"/>
      </w:pPr>
      <w:rPr>
        <w:rFonts w:ascii="Symbol" w:hAnsi="Symbol" w:hint="default"/>
      </w:rPr>
    </w:lvl>
    <w:lvl w:ilvl="4" w:tplc="0ADE5EFA">
      <w:start w:val="1"/>
      <w:numFmt w:val="bullet"/>
      <w:lvlText w:val="o"/>
      <w:lvlJc w:val="left"/>
      <w:pPr>
        <w:ind w:left="3600" w:hanging="360"/>
      </w:pPr>
      <w:rPr>
        <w:rFonts w:ascii="Courier New" w:hAnsi="Courier New" w:hint="default"/>
      </w:rPr>
    </w:lvl>
    <w:lvl w:ilvl="5" w:tplc="19DC67A6">
      <w:start w:val="1"/>
      <w:numFmt w:val="bullet"/>
      <w:lvlText w:val=""/>
      <w:lvlJc w:val="left"/>
      <w:pPr>
        <w:ind w:left="4320" w:hanging="360"/>
      </w:pPr>
      <w:rPr>
        <w:rFonts w:ascii="Wingdings" w:hAnsi="Wingdings" w:hint="default"/>
      </w:rPr>
    </w:lvl>
    <w:lvl w:ilvl="6" w:tplc="B50E5BBE">
      <w:start w:val="1"/>
      <w:numFmt w:val="bullet"/>
      <w:lvlText w:val=""/>
      <w:lvlJc w:val="left"/>
      <w:pPr>
        <w:ind w:left="5040" w:hanging="360"/>
      </w:pPr>
      <w:rPr>
        <w:rFonts w:ascii="Symbol" w:hAnsi="Symbol" w:hint="default"/>
      </w:rPr>
    </w:lvl>
    <w:lvl w:ilvl="7" w:tplc="098CA156">
      <w:start w:val="1"/>
      <w:numFmt w:val="bullet"/>
      <w:lvlText w:val="o"/>
      <w:lvlJc w:val="left"/>
      <w:pPr>
        <w:ind w:left="5760" w:hanging="360"/>
      </w:pPr>
      <w:rPr>
        <w:rFonts w:ascii="Courier New" w:hAnsi="Courier New" w:hint="default"/>
      </w:rPr>
    </w:lvl>
    <w:lvl w:ilvl="8" w:tplc="F67C870C">
      <w:start w:val="1"/>
      <w:numFmt w:val="bullet"/>
      <w:lvlText w:val=""/>
      <w:lvlJc w:val="left"/>
      <w:pPr>
        <w:ind w:left="6480" w:hanging="360"/>
      </w:pPr>
      <w:rPr>
        <w:rFonts w:ascii="Wingdings" w:hAnsi="Wingdings" w:hint="default"/>
      </w:rPr>
    </w:lvl>
  </w:abstractNum>
  <w:abstractNum w:abstractNumId="227" w15:restartNumberingAfterBreak="0">
    <w:nsid w:val="4F152007"/>
    <w:multiLevelType w:val="hybridMultilevel"/>
    <w:tmpl w:val="FFFFFFFF"/>
    <w:lvl w:ilvl="0" w:tplc="CA82725E">
      <w:start w:val="2"/>
      <w:numFmt w:val="decimal"/>
      <w:lvlText w:val="%1."/>
      <w:lvlJc w:val="left"/>
      <w:pPr>
        <w:ind w:left="720" w:hanging="360"/>
      </w:pPr>
    </w:lvl>
    <w:lvl w:ilvl="1" w:tplc="05EA1ED6">
      <w:start w:val="1"/>
      <w:numFmt w:val="lowerLetter"/>
      <w:lvlText w:val="%2."/>
      <w:lvlJc w:val="left"/>
      <w:pPr>
        <w:ind w:left="1440" w:hanging="360"/>
      </w:pPr>
    </w:lvl>
    <w:lvl w:ilvl="2" w:tplc="832A80CE">
      <w:start w:val="1"/>
      <w:numFmt w:val="lowerRoman"/>
      <w:lvlText w:val="%3."/>
      <w:lvlJc w:val="right"/>
      <w:pPr>
        <w:ind w:left="2160" w:hanging="180"/>
      </w:pPr>
    </w:lvl>
    <w:lvl w:ilvl="3" w:tplc="EBE06F68">
      <w:start w:val="1"/>
      <w:numFmt w:val="decimal"/>
      <w:lvlText w:val="%4."/>
      <w:lvlJc w:val="left"/>
      <w:pPr>
        <w:ind w:left="2880" w:hanging="360"/>
      </w:pPr>
    </w:lvl>
    <w:lvl w:ilvl="4" w:tplc="862A7BEE">
      <w:start w:val="1"/>
      <w:numFmt w:val="lowerLetter"/>
      <w:lvlText w:val="%5."/>
      <w:lvlJc w:val="left"/>
      <w:pPr>
        <w:ind w:left="3600" w:hanging="360"/>
      </w:pPr>
    </w:lvl>
    <w:lvl w:ilvl="5" w:tplc="EE16753E">
      <w:start w:val="1"/>
      <w:numFmt w:val="lowerRoman"/>
      <w:lvlText w:val="%6."/>
      <w:lvlJc w:val="right"/>
      <w:pPr>
        <w:ind w:left="4320" w:hanging="180"/>
      </w:pPr>
    </w:lvl>
    <w:lvl w:ilvl="6" w:tplc="39A4CC10">
      <w:start w:val="1"/>
      <w:numFmt w:val="decimal"/>
      <w:lvlText w:val="%7."/>
      <w:lvlJc w:val="left"/>
      <w:pPr>
        <w:ind w:left="5040" w:hanging="360"/>
      </w:pPr>
    </w:lvl>
    <w:lvl w:ilvl="7" w:tplc="0388B296">
      <w:start w:val="1"/>
      <w:numFmt w:val="lowerLetter"/>
      <w:lvlText w:val="%8."/>
      <w:lvlJc w:val="left"/>
      <w:pPr>
        <w:ind w:left="5760" w:hanging="360"/>
      </w:pPr>
    </w:lvl>
    <w:lvl w:ilvl="8" w:tplc="9CC0F6DE">
      <w:start w:val="1"/>
      <w:numFmt w:val="lowerRoman"/>
      <w:lvlText w:val="%9."/>
      <w:lvlJc w:val="right"/>
      <w:pPr>
        <w:ind w:left="6480" w:hanging="180"/>
      </w:pPr>
    </w:lvl>
  </w:abstractNum>
  <w:abstractNum w:abstractNumId="228" w15:restartNumberingAfterBreak="0">
    <w:nsid w:val="4F4BCD03"/>
    <w:multiLevelType w:val="hybridMultilevel"/>
    <w:tmpl w:val="FFFFFFFF"/>
    <w:lvl w:ilvl="0" w:tplc="AE661360">
      <w:start w:val="4"/>
      <w:numFmt w:val="decimal"/>
      <w:lvlText w:val="%1."/>
      <w:lvlJc w:val="left"/>
      <w:pPr>
        <w:ind w:left="720" w:hanging="360"/>
      </w:pPr>
    </w:lvl>
    <w:lvl w:ilvl="1" w:tplc="AB58D274">
      <w:start w:val="1"/>
      <w:numFmt w:val="lowerLetter"/>
      <w:lvlText w:val="%2."/>
      <w:lvlJc w:val="left"/>
      <w:pPr>
        <w:ind w:left="1440" w:hanging="360"/>
      </w:pPr>
    </w:lvl>
    <w:lvl w:ilvl="2" w:tplc="252445AA">
      <w:start w:val="1"/>
      <w:numFmt w:val="lowerRoman"/>
      <w:lvlText w:val="%3."/>
      <w:lvlJc w:val="right"/>
      <w:pPr>
        <w:ind w:left="2160" w:hanging="180"/>
      </w:pPr>
    </w:lvl>
    <w:lvl w:ilvl="3" w:tplc="DD6052F6">
      <w:start w:val="1"/>
      <w:numFmt w:val="decimal"/>
      <w:lvlText w:val="%4."/>
      <w:lvlJc w:val="left"/>
      <w:pPr>
        <w:ind w:left="2880" w:hanging="360"/>
      </w:pPr>
    </w:lvl>
    <w:lvl w:ilvl="4" w:tplc="12464D5A">
      <w:start w:val="1"/>
      <w:numFmt w:val="lowerLetter"/>
      <w:lvlText w:val="%5."/>
      <w:lvlJc w:val="left"/>
      <w:pPr>
        <w:ind w:left="3600" w:hanging="360"/>
      </w:pPr>
    </w:lvl>
    <w:lvl w:ilvl="5" w:tplc="0C0A5940">
      <w:start w:val="1"/>
      <w:numFmt w:val="lowerRoman"/>
      <w:lvlText w:val="%6."/>
      <w:lvlJc w:val="right"/>
      <w:pPr>
        <w:ind w:left="4320" w:hanging="180"/>
      </w:pPr>
    </w:lvl>
    <w:lvl w:ilvl="6" w:tplc="7FC40EA2">
      <w:start w:val="1"/>
      <w:numFmt w:val="decimal"/>
      <w:lvlText w:val="%7."/>
      <w:lvlJc w:val="left"/>
      <w:pPr>
        <w:ind w:left="5040" w:hanging="360"/>
      </w:pPr>
    </w:lvl>
    <w:lvl w:ilvl="7" w:tplc="B5142DC0">
      <w:start w:val="1"/>
      <w:numFmt w:val="lowerLetter"/>
      <w:lvlText w:val="%8."/>
      <w:lvlJc w:val="left"/>
      <w:pPr>
        <w:ind w:left="5760" w:hanging="360"/>
      </w:pPr>
    </w:lvl>
    <w:lvl w:ilvl="8" w:tplc="78DC1A2E">
      <w:start w:val="1"/>
      <w:numFmt w:val="lowerRoman"/>
      <w:lvlText w:val="%9."/>
      <w:lvlJc w:val="right"/>
      <w:pPr>
        <w:ind w:left="6480" w:hanging="180"/>
      </w:pPr>
    </w:lvl>
  </w:abstractNum>
  <w:abstractNum w:abstractNumId="229" w15:restartNumberingAfterBreak="0">
    <w:nsid w:val="4F6CC38F"/>
    <w:multiLevelType w:val="hybridMultilevel"/>
    <w:tmpl w:val="FFFFFFFF"/>
    <w:lvl w:ilvl="0" w:tplc="AEBC0822">
      <w:start w:val="5"/>
      <w:numFmt w:val="decimal"/>
      <w:lvlText w:val="%1."/>
      <w:lvlJc w:val="left"/>
      <w:pPr>
        <w:ind w:left="720" w:hanging="360"/>
      </w:pPr>
    </w:lvl>
    <w:lvl w:ilvl="1" w:tplc="6E32F122">
      <w:start w:val="1"/>
      <w:numFmt w:val="lowerLetter"/>
      <w:lvlText w:val="%2."/>
      <w:lvlJc w:val="left"/>
      <w:pPr>
        <w:ind w:left="1440" w:hanging="360"/>
      </w:pPr>
    </w:lvl>
    <w:lvl w:ilvl="2" w:tplc="4828B5EC">
      <w:start w:val="1"/>
      <w:numFmt w:val="lowerRoman"/>
      <w:lvlText w:val="%3."/>
      <w:lvlJc w:val="right"/>
      <w:pPr>
        <w:ind w:left="2160" w:hanging="180"/>
      </w:pPr>
    </w:lvl>
    <w:lvl w:ilvl="3" w:tplc="B344C146">
      <w:start w:val="1"/>
      <w:numFmt w:val="decimal"/>
      <w:lvlText w:val="%4."/>
      <w:lvlJc w:val="left"/>
      <w:pPr>
        <w:ind w:left="2880" w:hanging="360"/>
      </w:pPr>
    </w:lvl>
    <w:lvl w:ilvl="4" w:tplc="30CA1E62">
      <w:start w:val="1"/>
      <w:numFmt w:val="lowerLetter"/>
      <w:lvlText w:val="%5."/>
      <w:lvlJc w:val="left"/>
      <w:pPr>
        <w:ind w:left="3600" w:hanging="360"/>
      </w:pPr>
    </w:lvl>
    <w:lvl w:ilvl="5" w:tplc="0D420ED0">
      <w:start w:val="1"/>
      <w:numFmt w:val="lowerRoman"/>
      <w:lvlText w:val="%6."/>
      <w:lvlJc w:val="right"/>
      <w:pPr>
        <w:ind w:left="4320" w:hanging="180"/>
      </w:pPr>
    </w:lvl>
    <w:lvl w:ilvl="6" w:tplc="A330E562">
      <w:start w:val="1"/>
      <w:numFmt w:val="decimal"/>
      <w:lvlText w:val="%7."/>
      <w:lvlJc w:val="left"/>
      <w:pPr>
        <w:ind w:left="5040" w:hanging="360"/>
      </w:pPr>
    </w:lvl>
    <w:lvl w:ilvl="7" w:tplc="8020C7FA">
      <w:start w:val="1"/>
      <w:numFmt w:val="lowerLetter"/>
      <w:lvlText w:val="%8."/>
      <w:lvlJc w:val="left"/>
      <w:pPr>
        <w:ind w:left="5760" w:hanging="360"/>
      </w:pPr>
    </w:lvl>
    <w:lvl w:ilvl="8" w:tplc="4A90011A">
      <w:start w:val="1"/>
      <w:numFmt w:val="lowerRoman"/>
      <w:lvlText w:val="%9."/>
      <w:lvlJc w:val="right"/>
      <w:pPr>
        <w:ind w:left="6480" w:hanging="180"/>
      </w:pPr>
    </w:lvl>
  </w:abstractNum>
  <w:abstractNum w:abstractNumId="230" w15:restartNumberingAfterBreak="0">
    <w:nsid w:val="500BC0ED"/>
    <w:multiLevelType w:val="hybridMultilevel"/>
    <w:tmpl w:val="7E6C556C"/>
    <w:lvl w:ilvl="0" w:tplc="8B3E2FA6">
      <w:start w:val="1"/>
      <w:numFmt w:val="bullet"/>
      <w:lvlText w:val="-"/>
      <w:lvlJc w:val="left"/>
      <w:pPr>
        <w:ind w:left="720" w:hanging="360"/>
      </w:pPr>
      <w:rPr>
        <w:rFonts w:ascii="Calibri" w:hAnsi="Calibri" w:hint="default"/>
      </w:rPr>
    </w:lvl>
    <w:lvl w:ilvl="1" w:tplc="4678C744">
      <w:start w:val="1"/>
      <w:numFmt w:val="bullet"/>
      <w:lvlText w:val="o"/>
      <w:lvlJc w:val="left"/>
      <w:pPr>
        <w:ind w:left="1440" w:hanging="360"/>
      </w:pPr>
      <w:rPr>
        <w:rFonts w:ascii="Courier New" w:hAnsi="Courier New" w:hint="default"/>
      </w:rPr>
    </w:lvl>
    <w:lvl w:ilvl="2" w:tplc="F676D4E2">
      <w:start w:val="1"/>
      <w:numFmt w:val="bullet"/>
      <w:lvlText w:val=""/>
      <w:lvlJc w:val="left"/>
      <w:pPr>
        <w:ind w:left="2160" w:hanging="360"/>
      </w:pPr>
      <w:rPr>
        <w:rFonts w:ascii="Wingdings" w:hAnsi="Wingdings" w:hint="default"/>
      </w:rPr>
    </w:lvl>
    <w:lvl w:ilvl="3" w:tplc="5DE8E092">
      <w:start w:val="1"/>
      <w:numFmt w:val="bullet"/>
      <w:lvlText w:val=""/>
      <w:lvlJc w:val="left"/>
      <w:pPr>
        <w:ind w:left="2880" w:hanging="360"/>
      </w:pPr>
      <w:rPr>
        <w:rFonts w:ascii="Symbol" w:hAnsi="Symbol" w:hint="default"/>
      </w:rPr>
    </w:lvl>
    <w:lvl w:ilvl="4" w:tplc="070E21AE">
      <w:start w:val="1"/>
      <w:numFmt w:val="bullet"/>
      <w:lvlText w:val="o"/>
      <w:lvlJc w:val="left"/>
      <w:pPr>
        <w:ind w:left="3600" w:hanging="360"/>
      </w:pPr>
      <w:rPr>
        <w:rFonts w:ascii="Courier New" w:hAnsi="Courier New" w:hint="default"/>
      </w:rPr>
    </w:lvl>
    <w:lvl w:ilvl="5" w:tplc="6876E762">
      <w:start w:val="1"/>
      <w:numFmt w:val="bullet"/>
      <w:lvlText w:val=""/>
      <w:lvlJc w:val="left"/>
      <w:pPr>
        <w:ind w:left="4320" w:hanging="360"/>
      </w:pPr>
      <w:rPr>
        <w:rFonts w:ascii="Wingdings" w:hAnsi="Wingdings" w:hint="default"/>
      </w:rPr>
    </w:lvl>
    <w:lvl w:ilvl="6" w:tplc="24F4107E">
      <w:start w:val="1"/>
      <w:numFmt w:val="bullet"/>
      <w:lvlText w:val=""/>
      <w:lvlJc w:val="left"/>
      <w:pPr>
        <w:ind w:left="5040" w:hanging="360"/>
      </w:pPr>
      <w:rPr>
        <w:rFonts w:ascii="Symbol" w:hAnsi="Symbol" w:hint="default"/>
      </w:rPr>
    </w:lvl>
    <w:lvl w:ilvl="7" w:tplc="F3023E04">
      <w:start w:val="1"/>
      <w:numFmt w:val="bullet"/>
      <w:lvlText w:val="o"/>
      <w:lvlJc w:val="left"/>
      <w:pPr>
        <w:ind w:left="5760" w:hanging="360"/>
      </w:pPr>
      <w:rPr>
        <w:rFonts w:ascii="Courier New" w:hAnsi="Courier New" w:hint="default"/>
      </w:rPr>
    </w:lvl>
    <w:lvl w:ilvl="8" w:tplc="A8765FB6">
      <w:start w:val="1"/>
      <w:numFmt w:val="bullet"/>
      <w:lvlText w:val=""/>
      <w:lvlJc w:val="left"/>
      <w:pPr>
        <w:ind w:left="6480" w:hanging="360"/>
      </w:pPr>
      <w:rPr>
        <w:rFonts w:ascii="Wingdings" w:hAnsi="Wingdings" w:hint="default"/>
      </w:rPr>
    </w:lvl>
  </w:abstractNum>
  <w:abstractNum w:abstractNumId="231" w15:restartNumberingAfterBreak="0">
    <w:nsid w:val="50E5045C"/>
    <w:multiLevelType w:val="hybridMultilevel"/>
    <w:tmpl w:val="FFFFFFFF"/>
    <w:lvl w:ilvl="0" w:tplc="32485B0C">
      <w:start w:val="1"/>
      <w:numFmt w:val="decimal"/>
      <w:lvlText w:val="%1."/>
      <w:lvlJc w:val="left"/>
      <w:pPr>
        <w:ind w:left="720" w:hanging="360"/>
      </w:pPr>
    </w:lvl>
    <w:lvl w:ilvl="1" w:tplc="6AF4A950">
      <w:start w:val="1"/>
      <w:numFmt w:val="lowerLetter"/>
      <w:lvlText w:val="%2."/>
      <w:lvlJc w:val="left"/>
      <w:pPr>
        <w:ind w:left="1440" w:hanging="360"/>
      </w:pPr>
    </w:lvl>
    <w:lvl w:ilvl="2" w:tplc="FB0CACFE">
      <w:start w:val="1"/>
      <w:numFmt w:val="lowerRoman"/>
      <w:lvlText w:val="%3."/>
      <w:lvlJc w:val="right"/>
      <w:pPr>
        <w:ind w:left="2160" w:hanging="180"/>
      </w:pPr>
    </w:lvl>
    <w:lvl w:ilvl="3" w:tplc="FEAE1AD2">
      <w:start w:val="1"/>
      <w:numFmt w:val="decimal"/>
      <w:lvlText w:val="%4."/>
      <w:lvlJc w:val="left"/>
      <w:pPr>
        <w:ind w:left="2880" w:hanging="360"/>
      </w:pPr>
    </w:lvl>
    <w:lvl w:ilvl="4" w:tplc="6E621FA4">
      <w:start w:val="1"/>
      <w:numFmt w:val="lowerLetter"/>
      <w:lvlText w:val="%5."/>
      <w:lvlJc w:val="left"/>
      <w:pPr>
        <w:ind w:left="3600" w:hanging="360"/>
      </w:pPr>
    </w:lvl>
    <w:lvl w:ilvl="5" w:tplc="30FCC314">
      <w:start w:val="1"/>
      <w:numFmt w:val="lowerRoman"/>
      <w:lvlText w:val="%6."/>
      <w:lvlJc w:val="right"/>
      <w:pPr>
        <w:ind w:left="4320" w:hanging="180"/>
      </w:pPr>
    </w:lvl>
    <w:lvl w:ilvl="6" w:tplc="8B023546">
      <w:start w:val="1"/>
      <w:numFmt w:val="decimal"/>
      <w:lvlText w:val="%7."/>
      <w:lvlJc w:val="left"/>
      <w:pPr>
        <w:ind w:left="5040" w:hanging="360"/>
      </w:pPr>
    </w:lvl>
    <w:lvl w:ilvl="7" w:tplc="205E3E88">
      <w:start w:val="1"/>
      <w:numFmt w:val="lowerLetter"/>
      <w:lvlText w:val="%8."/>
      <w:lvlJc w:val="left"/>
      <w:pPr>
        <w:ind w:left="5760" w:hanging="360"/>
      </w:pPr>
    </w:lvl>
    <w:lvl w:ilvl="8" w:tplc="40321C88">
      <w:start w:val="1"/>
      <w:numFmt w:val="lowerRoman"/>
      <w:lvlText w:val="%9."/>
      <w:lvlJc w:val="right"/>
      <w:pPr>
        <w:ind w:left="6480" w:hanging="180"/>
      </w:pPr>
    </w:lvl>
  </w:abstractNum>
  <w:abstractNum w:abstractNumId="232" w15:restartNumberingAfterBreak="0">
    <w:nsid w:val="514B336C"/>
    <w:multiLevelType w:val="hybridMultilevel"/>
    <w:tmpl w:val="FFFFFFFF"/>
    <w:lvl w:ilvl="0" w:tplc="14681674">
      <w:start w:val="1"/>
      <w:numFmt w:val="decimal"/>
      <w:lvlText w:val="%1."/>
      <w:lvlJc w:val="left"/>
      <w:pPr>
        <w:ind w:left="720" w:hanging="360"/>
      </w:pPr>
    </w:lvl>
    <w:lvl w:ilvl="1" w:tplc="D1D444F8">
      <w:start w:val="7"/>
      <w:numFmt w:val="lowerRoman"/>
      <w:lvlText w:val="%2."/>
      <w:lvlJc w:val="right"/>
      <w:pPr>
        <w:ind w:left="1440" w:hanging="360"/>
      </w:pPr>
    </w:lvl>
    <w:lvl w:ilvl="2" w:tplc="393C1508">
      <w:start w:val="1"/>
      <w:numFmt w:val="lowerRoman"/>
      <w:lvlText w:val="%3."/>
      <w:lvlJc w:val="right"/>
      <w:pPr>
        <w:ind w:left="2160" w:hanging="180"/>
      </w:pPr>
    </w:lvl>
    <w:lvl w:ilvl="3" w:tplc="344CA522">
      <w:start w:val="1"/>
      <w:numFmt w:val="decimal"/>
      <w:lvlText w:val="%4."/>
      <w:lvlJc w:val="left"/>
      <w:pPr>
        <w:ind w:left="2880" w:hanging="360"/>
      </w:pPr>
    </w:lvl>
    <w:lvl w:ilvl="4" w:tplc="B5760C72">
      <w:start w:val="1"/>
      <w:numFmt w:val="lowerLetter"/>
      <w:lvlText w:val="%5."/>
      <w:lvlJc w:val="left"/>
      <w:pPr>
        <w:ind w:left="3600" w:hanging="360"/>
      </w:pPr>
    </w:lvl>
    <w:lvl w:ilvl="5" w:tplc="CFA8FC1A">
      <w:start w:val="1"/>
      <w:numFmt w:val="lowerRoman"/>
      <w:lvlText w:val="%6."/>
      <w:lvlJc w:val="right"/>
      <w:pPr>
        <w:ind w:left="4320" w:hanging="180"/>
      </w:pPr>
    </w:lvl>
    <w:lvl w:ilvl="6" w:tplc="09BE3E00">
      <w:start w:val="1"/>
      <w:numFmt w:val="decimal"/>
      <w:lvlText w:val="%7."/>
      <w:lvlJc w:val="left"/>
      <w:pPr>
        <w:ind w:left="5040" w:hanging="360"/>
      </w:pPr>
    </w:lvl>
    <w:lvl w:ilvl="7" w:tplc="F8C40C28">
      <w:start w:val="1"/>
      <w:numFmt w:val="lowerLetter"/>
      <w:lvlText w:val="%8."/>
      <w:lvlJc w:val="left"/>
      <w:pPr>
        <w:ind w:left="5760" w:hanging="360"/>
      </w:pPr>
    </w:lvl>
    <w:lvl w:ilvl="8" w:tplc="CA329D36">
      <w:start w:val="1"/>
      <w:numFmt w:val="lowerRoman"/>
      <w:lvlText w:val="%9."/>
      <w:lvlJc w:val="right"/>
      <w:pPr>
        <w:ind w:left="6480" w:hanging="180"/>
      </w:pPr>
    </w:lvl>
  </w:abstractNum>
  <w:abstractNum w:abstractNumId="233" w15:restartNumberingAfterBreak="0">
    <w:nsid w:val="5166116E"/>
    <w:multiLevelType w:val="hybridMultilevel"/>
    <w:tmpl w:val="FFFFFFFF"/>
    <w:lvl w:ilvl="0" w:tplc="AAF27232">
      <w:start w:val="6"/>
      <w:numFmt w:val="lowerRoman"/>
      <w:lvlText w:val="%1."/>
      <w:lvlJc w:val="right"/>
      <w:pPr>
        <w:ind w:left="1080" w:hanging="360"/>
      </w:pPr>
    </w:lvl>
    <w:lvl w:ilvl="1" w:tplc="6A547E80">
      <w:start w:val="1"/>
      <w:numFmt w:val="lowerLetter"/>
      <w:lvlText w:val="%2."/>
      <w:lvlJc w:val="left"/>
      <w:pPr>
        <w:ind w:left="1440" w:hanging="360"/>
      </w:pPr>
    </w:lvl>
    <w:lvl w:ilvl="2" w:tplc="93B872E8">
      <w:start w:val="1"/>
      <w:numFmt w:val="lowerRoman"/>
      <w:lvlText w:val="%3."/>
      <w:lvlJc w:val="right"/>
      <w:pPr>
        <w:ind w:left="2160" w:hanging="180"/>
      </w:pPr>
    </w:lvl>
    <w:lvl w:ilvl="3" w:tplc="9B32464E">
      <w:start w:val="1"/>
      <w:numFmt w:val="decimal"/>
      <w:lvlText w:val="%4."/>
      <w:lvlJc w:val="left"/>
      <w:pPr>
        <w:ind w:left="2880" w:hanging="360"/>
      </w:pPr>
    </w:lvl>
    <w:lvl w:ilvl="4" w:tplc="AC642A96">
      <w:start w:val="1"/>
      <w:numFmt w:val="lowerLetter"/>
      <w:lvlText w:val="%5."/>
      <w:lvlJc w:val="left"/>
      <w:pPr>
        <w:ind w:left="3600" w:hanging="360"/>
      </w:pPr>
    </w:lvl>
    <w:lvl w:ilvl="5" w:tplc="3AAC594A">
      <w:start w:val="1"/>
      <w:numFmt w:val="lowerRoman"/>
      <w:lvlText w:val="%6."/>
      <w:lvlJc w:val="right"/>
      <w:pPr>
        <w:ind w:left="4320" w:hanging="180"/>
      </w:pPr>
    </w:lvl>
    <w:lvl w:ilvl="6" w:tplc="F094EA5E">
      <w:start w:val="1"/>
      <w:numFmt w:val="decimal"/>
      <w:lvlText w:val="%7."/>
      <w:lvlJc w:val="left"/>
      <w:pPr>
        <w:ind w:left="5040" w:hanging="360"/>
      </w:pPr>
    </w:lvl>
    <w:lvl w:ilvl="7" w:tplc="9D32EC98">
      <w:start w:val="1"/>
      <w:numFmt w:val="lowerLetter"/>
      <w:lvlText w:val="%8."/>
      <w:lvlJc w:val="left"/>
      <w:pPr>
        <w:ind w:left="5760" w:hanging="360"/>
      </w:pPr>
    </w:lvl>
    <w:lvl w:ilvl="8" w:tplc="4874D846">
      <w:start w:val="1"/>
      <w:numFmt w:val="lowerRoman"/>
      <w:lvlText w:val="%9."/>
      <w:lvlJc w:val="right"/>
      <w:pPr>
        <w:ind w:left="6480" w:hanging="180"/>
      </w:pPr>
    </w:lvl>
  </w:abstractNum>
  <w:abstractNum w:abstractNumId="234" w15:restartNumberingAfterBreak="0">
    <w:nsid w:val="51C37177"/>
    <w:multiLevelType w:val="hybridMultilevel"/>
    <w:tmpl w:val="EC946832"/>
    <w:lvl w:ilvl="0" w:tplc="CAF6C82E">
      <w:start w:val="3"/>
      <w:numFmt w:val="lowerLetter"/>
      <w:lvlText w:val="%1)"/>
      <w:lvlJc w:val="left"/>
      <w:pPr>
        <w:ind w:left="720" w:hanging="360"/>
      </w:pPr>
    </w:lvl>
    <w:lvl w:ilvl="1" w:tplc="004A85F0">
      <w:start w:val="1"/>
      <w:numFmt w:val="lowerLetter"/>
      <w:lvlText w:val="%2."/>
      <w:lvlJc w:val="left"/>
      <w:pPr>
        <w:ind w:left="1440" w:hanging="360"/>
      </w:pPr>
    </w:lvl>
    <w:lvl w:ilvl="2" w:tplc="DC38EF76">
      <w:start w:val="1"/>
      <w:numFmt w:val="lowerRoman"/>
      <w:lvlText w:val="%3."/>
      <w:lvlJc w:val="right"/>
      <w:pPr>
        <w:ind w:left="2160" w:hanging="180"/>
      </w:pPr>
    </w:lvl>
    <w:lvl w:ilvl="3" w:tplc="11568B4E">
      <w:start w:val="1"/>
      <w:numFmt w:val="decimal"/>
      <w:lvlText w:val="%4."/>
      <w:lvlJc w:val="left"/>
      <w:pPr>
        <w:ind w:left="2880" w:hanging="360"/>
      </w:pPr>
    </w:lvl>
    <w:lvl w:ilvl="4" w:tplc="D0F0239E">
      <w:start w:val="1"/>
      <w:numFmt w:val="lowerLetter"/>
      <w:lvlText w:val="%5."/>
      <w:lvlJc w:val="left"/>
      <w:pPr>
        <w:ind w:left="3600" w:hanging="360"/>
      </w:pPr>
    </w:lvl>
    <w:lvl w:ilvl="5" w:tplc="D34A66F4">
      <w:start w:val="1"/>
      <w:numFmt w:val="lowerRoman"/>
      <w:lvlText w:val="%6."/>
      <w:lvlJc w:val="right"/>
      <w:pPr>
        <w:ind w:left="4320" w:hanging="180"/>
      </w:pPr>
    </w:lvl>
    <w:lvl w:ilvl="6" w:tplc="05F61EAA">
      <w:start w:val="1"/>
      <w:numFmt w:val="decimal"/>
      <w:lvlText w:val="%7."/>
      <w:lvlJc w:val="left"/>
      <w:pPr>
        <w:ind w:left="5040" w:hanging="360"/>
      </w:pPr>
    </w:lvl>
    <w:lvl w:ilvl="7" w:tplc="A1FE1BA8">
      <w:start w:val="1"/>
      <w:numFmt w:val="lowerLetter"/>
      <w:lvlText w:val="%8."/>
      <w:lvlJc w:val="left"/>
      <w:pPr>
        <w:ind w:left="5760" w:hanging="360"/>
      </w:pPr>
    </w:lvl>
    <w:lvl w:ilvl="8" w:tplc="61C66588">
      <w:start w:val="1"/>
      <w:numFmt w:val="lowerRoman"/>
      <w:lvlText w:val="%9."/>
      <w:lvlJc w:val="right"/>
      <w:pPr>
        <w:ind w:left="6480" w:hanging="180"/>
      </w:pPr>
    </w:lvl>
  </w:abstractNum>
  <w:abstractNum w:abstractNumId="235" w15:restartNumberingAfterBreak="0">
    <w:nsid w:val="51F44E1C"/>
    <w:multiLevelType w:val="hybridMultilevel"/>
    <w:tmpl w:val="FFFFFFFF"/>
    <w:lvl w:ilvl="0" w:tplc="695A3D84">
      <w:start w:val="3"/>
      <w:numFmt w:val="lowerLetter"/>
      <w:lvlText w:val="%1)"/>
      <w:lvlJc w:val="left"/>
      <w:pPr>
        <w:ind w:left="720" w:hanging="360"/>
      </w:pPr>
    </w:lvl>
    <w:lvl w:ilvl="1" w:tplc="60C4B6F0">
      <w:start w:val="1"/>
      <w:numFmt w:val="lowerLetter"/>
      <w:lvlText w:val="%2."/>
      <w:lvlJc w:val="left"/>
      <w:pPr>
        <w:ind w:left="1440" w:hanging="360"/>
      </w:pPr>
    </w:lvl>
    <w:lvl w:ilvl="2" w:tplc="8B442604">
      <w:start w:val="1"/>
      <w:numFmt w:val="lowerRoman"/>
      <w:lvlText w:val="%3."/>
      <w:lvlJc w:val="right"/>
      <w:pPr>
        <w:ind w:left="2160" w:hanging="180"/>
      </w:pPr>
    </w:lvl>
    <w:lvl w:ilvl="3" w:tplc="B9C2F266">
      <w:start w:val="1"/>
      <w:numFmt w:val="decimal"/>
      <w:lvlText w:val="%4."/>
      <w:lvlJc w:val="left"/>
      <w:pPr>
        <w:ind w:left="2880" w:hanging="360"/>
      </w:pPr>
    </w:lvl>
    <w:lvl w:ilvl="4" w:tplc="CA56BDFC">
      <w:start w:val="1"/>
      <w:numFmt w:val="lowerLetter"/>
      <w:lvlText w:val="%5."/>
      <w:lvlJc w:val="left"/>
      <w:pPr>
        <w:ind w:left="3600" w:hanging="360"/>
      </w:pPr>
    </w:lvl>
    <w:lvl w:ilvl="5" w:tplc="08E80E4C">
      <w:start w:val="1"/>
      <w:numFmt w:val="lowerRoman"/>
      <w:lvlText w:val="%6."/>
      <w:lvlJc w:val="right"/>
      <w:pPr>
        <w:ind w:left="4320" w:hanging="180"/>
      </w:pPr>
    </w:lvl>
    <w:lvl w:ilvl="6" w:tplc="E5324C10">
      <w:start w:val="1"/>
      <w:numFmt w:val="decimal"/>
      <w:lvlText w:val="%7."/>
      <w:lvlJc w:val="left"/>
      <w:pPr>
        <w:ind w:left="5040" w:hanging="360"/>
      </w:pPr>
    </w:lvl>
    <w:lvl w:ilvl="7" w:tplc="5F2697B8">
      <w:start w:val="1"/>
      <w:numFmt w:val="lowerLetter"/>
      <w:lvlText w:val="%8."/>
      <w:lvlJc w:val="left"/>
      <w:pPr>
        <w:ind w:left="5760" w:hanging="360"/>
      </w:pPr>
    </w:lvl>
    <w:lvl w:ilvl="8" w:tplc="D6484810">
      <w:start w:val="1"/>
      <w:numFmt w:val="lowerRoman"/>
      <w:lvlText w:val="%9."/>
      <w:lvlJc w:val="right"/>
      <w:pPr>
        <w:ind w:left="6480" w:hanging="180"/>
      </w:pPr>
    </w:lvl>
  </w:abstractNum>
  <w:abstractNum w:abstractNumId="236" w15:restartNumberingAfterBreak="0">
    <w:nsid w:val="520700EC"/>
    <w:multiLevelType w:val="hybridMultilevel"/>
    <w:tmpl w:val="FFFFFFFF"/>
    <w:lvl w:ilvl="0" w:tplc="1410FEF0">
      <w:start w:val="4"/>
      <w:numFmt w:val="decimal"/>
      <w:lvlText w:val="%1."/>
      <w:lvlJc w:val="left"/>
      <w:pPr>
        <w:ind w:left="720" w:hanging="360"/>
      </w:pPr>
    </w:lvl>
    <w:lvl w:ilvl="1" w:tplc="E3220BFE">
      <w:start w:val="1"/>
      <w:numFmt w:val="lowerLetter"/>
      <w:lvlText w:val="%2."/>
      <w:lvlJc w:val="left"/>
      <w:pPr>
        <w:ind w:left="1440" w:hanging="360"/>
      </w:pPr>
    </w:lvl>
    <w:lvl w:ilvl="2" w:tplc="495E1EDA">
      <w:start w:val="1"/>
      <w:numFmt w:val="lowerRoman"/>
      <w:lvlText w:val="%3."/>
      <w:lvlJc w:val="right"/>
      <w:pPr>
        <w:ind w:left="2160" w:hanging="180"/>
      </w:pPr>
    </w:lvl>
    <w:lvl w:ilvl="3" w:tplc="0B14532C">
      <w:start w:val="1"/>
      <w:numFmt w:val="decimal"/>
      <w:lvlText w:val="%4."/>
      <w:lvlJc w:val="left"/>
      <w:pPr>
        <w:ind w:left="2880" w:hanging="360"/>
      </w:pPr>
    </w:lvl>
    <w:lvl w:ilvl="4" w:tplc="3CC6E988">
      <w:start w:val="1"/>
      <w:numFmt w:val="lowerLetter"/>
      <w:lvlText w:val="%5."/>
      <w:lvlJc w:val="left"/>
      <w:pPr>
        <w:ind w:left="3600" w:hanging="360"/>
      </w:pPr>
    </w:lvl>
    <w:lvl w:ilvl="5" w:tplc="8C6448C4">
      <w:start w:val="1"/>
      <w:numFmt w:val="lowerRoman"/>
      <w:lvlText w:val="%6."/>
      <w:lvlJc w:val="right"/>
      <w:pPr>
        <w:ind w:left="4320" w:hanging="180"/>
      </w:pPr>
    </w:lvl>
    <w:lvl w:ilvl="6" w:tplc="1D1AB3F2">
      <w:start w:val="1"/>
      <w:numFmt w:val="decimal"/>
      <w:lvlText w:val="%7."/>
      <w:lvlJc w:val="left"/>
      <w:pPr>
        <w:ind w:left="5040" w:hanging="360"/>
      </w:pPr>
    </w:lvl>
    <w:lvl w:ilvl="7" w:tplc="F312AB2C">
      <w:start w:val="1"/>
      <w:numFmt w:val="lowerLetter"/>
      <w:lvlText w:val="%8."/>
      <w:lvlJc w:val="left"/>
      <w:pPr>
        <w:ind w:left="5760" w:hanging="360"/>
      </w:pPr>
    </w:lvl>
    <w:lvl w:ilvl="8" w:tplc="4590FCC4">
      <w:start w:val="1"/>
      <w:numFmt w:val="lowerRoman"/>
      <w:lvlText w:val="%9."/>
      <w:lvlJc w:val="right"/>
      <w:pPr>
        <w:ind w:left="6480" w:hanging="180"/>
      </w:pPr>
    </w:lvl>
  </w:abstractNum>
  <w:abstractNum w:abstractNumId="237" w15:restartNumberingAfterBreak="0">
    <w:nsid w:val="522438F0"/>
    <w:multiLevelType w:val="hybridMultilevel"/>
    <w:tmpl w:val="FFFFFFFF"/>
    <w:lvl w:ilvl="0" w:tplc="D20EEF50">
      <w:start w:val="1"/>
      <w:numFmt w:val="decimal"/>
      <w:lvlText w:val="%1."/>
      <w:lvlJc w:val="left"/>
      <w:pPr>
        <w:ind w:left="720" w:hanging="360"/>
      </w:pPr>
    </w:lvl>
    <w:lvl w:ilvl="1" w:tplc="742ACCF0">
      <w:start w:val="3"/>
      <w:numFmt w:val="lowerRoman"/>
      <w:lvlText w:val="%2."/>
      <w:lvlJc w:val="right"/>
      <w:pPr>
        <w:ind w:left="1080" w:hanging="360"/>
      </w:pPr>
    </w:lvl>
    <w:lvl w:ilvl="2" w:tplc="9C6692CA">
      <w:start w:val="1"/>
      <w:numFmt w:val="lowerRoman"/>
      <w:lvlText w:val="%3."/>
      <w:lvlJc w:val="right"/>
      <w:pPr>
        <w:ind w:left="2160" w:hanging="180"/>
      </w:pPr>
    </w:lvl>
    <w:lvl w:ilvl="3" w:tplc="E6C82408">
      <w:start w:val="1"/>
      <w:numFmt w:val="decimal"/>
      <w:lvlText w:val="%4."/>
      <w:lvlJc w:val="left"/>
      <w:pPr>
        <w:ind w:left="2880" w:hanging="360"/>
      </w:pPr>
    </w:lvl>
    <w:lvl w:ilvl="4" w:tplc="AC7CC2E2">
      <w:start w:val="1"/>
      <w:numFmt w:val="lowerLetter"/>
      <w:lvlText w:val="%5."/>
      <w:lvlJc w:val="left"/>
      <w:pPr>
        <w:ind w:left="3600" w:hanging="360"/>
      </w:pPr>
    </w:lvl>
    <w:lvl w:ilvl="5" w:tplc="FDE04324">
      <w:start w:val="1"/>
      <w:numFmt w:val="lowerRoman"/>
      <w:lvlText w:val="%6."/>
      <w:lvlJc w:val="right"/>
      <w:pPr>
        <w:ind w:left="4320" w:hanging="180"/>
      </w:pPr>
    </w:lvl>
    <w:lvl w:ilvl="6" w:tplc="4D341352">
      <w:start w:val="1"/>
      <w:numFmt w:val="decimal"/>
      <w:lvlText w:val="%7."/>
      <w:lvlJc w:val="left"/>
      <w:pPr>
        <w:ind w:left="5040" w:hanging="360"/>
      </w:pPr>
    </w:lvl>
    <w:lvl w:ilvl="7" w:tplc="8B12A0F4">
      <w:start w:val="1"/>
      <w:numFmt w:val="lowerLetter"/>
      <w:lvlText w:val="%8."/>
      <w:lvlJc w:val="left"/>
      <w:pPr>
        <w:ind w:left="5760" w:hanging="360"/>
      </w:pPr>
    </w:lvl>
    <w:lvl w:ilvl="8" w:tplc="32A2C406">
      <w:start w:val="1"/>
      <w:numFmt w:val="lowerRoman"/>
      <w:lvlText w:val="%9."/>
      <w:lvlJc w:val="right"/>
      <w:pPr>
        <w:ind w:left="6480" w:hanging="180"/>
      </w:pPr>
    </w:lvl>
  </w:abstractNum>
  <w:abstractNum w:abstractNumId="238" w15:restartNumberingAfterBreak="0">
    <w:nsid w:val="52837F1F"/>
    <w:multiLevelType w:val="hybridMultilevel"/>
    <w:tmpl w:val="FFFFFFFF"/>
    <w:lvl w:ilvl="0" w:tplc="AD809934">
      <w:start w:val="1"/>
      <w:numFmt w:val="bullet"/>
      <w:lvlText w:val="o"/>
      <w:lvlJc w:val="left"/>
      <w:pPr>
        <w:ind w:left="1080" w:hanging="360"/>
      </w:pPr>
      <w:rPr>
        <w:rFonts w:ascii="Courier New" w:hAnsi="Courier New" w:hint="default"/>
      </w:rPr>
    </w:lvl>
    <w:lvl w:ilvl="1" w:tplc="D308886A">
      <w:start w:val="1"/>
      <w:numFmt w:val="bullet"/>
      <w:lvlText w:val="o"/>
      <w:lvlJc w:val="left"/>
      <w:pPr>
        <w:ind w:left="1440" w:hanging="360"/>
      </w:pPr>
      <w:rPr>
        <w:rFonts w:ascii="Courier New" w:hAnsi="Courier New" w:hint="default"/>
      </w:rPr>
    </w:lvl>
    <w:lvl w:ilvl="2" w:tplc="F00EEDBA">
      <w:start w:val="1"/>
      <w:numFmt w:val="bullet"/>
      <w:lvlText w:val=""/>
      <w:lvlJc w:val="left"/>
      <w:pPr>
        <w:ind w:left="2160" w:hanging="360"/>
      </w:pPr>
      <w:rPr>
        <w:rFonts w:ascii="Wingdings" w:hAnsi="Wingdings" w:hint="default"/>
      </w:rPr>
    </w:lvl>
    <w:lvl w:ilvl="3" w:tplc="92A0A442">
      <w:start w:val="1"/>
      <w:numFmt w:val="bullet"/>
      <w:lvlText w:val=""/>
      <w:lvlJc w:val="left"/>
      <w:pPr>
        <w:ind w:left="2880" w:hanging="360"/>
      </w:pPr>
      <w:rPr>
        <w:rFonts w:ascii="Symbol" w:hAnsi="Symbol" w:hint="default"/>
      </w:rPr>
    </w:lvl>
    <w:lvl w:ilvl="4" w:tplc="EECEFA0A">
      <w:start w:val="1"/>
      <w:numFmt w:val="bullet"/>
      <w:lvlText w:val="o"/>
      <w:lvlJc w:val="left"/>
      <w:pPr>
        <w:ind w:left="3600" w:hanging="360"/>
      </w:pPr>
      <w:rPr>
        <w:rFonts w:ascii="Courier New" w:hAnsi="Courier New" w:hint="default"/>
      </w:rPr>
    </w:lvl>
    <w:lvl w:ilvl="5" w:tplc="F0A0B676">
      <w:start w:val="1"/>
      <w:numFmt w:val="bullet"/>
      <w:lvlText w:val=""/>
      <w:lvlJc w:val="left"/>
      <w:pPr>
        <w:ind w:left="4320" w:hanging="360"/>
      </w:pPr>
      <w:rPr>
        <w:rFonts w:ascii="Wingdings" w:hAnsi="Wingdings" w:hint="default"/>
      </w:rPr>
    </w:lvl>
    <w:lvl w:ilvl="6" w:tplc="5FCCAA3A">
      <w:start w:val="1"/>
      <w:numFmt w:val="bullet"/>
      <w:lvlText w:val=""/>
      <w:lvlJc w:val="left"/>
      <w:pPr>
        <w:ind w:left="5040" w:hanging="360"/>
      </w:pPr>
      <w:rPr>
        <w:rFonts w:ascii="Symbol" w:hAnsi="Symbol" w:hint="default"/>
      </w:rPr>
    </w:lvl>
    <w:lvl w:ilvl="7" w:tplc="F1F876E8">
      <w:start w:val="1"/>
      <w:numFmt w:val="bullet"/>
      <w:lvlText w:val="o"/>
      <w:lvlJc w:val="left"/>
      <w:pPr>
        <w:ind w:left="5760" w:hanging="360"/>
      </w:pPr>
      <w:rPr>
        <w:rFonts w:ascii="Courier New" w:hAnsi="Courier New" w:hint="default"/>
      </w:rPr>
    </w:lvl>
    <w:lvl w:ilvl="8" w:tplc="33B87B3C">
      <w:start w:val="1"/>
      <w:numFmt w:val="bullet"/>
      <w:lvlText w:val=""/>
      <w:lvlJc w:val="left"/>
      <w:pPr>
        <w:ind w:left="6480" w:hanging="360"/>
      </w:pPr>
      <w:rPr>
        <w:rFonts w:ascii="Wingdings" w:hAnsi="Wingdings" w:hint="default"/>
      </w:rPr>
    </w:lvl>
  </w:abstractNum>
  <w:abstractNum w:abstractNumId="239" w15:restartNumberingAfterBreak="0">
    <w:nsid w:val="530059C1"/>
    <w:multiLevelType w:val="hybridMultilevel"/>
    <w:tmpl w:val="FFFFFFFF"/>
    <w:lvl w:ilvl="0" w:tplc="B39C18AC">
      <w:start w:val="1"/>
      <w:numFmt w:val="bullet"/>
      <w:lvlText w:val=""/>
      <w:lvlJc w:val="left"/>
      <w:pPr>
        <w:ind w:left="720" w:hanging="360"/>
      </w:pPr>
      <w:rPr>
        <w:rFonts w:ascii="Symbol" w:hAnsi="Symbol" w:hint="default"/>
      </w:rPr>
    </w:lvl>
    <w:lvl w:ilvl="1" w:tplc="E6D8B07C">
      <w:start w:val="1"/>
      <w:numFmt w:val="bullet"/>
      <w:lvlText w:val="o"/>
      <w:lvlJc w:val="left"/>
      <w:pPr>
        <w:ind w:left="1440" w:hanging="360"/>
      </w:pPr>
      <w:rPr>
        <w:rFonts w:ascii="Courier New" w:hAnsi="Courier New" w:hint="default"/>
      </w:rPr>
    </w:lvl>
    <w:lvl w:ilvl="2" w:tplc="F230BE7A">
      <w:start w:val="1"/>
      <w:numFmt w:val="bullet"/>
      <w:lvlText w:val=""/>
      <w:lvlJc w:val="left"/>
      <w:pPr>
        <w:ind w:left="2160" w:hanging="360"/>
      </w:pPr>
      <w:rPr>
        <w:rFonts w:ascii="Wingdings" w:hAnsi="Wingdings" w:hint="default"/>
      </w:rPr>
    </w:lvl>
    <w:lvl w:ilvl="3" w:tplc="BFE406C6">
      <w:start w:val="1"/>
      <w:numFmt w:val="bullet"/>
      <w:lvlText w:val=""/>
      <w:lvlJc w:val="left"/>
      <w:pPr>
        <w:ind w:left="2880" w:hanging="360"/>
      </w:pPr>
      <w:rPr>
        <w:rFonts w:ascii="Symbol" w:hAnsi="Symbol" w:hint="default"/>
      </w:rPr>
    </w:lvl>
    <w:lvl w:ilvl="4" w:tplc="4FEA5500">
      <w:start w:val="1"/>
      <w:numFmt w:val="bullet"/>
      <w:lvlText w:val="o"/>
      <w:lvlJc w:val="left"/>
      <w:pPr>
        <w:ind w:left="3600" w:hanging="360"/>
      </w:pPr>
      <w:rPr>
        <w:rFonts w:ascii="Courier New" w:hAnsi="Courier New" w:hint="default"/>
      </w:rPr>
    </w:lvl>
    <w:lvl w:ilvl="5" w:tplc="58A670E4">
      <w:start w:val="1"/>
      <w:numFmt w:val="bullet"/>
      <w:lvlText w:val=""/>
      <w:lvlJc w:val="left"/>
      <w:pPr>
        <w:ind w:left="4320" w:hanging="360"/>
      </w:pPr>
      <w:rPr>
        <w:rFonts w:ascii="Wingdings" w:hAnsi="Wingdings" w:hint="default"/>
      </w:rPr>
    </w:lvl>
    <w:lvl w:ilvl="6" w:tplc="4E0C7C36">
      <w:start w:val="1"/>
      <w:numFmt w:val="bullet"/>
      <w:lvlText w:val=""/>
      <w:lvlJc w:val="left"/>
      <w:pPr>
        <w:ind w:left="5040" w:hanging="360"/>
      </w:pPr>
      <w:rPr>
        <w:rFonts w:ascii="Symbol" w:hAnsi="Symbol" w:hint="default"/>
      </w:rPr>
    </w:lvl>
    <w:lvl w:ilvl="7" w:tplc="87880672">
      <w:start w:val="1"/>
      <w:numFmt w:val="bullet"/>
      <w:lvlText w:val="o"/>
      <w:lvlJc w:val="left"/>
      <w:pPr>
        <w:ind w:left="5760" w:hanging="360"/>
      </w:pPr>
      <w:rPr>
        <w:rFonts w:ascii="Courier New" w:hAnsi="Courier New" w:hint="default"/>
      </w:rPr>
    </w:lvl>
    <w:lvl w:ilvl="8" w:tplc="83585046">
      <w:start w:val="1"/>
      <w:numFmt w:val="bullet"/>
      <w:lvlText w:val=""/>
      <w:lvlJc w:val="left"/>
      <w:pPr>
        <w:ind w:left="6480" w:hanging="360"/>
      </w:pPr>
      <w:rPr>
        <w:rFonts w:ascii="Wingdings" w:hAnsi="Wingdings" w:hint="default"/>
      </w:rPr>
    </w:lvl>
  </w:abstractNum>
  <w:abstractNum w:abstractNumId="240" w15:restartNumberingAfterBreak="0">
    <w:nsid w:val="5330E3E3"/>
    <w:multiLevelType w:val="hybridMultilevel"/>
    <w:tmpl w:val="FFFFFFFF"/>
    <w:lvl w:ilvl="0" w:tplc="A984972C">
      <w:start w:val="1"/>
      <w:numFmt w:val="decimal"/>
      <w:lvlText w:val="%1."/>
      <w:lvlJc w:val="left"/>
      <w:pPr>
        <w:ind w:left="720" w:hanging="360"/>
      </w:pPr>
    </w:lvl>
    <w:lvl w:ilvl="1" w:tplc="1D28E4E8">
      <w:start w:val="2"/>
      <w:numFmt w:val="lowerRoman"/>
      <w:lvlText w:val="%2."/>
      <w:lvlJc w:val="right"/>
      <w:pPr>
        <w:ind w:left="1080" w:hanging="360"/>
      </w:pPr>
    </w:lvl>
    <w:lvl w:ilvl="2" w:tplc="373ECC36">
      <w:start w:val="1"/>
      <w:numFmt w:val="lowerRoman"/>
      <w:lvlText w:val="%3."/>
      <w:lvlJc w:val="right"/>
      <w:pPr>
        <w:ind w:left="2160" w:hanging="180"/>
      </w:pPr>
    </w:lvl>
    <w:lvl w:ilvl="3" w:tplc="B5C01D92">
      <w:start w:val="1"/>
      <w:numFmt w:val="decimal"/>
      <w:lvlText w:val="%4."/>
      <w:lvlJc w:val="left"/>
      <w:pPr>
        <w:ind w:left="2880" w:hanging="360"/>
      </w:pPr>
    </w:lvl>
    <w:lvl w:ilvl="4" w:tplc="D3F870AA">
      <w:start w:val="1"/>
      <w:numFmt w:val="lowerLetter"/>
      <w:lvlText w:val="%5."/>
      <w:lvlJc w:val="left"/>
      <w:pPr>
        <w:ind w:left="3600" w:hanging="360"/>
      </w:pPr>
    </w:lvl>
    <w:lvl w:ilvl="5" w:tplc="C85E338C">
      <w:start w:val="1"/>
      <w:numFmt w:val="lowerRoman"/>
      <w:lvlText w:val="%6."/>
      <w:lvlJc w:val="right"/>
      <w:pPr>
        <w:ind w:left="4320" w:hanging="180"/>
      </w:pPr>
    </w:lvl>
    <w:lvl w:ilvl="6" w:tplc="EBB40FBE">
      <w:start w:val="1"/>
      <w:numFmt w:val="decimal"/>
      <w:lvlText w:val="%7."/>
      <w:lvlJc w:val="left"/>
      <w:pPr>
        <w:ind w:left="5040" w:hanging="360"/>
      </w:pPr>
    </w:lvl>
    <w:lvl w:ilvl="7" w:tplc="3A28A326">
      <w:start w:val="1"/>
      <w:numFmt w:val="lowerLetter"/>
      <w:lvlText w:val="%8."/>
      <w:lvlJc w:val="left"/>
      <w:pPr>
        <w:ind w:left="5760" w:hanging="360"/>
      </w:pPr>
    </w:lvl>
    <w:lvl w:ilvl="8" w:tplc="61A6A01C">
      <w:start w:val="1"/>
      <w:numFmt w:val="lowerRoman"/>
      <w:lvlText w:val="%9."/>
      <w:lvlJc w:val="right"/>
      <w:pPr>
        <w:ind w:left="6480" w:hanging="180"/>
      </w:pPr>
    </w:lvl>
  </w:abstractNum>
  <w:abstractNum w:abstractNumId="241" w15:restartNumberingAfterBreak="0">
    <w:nsid w:val="53B72021"/>
    <w:multiLevelType w:val="hybridMultilevel"/>
    <w:tmpl w:val="FFFFFFFF"/>
    <w:lvl w:ilvl="0" w:tplc="22AC8ED0">
      <w:start w:val="4"/>
      <w:numFmt w:val="decimal"/>
      <w:lvlText w:val="%1."/>
      <w:lvlJc w:val="left"/>
      <w:pPr>
        <w:ind w:left="720" w:hanging="360"/>
      </w:pPr>
    </w:lvl>
    <w:lvl w:ilvl="1" w:tplc="49B66352">
      <w:start w:val="1"/>
      <w:numFmt w:val="lowerLetter"/>
      <w:lvlText w:val="%2."/>
      <w:lvlJc w:val="left"/>
      <w:pPr>
        <w:ind w:left="1440" w:hanging="360"/>
      </w:pPr>
    </w:lvl>
    <w:lvl w:ilvl="2" w:tplc="CD6EA542">
      <w:start w:val="1"/>
      <w:numFmt w:val="lowerRoman"/>
      <w:lvlText w:val="%3."/>
      <w:lvlJc w:val="right"/>
      <w:pPr>
        <w:ind w:left="2160" w:hanging="180"/>
      </w:pPr>
    </w:lvl>
    <w:lvl w:ilvl="3" w:tplc="4F44561E">
      <w:start w:val="1"/>
      <w:numFmt w:val="decimal"/>
      <w:lvlText w:val="%4."/>
      <w:lvlJc w:val="left"/>
      <w:pPr>
        <w:ind w:left="2880" w:hanging="360"/>
      </w:pPr>
    </w:lvl>
    <w:lvl w:ilvl="4" w:tplc="1138141A">
      <w:start w:val="1"/>
      <w:numFmt w:val="lowerLetter"/>
      <w:lvlText w:val="%5."/>
      <w:lvlJc w:val="left"/>
      <w:pPr>
        <w:ind w:left="3600" w:hanging="360"/>
      </w:pPr>
    </w:lvl>
    <w:lvl w:ilvl="5" w:tplc="684204AA">
      <w:start w:val="1"/>
      <w:numFmt w:val="lowerRoman"/>
      <w:lvlText w:val="%6."/>
      <w:lvlJc w:val="right"/>
      <w:pPr>
        <w:ind w:left="4320" w:hanging="180"/>
      </w:pPr>
    </w:lvl>
    <w:lvl w:ilvl="6" w:tplc="484C132C">
      <w:start w:val="1"/>
      <w:numFmt w:val="decimal"/>
      <w:lvlText w:val="%7."/>
      <w:lvlJc w:val="left"/>
      <w:pPr>
        <w:ind w:left="5040" w:hanging="360"/>
      </w:pPr>
    </w:lvl>
    <w:lvl w:ilvl="7" w:tplc="E41E0AC4">
      <w:start w:val="1"/>
      <w:numFmt w:val="lowerLetter"/>
      <w:lvlText w:val="%8."/>
      <w:lvlJc w:val="left"/>
      <w:pPr>
        <w:ind w:left="5760" w:hanging="360"/>
      </w:pPr>
    </w:lvl>
    <w:lvl w:ilvl="8" w:tplc="59F8FC36">
      <w:start w:val="1"/>
      <w:numFmt w:val="lowerRoman"/>
      <w:lvlText w:val="%9."/>
      <w:lvlJc w:val="right"/>
      <w:pPr>
        <w:ind w:left="6480" w:hanging="180"/>
      </w:pPr>
    </w:lvl>
  </w:abstractNum>
  <w:abstractNum w:abstractNumId="242" w15:restartNumberingAfterBreak="0">
    <w:nsid w:val="53D96FC8"/>
    <w:multiLevelType w:val="multilevel"/>
    <w:tmpl w:val="576E83B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3" w15:restartNumberingAfterBreak="0">
    <w:nsid w:val="544F9FE1"/>
    <w:multiLevelType w:val="hybridMultilevel"/>
    <w:tmpl w:val="DEA0420E"/>
    <w:lvl w:ilvl="0" w:tplc="6D6C2392">
      <w:start w:val="1"/>
      <w:numFmt w:val="bullet"/>
      <w:lvlText w:val="-"/>
      <w:lvlJc w:val="left"/>
      <w:pPr>
        <w:ind w:left="720" w:hanging="360"/>
      </w:pPr>
      <w:rPr>
        <w:rFonts w:ascii="Calibri" w:hAnsi="Calibri" w:hint="default"/>
      </w:rPr>
    </w:lvl>
    <w:lvl w:ilvl="1" w:tplc="FCDAC12A">
      <w:start w:val="1"/>
      <w:numFmt w:val="bullet"/>
      <w:lvlText w:val="o"/>
      <w:lvlJc w:val="left"/>
      <w:pPr>
        <w:ind w:left="1440" w:hanging="360"/>
      </w:pPr>
      <w:rPr>
        <w:rFonts w:ascii="Courier New" w:hAnsi="Courier New" w:hint="default"/>
      </w:rPr>
    </w:lvl>
    <w:lvl w:ilvl="2" w:tplc="24A06382">
      <w:start w:val="1"/>
      <w:numFmt w:val="bullet"/>
      <w:lvlText w:val=""/>
      <w:lvlJc w:val="left"/>
      <w:pPr>
        <w:ind w:left="2160" w:hanging="360"/>
      </w:pPr>
      <w:rPr>
        <w:rFonts w:ascii="Wingdings" w:hAnsi="Wingdings" w:hint="default"/>
      </w:rPr>
    </w:lvl>
    <w:lvl w:ilvl="3" w:tplc="CB2012CC">
      <w:start w:val="1"/>
      <w:numFmt w:val="bullet"/>
      <w:lvlText w:val=""/>
      <w:lvlJc w:val="left"/>
      <w:pPr>
        <w:ind w:left="2880" w:hanging="360"/>
      </w:pPr>
      <w:rPr>
        <w:rFonts w:ascii="Symbol" w:hAnsi="Symbol" w:hint="default"/>
      </w:rPr>
    </w:lvl>
    <w:lvl w:ilvl="4" w:tplc="737604E2">
      <w:start w:val="1"/>
      <w:numFmt w:val="bullet"/>
      <w:lvlText w:val="o"/>
      <w:lvlJc w:val="left"/>
      <w:pPr>
        <w:ind w:left="3600" w:hanging="360"/>
      </w:pPr>
      <w:rPr>
        <w:rFonts w:ascii="Courier New" w:hAnsi="Courier New" w:hint="default"/>
      </w:rPr>
    </w:lvl>
    <w:lvl w:ilvl="5" w:tplc="C3C62038">
      <w:start w:val="1"/>
      <w:numFmt w:val="bullet"/>
      <w:lvlText w:val=""/>
      <w:lvlJc w:val="left"/>
      <w:pPr>
        <w:ind w:left="4320" w:hanging="360"/>
      </w:pPr>
      <w:rPr>
        <w:rFonts w:ascii="Wingdings" w:hAnsi="Wingdings" w:hint="default"/>
      </w:rPr>
    </w:lvl>
    <w:lvl w:ilvl="6" w:tplc="538ED028">
      <w:start w:val="1"/>
      <w:numFmt w:val="bullet"/>
      <w:lvlText w:val=""/>
      <w:lvlJc w:val="left"/>
      <w:pPr>
        <w:ind w:left="5040" w:hanging="360"/>
      </w:pPr>
      <w:rPr>
        <w:rFonts w:ascii="Symbol" w:hAnsi="Symbol" w:hint="default"/>
      </w:rPr>
    </w:lvl>
    <w:lvl w:ilvl="7" w:tplc="30E0836A">
      <w:start w:val="1"/>
      <w:numFmt w:val="bullet"/>
      <w:lvlText w:val="o"/>
      <w:lvlJc w:val="left"/>
      <w:pPr>
        <w:ind w:left="5760" w:hanging="360"/>
      </w:pPr>
      <w:rPr>
        <w:rFonts w:ascii="Courier New" w:hAnsi="Courier New" w:hint="default"/>
      </w:rPr>
    </w:lvl>
    <w:lvl w:ilvl="8" w:tplc="051A3A6C">
      <w:start w:val="1"/>
      <w:numFmt w:val="bullet"/>
      <w:lvlText w:val=""/>
      <w:lvlJc w:val="left"/>
      <w:pPr>
        <w:ind w:left="6480" w:hanging="360"/>
      </w:pPr>
      <w:rPr>
        <w:rFonts w:ascii="Wingdings" w:hAnsi="Wingdings" w:hint="default"/>
      </w:rPr>
    </w:lvl>
  </w:abstractNum>
  <w:abstractNum w:abstractNumId="244" w15:restartNumberingAfterBreak="0">
    <w:nsid w:val="545E34A1"/>
    <w:multiLevelType w:val="hybridMultilevel"/>
    <w:tmpl w:val="FFFFFFFF"/>
    <w:lvl w:ilvl="0" w:tplc="04C69228">
      <w:start w:val="1"/>
      <w:numFmt w:val="decimal"/>
      <w:lvlText w:val="%1."/>
      <w:lvlJc w:val="left"/>
      <w:pPr>
        <w:ind w:left="720" w:hanging="360"/>
      </w:pPr>
    </w:lvl>
    <w:lvl w:ilvl="1" w:tplc="A52632CC">
      <w:start w:val="1"/>
      <w:numFmt w:val="lowerLetter"/>
      <w:lvlText w:val="%2."/>
      <w:lvlJc w:val="left"/>
      <w:pPr>
        <w:ind w:left="1440" w:hanging="360"/>
      </w:pPr>
    </w:lvl>
    <w:lvl w:ilvl="2" w:tplc="12708F5E">
      <w:start w:val="1"/>
      <w:numFmt w:val="lowerRoman"/>
      <w:lvlText w:val="%3."/>
      <w:lvlJc w:val="right"/>
      <w:pPr>
        <w:ind w:left="2160" w:hanging="180"/>
      </w:pPr>
    </w:lvl>
    <w:lvl w:ilvl="3" w:tplc="8128656A">
      <w:start w:val="1"/>
      <w:numFmt w:val="decimal"/>
      <w:lvlText w:val="%4."/>
      <w:lvlJc w:val="left"/>
      <w:pPr>
        <w:ind w:left="2880" w:hanging="360"/>
      </w:pPr>
    </w:lvl>
    <w:lvl w:ilvl="4" w:tplc="1E82A13C">
      <w:start w:val="1"/>
      <w:numFmt w:val="lowerLetter"/>
      <w:lvlText w:val="%5."/>
      <w:lvlJc w:val="left"/>
      <w:pPr>
        <w:ind w:left="3600" w:hanging="360"/>
      </w:pPr>
    </w:lvl>
    <w:lvl w:ilvl="5" w:tplc="2D78D74A">
      <w:start w:val="1"/>
      <w:numFmt w:val="lowerRoman"/>
      <w:lvlText w:val="%6."/>
      <w:lvlJc w:val="right"/>
      <w:pPr>
        <w:ind w:left="4320" w:hanging="180"/>
      </w:pPr>
    </w:lvl>
    <w:lvl w:ilvl="6" w:tplc="C95EB238">
      <w:start w:val="1"/>
      <w:numFmt w:val="decimal"/>
      <w:lvlText w:val="%7."/>
      <w:lvlJc w:val="left"/>
      <w:pPr>
        <w:ind w:left="5040" w:hanging="360"/>
      </w:pPr>
    </w:lvl>
    <w:lvl w:ilvl="7" w:tplc="931C0BD4">
      <w:start w:val="1"/>
      <w:numFmt w:val="lowerLetter"/>
      <w:lvlText w:val="%8."/>
      <w:lvlJc w:val="left"/>
      <w:pPr>
        <w:ind w:left="5760" w:hanging="360"/>
      </w:pPr>
    </w:lvl>
    <w:lvl w:ilvl="8" w:tplc="39B2D0C0">
      <w:start w:val="1"/>
      <w:numFmt w:val="lowerRoman"/>
      <w:lvlText w:val="%9."/>
      <w:lvlJc w:val="right"/>
      <w:pPr>
        <w:ind w:left="6480" w:hanging="180"/>
      </w:pPr>
    </w:lvl>
  </w:abstractNum>
  <w:abstractNum w:abstractNumId="245" w15:restartNumberingAfterBreak="0">
    <w:nsid w:val="5496D1C4"/>
    <w:multiLevelType w:val="hybridMultilevel"/>
    <w:tmpl w:val="FFFFFFFF"/>
    <w:lvl w:ilvl="0" w:tplc="6234F376">
      <w:start w:val="1"/>
      <w:numFmt w:val="decimal"/>
      <w:lvlText w:val="%1."/>
      <w:lvlJc w:val="left"/>
      <w:pPr>
        <w:ind w:left="720" w:hanging="360"/>
      </w:pPr>
    </w:lvl>
    <w:lvl w:ilvl="1" w:tplc="A0403FE6">
      <w:start w:val="1"/>
      <w:numFmt w:val="lowerLetter"/>
      <w:lvlText w:val="%2."/>
      <w:lvlJc w:val="left"/>
      <w:pPr>
        <w:ind w:left="1440" w:hanging="360"/>
      </w:pPr>
    </w:lvl>
    <w:lvl w:ilvl="2" w:tplc="D6F87788">
      <w:start w:val="1"/>
      <w:numFmt w:val="lowerRoman"/>
      <w:lvlText w:val="%3."/>
      <w:lvlJc w:val="right"/>
      <w:pPr>
        <w:ind w:left="2160" w:hanging="180"/>
      </w:pPr>
    </w:lvl>
    <w:lvl w:ilvl="3" w:tplc="33F6BA42">
      <w:start w:val="1"/>
      <w:numFmt w:val="decimal"/>
      <w:lvlText w:val="%4."/>
      <w:lvlJc w:val="left"/>
      <w:pPr>
        <w:ind w:left="2880" w:hanging="360"/>
      </w:pPr>
    </w:lvl>
    <w:lvl w:ilvl="4" w:tplc="FF169BA8">
      <w:start w:val="1"/>
      <w:numFmt w:val="lowerLetter"/>
      <w:lvlText w:val="%5."/>
      <w:lvlJc w:val="left"/>
      <w:pPr>
        <w:ind w:left="3600" w:hanging="360"/>
      </w:pPr>
    </w:lvl>
    <w:lvl w:ilvl="5" w:tplc="11AE93C6">
      <w:start w:val="1"/>
      <w:numFmt w:val="lowerRoman"/>
      <w:lvlText w:val="%6."/>
      <w:lvlJc w:val="right"/>
      <w:pPr>
        <w:ind w:left="4320" w:hanging="180"/>
      </w:pPr>
    </w:lvl>
    <w:lvl w:ilvl="6" w:tplc="BE3223A8">
      <w:start w:val="1"/>
      <w:numFmt w:val="decimal"/>
      <w:lvlText w:val="%7."/>
      <w:lvlJc w:val="left"/>
      <w:pPr>
        <w:ind w:left="5040" w:hanging="360"/>
      </w:pPr>
    </w:lvl>
    <w:lvl w:ilvl="7" w:tplc="52EC86C2">
      <w:start w:val="1"/>
      <w:numFmt w:val="lowerLetter"/>
      <w:lvlText w:val="%8."/>
      <w:lvlJc w:val="left"/>
      <w:pPr>
        <w:ind w:left="5760" w:hanging="360"/>
      </w:pPr>
    </w:lvl>
    <w:lvl w:ilvl="8" w:tplc="6474392A">
      <w:start w:val="1"/>
      <w:numFmt w:val="lowerRoman"/>
      <w:lvlText w:val="%9."/>
      <w:lvlJc w:val="right"/>
      <w:pPr>
        <w:ind w:left="6480" w:hanging="180"/>
      </w:pPr>
    </w:lvl>
  </w:abstractNum>
  <w:abstractNum w:abstractNumId="246" w15:restartNumberingAfterBreak="0">
    <w:nsid w:val="54C8155E"/>
    <w:multiLevelType w:val="hybridMultilevel"/>
    <w:tmpl w:val="FFFFFFFF"/>
    <w:lvl w:ilvl="0" w:tplc="45D69E8A">
      <w:start w:val="1"/>
      <w:numFmt w:val="bullet"/>
      <w:lvlText w:val=""/>
      <w:lvlJc w:val="left"/>
      <w:pPr>
        <w:ind w:left="720" w:hanging="360"/>
      </w:pPr>
      <w:rPr>
        <w:rFonts w:ascii="Symbol" w:hAnsi="Symbol" w:hint="default"/>
      </w:rPr>
    </w:lvl>
    <w:lvl w:ilvl="1" w:tplc="8CA8702E">
      <w:start w:val="1"/>
      <w:numFmt w:val="bullet"/>
      <w:lvlText w:val="o"/>
      <w:lvlJc w:val="left"/>
      <w:pPr>
        <w:ind w:left="1440" w:hanging="360"/>
      </w:pPr>
      <w:rPr>
        <w:rFonts w:ascii="Courier New" w:hAnsi="Courier New" w:hint="default"/>
      </w:rPr>
    </w:lvl>
    <w:lvl w:ilvl="2" w:tplc="322C1404">
      <w:start w:val="1"/>
      <w:numFmt w:val="bullet"/>
      <w:lvlText w:val=""/>
      <w:lvlJc w:val="left"/>
      <w:pPr>
        <w:ind w:left="2160" w:hanging="360"/>
      </w:pPr>
      <w:rPr>
        <w:rFonts w:ascii="Wingdings" w:hAnsi="Wingdings" w:hint="default"/>
      </w:rPr>
    </w:lvl>
    <w:lvl w:ilvl="3" w:tplc="655E4736">
      <w:start w:val="1"/>
      <w:numFmt w:val="bullet"/>
      <w:lvlText w:val=""/>
      <w:lvlJc w:val="left"/>
      <w:pPr>
        <w:ind w:left="2880" w:hanging="360"/>
      </w:pPr>
      <w:rPr>
        <w:rFonts w:ascii="Symbol" w:hAnsi="Symbol" w:hint="default"/>
      </w:rPr>
    </w:lvl>
    <w:lvl w:ilvl="4" w:tplc="6B449CBC">
      <w:start w:val="1"/>
      <w:numFmt w:val="bullet"/>
      <w:lvlText w:val="o"/>
      <w:lvlJc w:val="left"/>
      <w:pPr>
        <w:ind w:left="3600" w:hanging="360"/>
      </w:pPr>
      <w:rPr>
        <w:rFonts w:ascii="Courier New" w:hAnsi="Courier New" w:hint="default"/>
      </w:rPr>
    </w:lvl>
    <w:lvl w:ilvl="5" w:tplc="716A8DFA">
      <w:start w:val="1"/>
      <w:numFmt w:val="bullet"/>
      <w:lvlText w:val=""/>
      <w:lvlJc w:val="left"/>
      <w:pPr>
        <w:ind w:left="4320" w:hanging="360"/>
      </w:pPr>
      <w:rPr>
        <w:rFonts w:ascii="Wingdings" w:hAnsi="Wingdings" w:hint="default"/>
      </w:rPr>
    </w:lvl>
    <w:lvl w:ilvl="6" w:tplc="45D8DFC2">
      <w:start w:val="1"/>
      <w:numFmt w:val="bullet"/>
      <w:lvlText w:val=""/>
      <w:lvlJc w:val="left"/>
      <w:pPr>
        <w:ind w:left="5040" w:hanging="360"/>
      </w:pPr>
      <w:rPr>
        <w:rFonts w:ascii="Symbol" w:hAnsi="Symbol" w:hint="default"/>
      </w:rPr>
    </w:lvl>
    <w:lvl w:ilvl="7" w:tplc="C13487C0">
      <w:start w:val="1"/>
      <w:numFmt w:val="bullet"/>
      <w:lvlText w:val="o"/>
      <w:lvlJc w:val="left"/>
      <w:pPr>
        <w:ind w:left="5760" w:hanging="360"/>
      </w:pPr>
      <w:rPr>
        <w:rFonts w:ascii="Courier New" w:hAnsi="Courier New" w:hint="default"/>
      </w:rPr>
    </w:lvl>
    <w:lvl w:ilvl="8" w:tplc="7224371A">
      <w:start w:val="1"/>
      <w:numFmt w:val="bullet"/>
      <w:lvlText w:val=""/>
      <w:lvlJc w:val="left"/>
      <w:pPr>
        <w:ind w:left="6480" w:hanging="360"/>
      </w:pPr>
      <w:rPr>
        <w:rFonts w:ascii="Wingdings" w:hAnsi="Wingdings" w:hint="default"/>
      </w:rPr>
    </w:lvl>
  </w:abstractNum>
  <w:abstractNum w:abstractNumId="247" w15:restartNumberingAfterBreak="0">
    <w:nsid w:val="54EC9ECF"/>
    <w:multiLevelType w:val="hybridMultilevel"/>
    <w:tmpl w:val="FFFFFFFF"/>
    <w:lvl w:ilvl="0" w:tplc="CDB2C608">
      <w:start w:val="1"/>
      <w:numFmt w:val="bullet"/>
      <w:lvlText w:val=""/>
      <w:lvlJc w:val="left"/>
      <w:pPr>
        <w:ind w:left="720" w:hanging="360"/>
      </w:pPr>
      <w:rPr>
        <w:rFonts w:ascii="Symbol" w:hAnsi="Symbol" w:hint="default"/>
      </w:rPr>
    </w:lvl>
    <w:lvl w:ilvl="1" w:tplc="B9884220">
      <w:start w:val="1"/>
      <w:numFmt w:val="bullet"/>
      <w:lvlText w:val="o"/>
      <w:lvlJc w:val="left"/>
      <w:pPr>
        <w:ind w:left="1440" w:hanging="360"/>
      </w:pPr>
      <w:rPr>
        <w:rFonts w:ascii="Courier New" w:hAnsi="Courier New" w:hint="default"/>
      </w:rPr>
    </w:lvl>
    <w:lvl w:ilvl="2" w:tplc="30AA416C">
      <w:start w:val="1"/>
      <w:numFmt w:val="bullet"/>
      <w:lvlText w:val=""/>
      <w:lvlJc w:val="left"/>
      <w:pPr>
        <w:ind w:left="2160" w:hanging="360"/>
      </w:pPr>
      <w:rPr>
        <w:rFonts w:ascii="Wingdings" w:hAnsi="Wingdings" w:hint="default"/>
      </w:rPr>
    </w:lvl>
    <w:lvl w:ilvl="3" w:tplc="29BC6BE2">
      <w:start w:val="1"/>
      <w:numFmt w:val="bullet"/>
      <w:lvlText w:val=""/>
      <w:lvlJc w:val="left"/>
      <w:pPr>
        <w:ind w:left="2880" w:hanging="360"/>
      </w:pPr>
      <w:rPr>
        <w:rFonts w:ascii="Symbol" w:hAnsi="Symbol" w:hint="default"/>
      </w:rPr>
    </w:lvl>
    <w:lvl w:ilvl="4" w:tplc="5A96C390">
      <w:start w:val="1"/>
      <w:numFmt w:val="bullet"/>
      <w:lvlText w:val="o"/>
      <w:lvlJc w:val="left"/>
      <w:pPr>
        <w:ind w:left="3600" w:hanging="360"/>
      </w:pPr>
      <w:rPr>
        <w:rFonts w:ascii="Courier New" w:hAnsi="Courier New" w:hint="default"/>
      </w:rPr>
    </w:lvl>
    <w:lvl w:ilvl="5" w:tplc="E18080E6">
      <w:start w:val="1"/>
      <w:numFmt w:val="bullet"/>
      <w:lvlText w:val=""/>
      <w:lvlJc w:val="left"/>
      <w:pPr>
        <w:ind w:left="4320" w:hanging="360"/>
      </w:pPr>
      <w:rPr>
        <w:rFonts w:ascii="Wingdings" w:hAnsi="Wingdings" w:hint="default"/>
      </w:rPr>
    </w:lvl>
    <w:lvl w:ilvl="6" w:tplc="977AC614">
      <w:start w:val="1"/>
      <w:numFmt w:val="bullet"/>
      <w:lvlText w:val=""/>
      <w:lvlJc w:val="left"/>
      <w:pPr>
        <w:ind w:left="5040" w:hanging="360"/>
      </w:pPr>
      <w:rPr>
        <w:rFonts w:ascii="Symbol" w:hAnsi="Symbol" w:hint="default"/>
      </w:rPr>
    </w:lvl>
    <w:lvl w:ilvl="7" w:tplc="9B3021E8">
      <w:start w:val="1"/>
      <w:numFmt w:val="bullet"/>
      <w:lvlText w:val="o"/>
      <w:lvlJc w:val="left"/>
      <w:pPr>
        <w:ind w:left="5760" w:hanging="360"/>
      </w:pPr>
      <w:rPr>
        <w:rFonts w:ascii="Courier New" w:hAnsi="Courier New" w:hint="default"/>
      </w:rPr>
    </w:lvl>
    <w:lvl w:ilvl="8" w:tplc="12CCA044">
      <w:start w:val="1"/>
      <w:numFmt w:val="bullet"/>
      <w:lvlText w:val=""/>
      <w:lvlJc w:val="left"/>
      <w:pPr>
        <w:ind w:left="6480" w:hanging="360"/>
      </w:pPr>
      <w:rPr>
        <w:rFonts w:ascii="Wingdings" w:hAnsi="Wingdings" w:hint="default"/>
      </w:rPr>
    </w:lvl>
  </w:abstractNum>
  <w:abstractNum w:abstractNumId="248" w15:restartNumberingAfterBreak="0">
    <w:nsid w:val="551842F8"/>
    <w:multiLevelType w:val="hybridMultilevel"/>
    <w:tmpl w:val="C6900E88"/>
    <w:lvl w:ilvl="0" w:tplc="E67840F6">
      <w:start w:val="1"/>
      <w:numFmt w:val="bullet"/>
      <w:lvlText w:val=""/>
      <w:lvlJc w:val="left"/>
      <w:pPr>
        <w:ind w:left="720" w:hanging="360"/>
      </w:pPr>
      <w:rPr>
        <w:rFonts w:ascii="Symbol" w:hAnsi="Symbol" w:hint="default"/>
        <w:color w:val="006100"/>
        <w:sz w:val="18"/>
        <w:szCs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9" w15:restartNumberingAfterBreak="0">
    <w:nsid w:val="554D3821"/>
    <w:multiLevelType w:val="hybridMultilevel"/>
    <w:tmpl w:val="FD2E8DE2"/>
    <w:lvl w:ilvl="0" w:tplc="B56A136C">
      <w:start w:val="1"/>
      <w:numFmt w:val="bullet"/>
      <w:lvlText w:val=""/>
      <w:lvlJc w:val="left"/>
      <w:pPr>
        <w:ind w:left="720" w:hanging="360"/>
      </w:pPr>
      <w:rPr>
        <w:rFonts w:ascii="Symbol" w:hAnsi="Symbol" w:hint="default"/>
        <w:sz w:val="24"/>
        <w:szCs w:val="24"/>
      </w:rPr>
    </w:lvl>
    <w:lvl w:ilvl="1" w:tplc="EC32C5DA">
      <w:start w:val="1"/>
      <w:numFmt w:val="bullet"/>
      <w:lvlText w:val="o"/>
      <w:lvlJc w:val="left"/>
      <w:pPr>
        <w:ind w:left="1440" w:hanging="360"/>
      </w:pPr>
      <w:rPr>
        <w:rFonts w:ascii="Courier New" w:hAnsi="Courier New" w:hint="default"/>
      </w:rPr>
    </w:lvl>
    <w:lvl w:ilvl="2" w:tplc="F1DC3502">
      <w:start w:val="1"/>
      <w:numFmt w:val="bullet"/>
      <w:lvlText w:val=""/>
      <w:lvlJc w:val="left"/>
      <w:pPr>
        <w:ind w:left="2160" w:hanging="360"/>
      </w:pPr>
      <w:rPr>
        <w:rFonts w:ascii="Wingdings" w:hAnsi="Wingdings" w:hint="default"/>
      </w:rPr>
    </w:lvl>
    <w:lvl w:ilvl="3" w:tplc="02860F4E">
      <w:start w:val="1"/>
      <w:numFmt w:val="bullet"/>
      <w:lvlText w:val=""/>
      <w:lvlJc w:val="left"/>
      <w:pPr>
        <w:ind w:left="2880" w:hanging="360"/>
      </w:pPr>
      <w:rPr>
        <w:rFonts w:ascii="Symbol" w:hAnsi="Symbol" w:hint="default"/>
      </w:rPr>
    </w:lvl>
    <w:lvl w:ilvl="4" w:tplc="940406F6">
      <w:start w:val="1"/>
      <w:numFmt w:val="bullet"/>
      <w:lvlText w:val="o"/>
      <w:lvlJc w:val="left"/>
      <w:pPr>
        <w:ind w:left="3600" w:hanging="360"/>
      </w:pPr>
      <w:rPr>
        <w:rFonts w:ascii="Courier New" w:hAnsi="Courier New" w:hint="default"/>
      </w:rPr>
    </w:lvl>
    <w:lvl w:ilvl="5" w:tplc="7EBEC34A">
      <w:start w:val="1"/>
      <w:numFmt w:val="bullet"/>
      <w:lvlText w:val=""/>
      <w:lvlJc w:val="left"/>
      <w:pPr>
        <w:ind w:left="4320" w:hanging="360"/>
      </w:pPr>
      <w:rPr>
        <w:rFonts w:ascii="Wingdings" w:hAnsi="Wingdings" w:hint="default"/>
      </w:rPr>
    </w:lvl>
    <w:lvl w:ilvl="6" w:tplc="96EA20BA">
      <w:start w:val="1"/>
      <w:numFmt w:val="bullet"/>
      <w:lvlText w:val=""/>
      <w:lvlJc w:val="left"/>
      <w:pPr>
        <w:ind w:left="5040" w:hanging="360"/>
      </w:pPr>
      <w:rPr>
        <w:rFonts w:ascii="Symbol" w:hAnsi="Symbol" w:hint="default"/>
      </w:rPr>
    </w:lvl>
    <w:lvl w:ilvl="7" w:tplc="F3CA0CC6">
      <w:start w:val="1"/>
      <w:numFmt w:val="bullet"/>
      <w:lvlText w:val="o"/>
      <w:lvlJc w:val="left"/>
      <w:pPr>
        <w:ind w:left="5760" w:hanging="360"/>
      </w:pPr>
      <w:rPr>
        <w:rFonts w:ascii="Courier New" w:hAnsi="Courier New" w:hint="default"/>
      </w:rPr>
    </w:lvl>
    <w:lvl w:ilvl="8" w:tplc="72082F5C">
      <w:start w:val="1"/>
      <w:numFmt w:val="bullet"/>
      <w:lvlText w:val=""/>
      <w:lvlJc w:val="left"/>
      <w:pPr>
        <w:ind w:left="6480" w:hanging="360"/>
      </w:pPr>
      <w:rPr>
        <w:rFonts w:ascii="Wingdings" w:hAnsi="Wingdings" w:hint="default"/>
      </w:rPr>
    </w:lvl>
  </w:abstractNum>
  <w:abstractNum w:abstractNumId="25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1" w15:restartNumberingAfterBreak="0">
    <w:nsid w:val="55C10E65"/>
    <w:multiLevelType w:val="hybridMultilevel"/>
    <w:tmpl w:val="F1AA8FE2"/>
    <w:lvl w:ilvl="0" w:tplc="18090001">
      <w:start w:val="1"/>
      <w:numFmt w:val="bullet"/>
      <w:lvlText w:val=""/>
      <w:lvlJc w:val="left"/>
      <w:pPr>
        <w:ind w:left="720" w:hanging="360"/>
      </w:pPr>
      <w:rPr>
        <w:rFonts w:ascii="Symbol" w:hAnsi="Symbol" w:hint="default"/>
        <w:b/>
        <w:bCs/>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2" w15:restartNumberingAfterBreak="0">
    <w:nsid w:val="55DB6C5F"/>
    <w:multiLevelType w:val="hybridMultilevel"/>
    <w:tmpl w:val="FFFFFFFF"/>
    <w:lvl w:ilvl="0" w:tplc="BA62EC0A">
      <w:start w:val="2"/>
      <w:numFmt w:val="decimal"/>
      <w:lvlText w:val="%1."/>
      <w:lvlJc w:val="left"/>
      <w:pPr>
        <w:ind w:left="720" w:hanging="360"/>
      </w:pPr>
    </w:lvl>
    <w:lvl w:ilvl="1" w:tplc="CCE0449E">
      <w:start w:val="1"/>
      <w:numFmt w:val="lowerLetter"/>
      <w:lvlText w:val="%2."/>
      <w:lvlJc w:val="left"/>
      <w:pPr>
        <w:ind w:left="1440" w:hanging="360"/>
      </w:pPr>
    </w:lvl>
    <w:lvl w:ilvl="2" w:tplc="EB40AEFE">
      <w:start w:val="1"/>
      <w:numFmt w:val="lowerRoman"/>
      <w:lvlText w:val="%3."/>
      <w:lvlJc w:val="right"/>
      <w:pPr>
        <w:ind w:left="2160" w:hanging="180"/>
      </w:pPr>
    </w:lvl>
    <w:lvl w:ilvl="3" w:tplc="F95A97A6">
      <w:start w:val="1"/>
      <w:numFmt w:val="decimal"/>
      <w:lvlText w:val="%4."/>
      <w:lvlJc w:val="left"/>
      <w:pPr>
        <w:ind w:left="2880" w:hanging="360"/>
      </w:pPr>
    </w:lvl>
    <w:lvl w:ilvl="4" w:tplc="1F682BE4">
      <w:start w:val="1"/>
      <w:numFmt w:val="lowerLetter"/>
      <w:lvlText w:val="%5."/>
      <w:lvlJc w:val="left"/>
      <w:pPr>
        <w:ind w:left="3600" w:hanging="360"/>
      </w:pPr>
    </w:lvl>
    <w:lvl w:ilvl="5" w:tplc="16F032EE">
      <w:start w:val="1"/>
      <w:numFmt w:val="lowerRoman"/>
      <w:lvlText w:val="%6."/>
      <w:lvlJc w:val="right"/>
      <w:pPr>
        <w:ind w:left="4320" w:hanging="180"/>
      </w:pPr>
    </w:lvl>
    <w:lvl w:ilvl="6" w:tplc="619C20F8">
      <w:start w:val="1"/>
      <w:numFmt w:val="decimal"/>
      <w:lvlText w:val="%7."/>
      <w:lvlJc w:val="left"/>
      <w:pPr>
        <w:ind w:left="5040" w:hanging="360"/>
      </w:pPr>
    </w:lvl>
    <w:lvl w:ilvl="7" w:tplc="1A0222AA">
      <w:start w:val="1"/>
      <w:numFmt w:val="lowerLetter"/>
      <w:lvlText w:val="%8."/>
      <w:lvlJc w:val="left"/>
      <w:pPr>
        <w:ind w:left="5760" w:hanging="360"/>
      </w:pPr>
    </w:lvl>
    <w:lvl w:ilvl="8" w:tplc="14D817F4">
      <w:start w:val="1"/>
      <w:numFmt w:val="lowerRoman"/>
      <w:lvlText w:val="%9."/>
      <w:lvlJc w:val="right"/>
      <w:pPr>
        <w:ind w:left="6480" w:hanging="180"/>
      </w:pPr>
    </w:lvl>
  </w:abstractNum>
  <w:abstractNum w:abstractNumId="253" w15:restartNumberingAfterBreak="0">
    <w:nsid w:val="55E137CB"/>
    <w:multiLevelType w:val="hybridMultilevel"/>
    <w:tmpl w:val="FFFFFFFF"/>
    <w:lvl w:ilvl="0" w:tplc="9FF059E4">
      <w:start w:val="1"/>
      <w:numFmt w:val="bullet"/>
      <w:lvlText w:val="●"/>
      <w:lvlJc w:val="left"/>
      <w:pPr>
        <w:ind w:left="720" w:hanging="360"/>
      </w:pPr>
      <w:rPr>
        <w:rFonts w:ascii="Noto Sans Symbols" w:hAnsi="Noto Sans Symbols" w:hint="default"/>
      </w:rPr>
    </w:lvl>
    <w:lvl w:ilvl="1" w:tplc="E3C0CD3E">
      <w:start w:val="1"/>
      <w:numFmt w:val="bullet"/>
      <w:lvlText w:val="o"/>
      <w:lvlJc w:val="left"/>
      <w:pPr>
        <w:ind w:left="1440" w:hanging="360"/>
      </w:pPr>
      <w:rPr>
        <w:rFonts w:ascii="Courier New" w:hAnsi="Courier New" w:hint="default"/>
      </w:rPr>
    </w:lvl>
    <w:lvl w:ilvl="2" w:tplc="75AA6532">
      <w:start w:val="1"/>
      <w:numFmt w:val="bullet"/>
      <w:lvlText w:val=""/>
      <w:lvlJc w:val="left"/>
      <w:pPr>
        <w:ind w:left="2160" w:hanging="360"/>
      </w:pPr>
      <w:rPr>
        <w:rFonts w:ascii="Wingdings" w:hAnsi="Wingdings" w:hint="default"/>
      </w:rPr>
    </w:lvl>
    <w:lvl w:ilvl="3" w:tplc="C99851F8">
      <w:start w:val="1"/>
      <w:numFmt w:val="bullet"/>
      <w:lvlText w:val=""/>
      <w:lvlJc w:val="left"/>
      <w:pPr>
        <w:ind w:left="2880" w:hanging="360"/>
      </w:pPr>
      <w:rPr>
        <w:rFonts w:ascii="Symbol" w:hAnsi="Symbol" w:hint="default"/>
      </w:rPr>
    </w:lvl>
    <w:lvl w:ilvl="4" w:tplc="0D94448C">
      <w:start w:val="1"/>
      <w:numFmt w:val="bullet"/>
      <w:lvlText w:val="o"/>
      <w:lvlJc w:val="left"/>
      <w:pPr>
        <w:ind w:left="3600" w:hanging="360"/>
      </w:pPr>
      <w:rPr>
        <w:rFonts w:ascii="Courier New" w:hAnsi="Courier New" w:hint="default"/>
      </w:rPr>
    </w:lvl>
    <w:lvl w:ilvl="5" w:tplc="21C85524">
      <w:start w:val="1"/>
      <w:numFmt w:val="bullet"/>
      <w:lvlText w:val=""/>
      <w:lvlJc w:val="left"/>
      <w:pPr>
        <w:ind w:left="4320" w:hanging="360"/>
      </w:pPr>
      <w:rPr>
        <w:rFonts w:ascii="Wingdings" w:hAnsi="Wingdings" w:hint="default"/>
      </w:rPr>
    </w:lvl>
    <w:lvl w:ilvl="6" w:tplc="A7029B50">
      <w:start w:val="1"/>
      <w:numFmt w:val="bullet"/>
      <w:lvlText w:val=""/>
      <w:lvlJc w:val="left"/>
      <w:pPr>
        <w:ind w:left="5040" w:hanging="360"/>
      </w:pPr>
      <w:rPr>
        <w:rFonts w:ascii="Symbol" w:hAnsi="Symbol" w:hint="default"/>
      </w:rPr>
    </w:lvl>
    <w:lvl w:ilvl="7" w:tplc="BB34580A">
      <w:start w:val="1"/>
      <w:numFmt w:val="bullet"/>
      <w:lvlText w:val="o"/>
      <w:lvlJc w:val="left"/>
      <w:pPr>
        <w:ind w:left="5760" w:hanging="360"/>
      </w:pPr>
      <w:rPr>
        <w:rFonts w:ascii="Courier New" w:hAnsi="Courier New" w:hint="default"/>
      </w:rPr>
    </w:lvl>
    <w:lvl w:ilvl="8" w:tplc="FCC6001C">
      <w:start w:val="1"/>
      <w:numFmt w:val="bullet"/>
      <w:lvlText w:val=""/>
      <w:lvlJc w:val="left"/>
      <w:pPr>
        <w:ind w:left="6480" w:hanging="360"/>
      </w:pPr>
      <w:rPr>
        <w:rFonts w:ascii="Wingdings" w:hAnsi="Wingdings" w:hint="default"/>
      </w:rPr>
    </w:lvl>
  </w:abstractNum>
  <w:abstractNum w:abstractNumId="254" w15:restartNumberingAfterBreak="0">
    <w:nsid w:val="564028C6"/>
    <w:multiLevelType w:val="hybridMultilevel"/>
    <w:tmpl w:val="725E1AAA"/>
    <w:lvl w:ilvl="0" w:tplc="29E21340">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5" w15:restartNumberingAfterBreak="0">
    <w:nsid w:val="56B89F99"/>
    <w:multiLevelType w:val="hybridMultilevel"/>
    <w:tmpl w:val="FFFFFFFF"/>
    <w:lvl w:ilvl="0" w:tplc="A3101266">
      <w:start w:val="4"/>
      <w:numFmt w:val="lowerLetter"/>
      <w:lvlText w:val="%1)"/>
      <w:lvlJc w:val="left"/>
      <w:pPr>
        <w:ind w:left="720" w:hanging="360"/>
      </w:pPr>
    </w:lvl>
    <w:lvl w:ilvl="1" w:tplc="57D2986C">
      <w:start w:val="1"/>
      <w:numFmt w:val="lowerLetter"/>
      <w:lvlText w:val="%2."/>
      <w:lvlJc w:val="left"/>
      <w:pPr>
        <w:ind w:left="1440" w:hanging="360"/>
      </w:pPr>
    </w:lvl>
    <w:lvl w:ilvl="2" w:tplc="13560CFC">
      <w:start w:val="1"/>
      <w:numFmt w:val="lowerRoman"/>
      <w:lvlText w:val="%3."/>
      <w:lvlJc w:val="right"/>
      <w:pPr>
        <w:ind w:left="2160" w:hanging="180"/>
      </w:pPr>
    </w:lvl>
    <w:lvl w:ilvl="3" w:tplc="73F64586">
      <w:start w:val="1"/>
      <w:numFmt w:val="decimal"/>
      <w:lvlText w:val="%4."/>
      <w:lvlJc w:val="left"/>
      <w:pPr>
        <w:ind w:left="2880" w:hanging="360"/>
      </w:pPr>
    </w:lvl>
    <w:lvl w:ilvl="4" w:tplc="8940EAA8">
      <w:start w:val="1"/>
      <w:numFmt w:val="lowerLetter"/>
      <w:lvlText w:val="%5."/>
      <w:lvlJc w:val="left"/>
      <w:pPr>
        <w:ind w:left="3600" w:hanging="360"/>
      </w:pPr>
    </w:lvl>
    <w:lvl w:ilvl="5" w:tplc="CB700B60">
      <w:start w:val="1"/>
      <w:numFmt w:val="lowerRoman"/>
      <w:lvlText w:val="%6."/>
      <w:lvlJc w:val="right"/>
      <w:pPr>
        <w:ind w:left="4320" w:hanging="180"/>
      </w:pPr>
    </w:lvl>
    <w:lvl w:ilvl="6" w:tplc="CE5EAAC8">
      <w:start w:val="1"/>
      <w:numFmt w:val="decimal"/>
      <w:lvlText w:val="%7."/>
      <w:lvlJc w:val="left"/>
      <w:pPr>
        <w:ind w:left="5040" w:hanging="360"/>
      </w:pPr>
    </w:lvl>
    <w:lvl w:ilvl="7" w:tplc="4052D91E">
      <w:start w:val="1"/>
      <w:numFmt w:val="lowerLetter"/>
      <w:lvlText w:val="%8."/>
      <w:lvlJc w:val="left"/>
      <w:pPr>
        <w:ind w:left="5760" w:hanging="360"/>
      </w:pPr>
    </w:lvl>
    <w:lvl w:ilvl="8" w:tplc="E0FEFFE6">
      <w:start w:val="1"/>
      <w:numFmt w:val="lowerRoman"/>
      <w:lvlText w:val="%9."/>
      <w:lvlJc w:val="right"/>
      <w:pPr>
        <w:ind w:left="6480" w:hanging="180"/>
      </w:pPr>
    </w:lvl>
  </w:abstractNum>
  <w:abstractNum w:abstractNumId="256" w15:restartNumberingAfterBreak="0">
    <w:nsid w:val="56DB8632"/>
    <w:multiLevelType w:val="hybridMultilevel"/>
    <w:tmpl w:val="FFFFFFFF"/>
    <w:lvl w:ilvl="0" w:tplc="7EFE4C46">
      <w:start w:val="6"/>
      <w:numFmt w:val="lowerRoman"/>
      <w:lvlText w:val="%1."/>
      <w:lvlJc w:val="right"/>
      <w:pPr>
        <w:ind w:left="1080" w:hanging="360"/>
      </w:pPr>
    </w:lvl>
    <w:lvl w:ilvl="1" w:tplc="92DC7F90">
      <w:start w:val="1"/>
      <w:numFmt w:val="lowerLetter"/>
      <w:lvlText w:val="%2."/>
      <w:lvlJc w:val="left"/>
      <w:pPr>
        <w:ind w:left="1440" w:hanging="360"/>
      </w:pPr>
    </w:lvl>
    <w:lvl w:ilvl="2" w:tplc="27043DE8">
      <w:start w:val="1"/>
      <w:numFmt w:val="lowerRoman"/>
      <w:lvlText w:val="%3."/>
      <w:lvlJc w:val="right"/>
      <w:pPr>
        <w:ind w:left="2160" w:hanging="180"/>
      </w:pPr>
    </w:lvl>
    <w:lvl w:ilvl="3" w:tplc="469C65CC">
      <w:start w:val="1"/>
      <w:numFmt w:val="decimal"/>
      <w:lvlText w:val="%4."/>
      <w:lvlJc w:val="left"/>
      <w:pPr>
        <w:ind w:left="2880" w:hanging="360"/>
      </w:pPr>
    </w:lvl>
    <w:lvl w:ilvl="4" w:tplc="B5FE5C80">
      <w:start w:val="1"/>
      <w:numFmt w:val="lowerLetter"/>
      <w:lvlText w:val="%5."/>
      <w:lvlJc w:val="left"/>
      <w:pPr>
        <w:ind w:left="3600" w:hanging="360"/>
      </w:pPr>
    </w:lvl>
    <w:lvl w:ilvl="5" w:tplc="2366871C">
      <w:start w:val="1"/>
      <w:numFmt w:val="lowerRoman"/>
      <w:lvlText w:val="%6."/>
      <w:lvlJc w:val="right"/>
      <w:pPr>
        <w:ind w:left="4320" w:hanging="180"/>
      </w:pPr>
    </w:lvl>
    <w:lvl w:ilvl="6" w:tplc="C53AEBAE">
      <w:start w:val="1"/>
      <w:numFmt w:val="decimal"/>
      <w:lvlText w:val="%7."/>
      <w:lvlJc w:val="left"/>
      <w:pPr>
        <w:ind w:left="5040" w:hanging="360"/>
      </w:pPr>
    </w:lvl>
    <w:lvl w:ilvl="7" w:tplc="177081DA">
      <w:start w:val="1"/>
      <w:numFmt w:val="lowerLetter"/>
      <w:lvlText w:val="%8."/>
      <w:lvlJc w:val="left"/>
      <w:pPr>
        <w:ind w:left="5760" w:hanging="360"/>
      </w:pPr>
    </w:lvl>
    <w:lvl w:ilvl="8" w:tplc="0D40CDE6">
      <w:start w:val="1"/>
      <w:numFmt w:val="lowerRoman"/>
      <w:lvlText w:val="%9."/>
      <w:lvlJc w:val="right"/>
      <w:pPr>
        <w:ind w:left="6480" w:hanging="180"/>
      </w:pPr>
    </w:lvl>
  </w:abstractNum>
  <w:abstractNum w:abstractNumId="257" w15:restartNumberingAfterBreak="0">
    <w:nsid w:val="5706508B"/>
    <w:multiLevelType w:val="hybridMultilevel"/>
    <w:tmpl w:val="FFFFFFFF"/>
    <w:lvl w:ilvl="0" w:tplc="5036763A">
      <w:start w:val="1"/>
      <w:numFmt w:val="bullet"/>
      <w:lvlText w:val=""/>
      <w:lvlJc w:val="left"/>
      <w:pPr>
        <w:ind w:left="720" w:hanging="360"/>
      </w:pPr>
      <w:rPr>
        <w:rFonts w:ascii="Symbol" w:hAnsi="Symbol" w:hint="default"/>
      </w:rPr>
    </w:lvl>
    <w:lvl w:ilvl="1" w:tplc="3126E3D0">
      <w:start w:val="1"/>
      <w:numFmt w:val="bullet"/>
      <w:lvlText w:val="-"/>
      <w:lvlJc w:val="left"/>
      <w:pPr>
        <w:ind w:left="1440" w:hanging="360"/>
      </w:pPr>
      <w:rPr>
        <w:rFonts w:ascii="&quot;Times New Roman&quot;,serif" w:hAnsi="&quot;Times New Roman&quot;,serif" w:hint="default"/>
      </w:rPr>
    </w:lvl>
    <w:lvl w:ilvl="2" w:tplc="51989B88">
      <w:start w:val="1"/>
      <w:numFmt w:val="bullet"/>
      <w:lvlText w:val=""/>
      <w:lvlJc w:val="left"/>
      <w:pPr>
        <w:ind w:left="2160" w:hanging="360"/>
      </w:pPr>
      <w:rPr>
        <w:rFonts w:ascii="Wingdings" w:hAnsi="Wingdings" w:hint="default"/>
      </w:rPr>
    </w:lvl>
    <w:lvl w:ilvl="3" w:tplc="5F4C712E">
      <w:start w:val="1"/>
      <w:numFmt w:val="bullet"/>
      <w:lvlText w:val=""/>
      <w:lvlJc w:val="left"/>
      <w:pPr>
        <w:ind w:left="2880" w:hanging="360"/>
      </w:pPr>
      <w:rPr>
        <w:rFonts w:ascii="Symbol" w:hAnsi="Symbol" w:hint="default"/>
      </w:rPr>
    </w:lvl>
    <w:lvl w:ilvl="4" w:tplc="728A7252">
      <w:start w:val="1"/>
      <w:numFmt w:val="bullet"/>
      <w:lvlText w:val="o"/>
      <w:lvlJc w:val="left"/>
      <w:pPr>
        <w:ind w:left="3600" w:hanging="360"/>
      </w:pPr>
      <w:rPr>
        <w:rFonts w:ascii="Courier New" w:hAnsi="Courier New" w:hint="default"/>
      </w:rPr>
    </w:lvl>
    <w:lvl w:ilvl="5" w:tplc="4C26BFC0">
      <w:start w:val="1"/>
      <w:numFmt w:val="bullet"/>
      <w:lvlText w:val=""/>
      <w:lvlJc w:val="left"/>
      <w:pPr>
        <w:ind w:left="4320" w:hanging="360"/>
      </w:pPr>
      <w:rPr>
        <w:rFonts w:ascii="Wingdings" w:hAnsi="Wingdings" w:hint="default"/>
      </w:rPr>
    </w:lvl>
    <w:lvl w:ilvl="6" w:tplc="9C1C431E">
      <w:start w:val="1"/>
      <w:numFmt w:val="bullet"/>
      <w:lvlText w:val=""/>
      <w:lvlJc w:val="left"/>
      <w:pPr>
        <w:ind w:left="5040" w:hanging="360"/>
      </w:pPr>
      <w:rPr>
        <w:rFonts w:ascii="Symbol" w:hAnsi="Symbol" w:hint="default"/>
      </w:rPr>
    </w:lvl>
    <w:lvl w:ilvl="7" w:tplc="64964220">
      <w:start w:val="1"/>
      <w:numFmt w:val="bullet"/>
      <w:lvlText w:val="o"/>
      <w:lvlJc w:val="left"/>
      <w:pPr>
        <w:ind w:left="5760" w:hanging="360"/>
      </w:pPr>
      <w:rPr>
        <w:rFonts w:ascii="Courier New" w:hAnsi="Courier New" w:hint="default"/>
      </w:rPr>
    </w:lvl>
    <w:lvl w:ilvl="8" w:tplc="4BB84B02">
      <w:start w:val="1"/>
      <w:numFmt w:val="bullet"/>
      <w:lvlText w:val=""/>
      <w:lvlJc w:val="left"/>
      <w:pPr>
        <w:ind w:left="6480" w:hanging="360"/>
      </w:pPr>
      <w:rPr>
        <w:rFonts w:ascii="Wingdings" w:hAnsi="Wingdings" w:hint="default"/>
      </w:rPr>
    </w:lvl>
  </w:abstractNum>
  <w:abstractNum w:abstractNumId="258" w15:restartNumberingAfterBreak="0">
    <w:nsid w:val="572C1BAE"/>
    <w:multiLevelType w:val="hybridMultilevel"/>
    <w:tmpl w:val="FFFFFFFF"/>
    <w:lvl w:ilvl="0" w:tplc="FDC65522">
      <w:start w:val="1"/>
      <w:numFmt w:val="bullet"/>
      <w:lvlText w:val=""/>
      <w:lvlJc w:val="left"/>
      <w:pPr>
        <w:ind w:left="720" w:hanging="360"/>
      </w:pPr>
      <w:rPr>
        <w:rFonts w:ascii="Symbol" w:hAnsi="Symbol" w:hint="default"/>
      </w:rPr>
    </w:lvl>
    <w:lvl w:ilvl="1" w:tplc="86D04790">
      <w:start w:val="1"/>
      <w:numFmt w:val="bullet"/>
      <w:lvlText w:val="o"/>
      <w:lvlJc w:val="left"/>
      <w:pPr>
        <w:ind w:left="1440" w:hanging="360"/>
      </w:pPr>
      <w:rPr>
        <w:rFonts w:ascii="Courier New" w:hAnsi="Courier New" w:hint="default"/>
      </w:rPr>
    </w:lvl>
    <w:lvl w:ilvl="2" w:tplc="F746E4A8">
      <w:start w:val="1"/>
      <w:numFmt w:val="bullet"/>
      <w:lvlText w:val=""/>
      <w:lvlJc w:val="left"/>
      <w:pPr>
        <w:ind w:left="2160" w:hanging="360"/>
      </w:pPr>
      <w:rPr>
        <w:rFonts w:ascii="Wingdings" w:hAnsi="Wingdings" w:hint="default"/>
      </w:rPr>
    </w:lvl>
    <w:lvl w:ilvl="3" w:tplc="C7FA78D2">
      <w:start w:val="1"/>
      <w:numFmt w:val="bullet"/>
      <w:lvlText w:val=""/>
      <w:lvlJc w:val="left"/>
      <w:pPr>
        <w:ind w:left="2880" w:hanging="360"/>
      </w:pPr>
      <w:rPr>
        <w:rFonts w:ascii="Symbol" w:hAnsi="Symbol" w:hint="default"/>
      </w:rPr>
    </w:lvl>
    <w:lvl w:ilvl="4" w:tplc="A712F2DA">
      <w:start w:val="1"/>
      <w:numFmt w:val="bullet"/>
      <w:lvlText w:val="o"/>
      <w:lvlJc w:val="left"/>
      <w:pPr>
        <w:ind w:left="3600" w:hanging="360"/>
      </w:pPr>
      <w:rPr>
        <w:rFonts w:ascii="Courier New" w:hAnsi="Courier New" w:hint="default"/>
      </w:rPr>
    </w:lvl>
    <w:lvl w:ilvl="5" w:tplc="5D5CE512">
      <w:start w:val="1"/>
      <w:numFmt w:val="bullet"/>
      <w:lvlText w:val=""/>
      <w:lvlJc w:val="left"/>
      <w:pPr>
        <w:ind w:left="4320" w:hanging="360"/>
      </w:pPr>
      <w:rPr>
        <w:rFonts w:ascii="Wingdings" w:hAnsi="Wingdings" w:hint="default"/>
      </w:rPr>
    </w:lvl>
    <w:lvl w:ilvl="6" w:tplc="70E0E014">
      <w:start w:val="1"/>
      <w:numFmt w:val="bullet"/>
      <w:lvlText w:val=""/>
      <w:lvlJc w:val="left"/>
      <w:pPr>
        <w:ind w:left="5040" w:hanging="360"/>
      </w:pPr>
      <w:rPr>
        <w:rFonts w:ascii="Symbol" w:hAnsi="Symbol" w:hint="default"/>
      </w:rPr>
    </w:lvl>
    <w:lvl w:ilvl="7" w:tplc="DC10081E">
      <w:start w:val="1"/>
      <w:numFmt w:val="bullet"/>
      <w:lvlText w:val="o"/>
      <w:lvlJc w:val="left"/>
      <w:pPr>
        <w:ind w:left="5760" w:hanging="360"/>
      </w:pPr>
      <w:rPr>
        <w:rFonts w:ascii="Courier New" w:hAnsi="Courier New" w:hint="default"/>
      </w:rPr>
    </w:lvl>
    <w:lvl w:ilvl="8" w:tplc="DC1EF628">
      <w:start w:val="1"/>
      <w:numFmt w:val="bullet"/>
      <w:lvlText w:val=""/>
      <w:lvlJc w:val="left"/>
      <w:pPr>
        <w:ind w:left="6480" w:hanging="360"/>
      </w:pPr>
      <w:rPr>
        <w:rFonts w:ascii="Wingdings" w:hAnsi="Wingdings" w:hint="default"/>
      </w:rPr>
    </w:lvl>
  </w:abstractNum>
  <w:abstractNum w:abstractNumId="259" w15:restartNumberingAfterBreak="0">
    <w:nsid w:val="5757531F"/>
    <w:multiLevelType w:val="hybridMultilevel"/>
    <w:tmpl w:val="FFFFFFFF"/>
    <w:lvl w:ilvl="0" w:tplc="D3CE01CC">
      <w:start w:val="7"/>
      <w:numFmt w:val="lowerRoman"/>
      <w:lvlText w:val="%1."/>
      <w:lvlJc w:val="right"/>
      <w:pPr>
        <w:ind w:left="1080" w:hanging="360"/>
      </w:pPr>
    </w:lvl>
    <w:lvl w:ilvl="1" w:tplc="2F52BBF4">
      <w:start w:val="1"/>
      <w:numFmt w:val="lowerLetter"/>
      <w:lvlText w:val="%2."/>
      <w:lvlJc w:val="left"/>
      <w:pPr>
        <w:ind w:left="1440" w:hanging="360"/>
      </w:pPr>
    </w:lvl>
    <w:lvl w:ilvl="2" w:tplc="F8F43066">
      <w:start w:val="1"/>
      <w:numFmt w:val="lowerRoman"/>
      <w:lvlText w:val="%3."/>
      <w:lvlJc w:val="right"/>
      <w:pPr>
        <w:ind w:left="2160" w:hanging="180"/>
      </w:pPr>
    </w:lvl>
    <w:lvl w:ilvl="3" w:tplc="26D299C8">
      <w:start w:val="1"/>
      <w:numFmt w:val="decimal"/>
      <w:lvlText w:val="%4."/>
      <w:lvlJc w:val="left"/>
      <w:pPr>
        <w:ind w:left="2880" w:hanging="360"/>
      </w:pPr>
    </w:lvl>
    <w:lvl w:ilvl="4" w:tplc="22800494">
      <w:start w:val="1"/>
      <w:numFmt w:val="lowerLetter"/>
      <w:lvlText w:val="%5."/>
      <w:lvlJc w:val="left"/>
      <w:pPr>
        <w:ind w:left="3600" w:hanging="360"/>
      </w:pPr>
    </w:lvl>
    <w:lvl w:ilvl="5" w:tplc="093C836C">
      <w:start w:val="1"/>
      <w:numFmt w:val="lowerRoman"/>
      <w:lvlText w:val="%6."/>
      <w:lvlJc w:val="right"/>
      <w:pPr>
        <w:ind w:left="4320" w:hanging="180"/>
      </w:pPr>
    </w:lvl>
    <w:lvl w:ilvl="6" w:tplc="60F62536">
      <w:start w:val="1"/>
      <w:numFmt w:val="decimal"/>
      <w:lvlText w:val="%7."/>
      <w:lvlJc w:val="left"/>
      <w:pPr>
        <w:ind w:left="5040" w:hanging="360"/>
      </w:pPr>
    </w:lvl>
    <w:lvl w:ilvl="7" w:tplc="CD44492A">
      <w:start w:val="1"/>
      <w:numFmt w:val="lowerLetter"/>
      <w:lvlText w:val="%8."/>
      <w:lvlJc w:val="left"/>
      <w:pPr>
        <w:ind w:left="5760" w:hanging="360"/>
      </w:pPr>
    </w:lvl>
    <w:lvl w:ilvl="8" w:tplc="31A885BE">
      <w:start w:val="1"/>
      <w:numFmt w:val="lowerRoman"/>
      <w:lvlText w:val="%9."/>
      <w:lvlJc w:val="right"/>
      <w:pPr>
        <w:ind w:left="6480" w:hanging="180"/>
      </w:pPr>
    </w:lvl>
  </w:abstractNum>
  <w:abstractNum w:abstractNumId="260" w15:restartNumberingAfterBreak="0">
    <w:nsid w:val="577DF267"/>
    <w:multiLevelType w:val="hybridMultilevel"/>
    <w:tmpl w:val="FFFFFFFF"/>
    <w:lvl w:ilvl="0" w:tplc="184A42BA">
      <w:start w:val="1"/>
      <w:numFmt w:val="bullet"/>
      <w:lvlText w:val=""/>
      <w:lvlJc w:val="left"/>
      <w:pPr>
        <w:ind w:left="720" w:hanging="360"/>
      </w:pPr>
      <w:rPr>
        <w:rFonts w:ascii="Symbol" w:hAnsi="Symbol" w:hint="default"/>
      </w:rPr>
    </w:lvl>
    <w:lvl w:ilvl="1" w:tplc="5246CFE2">
      <w:start w:val="1"/>
      <w:numFmt w:val="bullet"/>
      <w:lvlText w:val="o"/>
      <w:lvlJc w:val="left"/>
      <w:pPr>
        <w:ind w:left="1440" w:hanging="360"/>
      </w:pPr>
      <w:rPr>
        <w:rFonts w:ascii="&quot;Courier New&quot;" w:hAnsi="&quot;Courier New&quot;" w:hint="default"/>
      </w:rPr>
    </w:lvl>
    <w:lvl w:ilvl="2" w:tplc="CF626BC4">
      <w:start w:val="1"/>
      <w:numFmt w:val="bullet"/>
      <w:lvlText w:val=""/>
      <w:lvlJc w:val="left"/>
      <w:pPr>
        <w:ind w:left="2160" w:hanging="360"/>
      </w:pPr>
      <w:rPr>
        <w:rFonts w:ascii="Wingdings" w:hAnsi="Wingdings" w:hint="default"/>
      </w:rPr>
    </w:lvl>
    <w:lvl w:ilvl="3" w:tplc="B148BD2C">
      <w:start w:val="1"/>
      <w:numFmt w:val="bullet"/>
      <w:lvlText w:val=""/>
      <w:lvlJc w:val="left"/>
      <w:pPr>
        <w:ind w:left="2880" w:hanging="360"/>
      </w:pPr>
      <w:rPr>
        <w:rFonts w:ascii="Symbol" w:hAnsi="Symbol" w:hint="default"/>
      </w:rPr>
    </w:lvl>
    <w:lvl w:ilvl="4" w:tplc="DCDEC20E">
      <w:start w:val="1"/>
      <w:numFmt w:val="bullet"/>
      <w:lvlText w:val="o"/>
      <w:lvlJc w:val="left"/>
      <w:pPr>
        <w:ind w:left="3600" w:hanging="360"/>
      </w:pPr>
      <w:rPr>
        <w:rFonts w:ascii="Courier New" w:hAnsi="Courier New" w:hint="default"/>
      </w:rPr>
    </w:lvl>
    <w:lvl w:ilvl="5" w:tplc="49104984">
      <w:start w:val="1"/>
      <w:numFmt w:val="bullet"/>
      <w:lvlText w:val=""/>
      <w:lvlJc w:val="left"/>
      <w:pPr>
        <w:ind w:left="4320" w:hanging="360"/>
      </w:pPr>
      <w:rPr>
        <w:rFonts w:ascii="Wingdings" w:hAnsi="Wingdings" w:hint="default"/>
      </w:rPr>
    </w:lvl>
    <w:lvl w:ilvl="6" w:tplc="B1B4D7D6">
      <w:start w:val="1"/>
      <w:numFmt w:val="bullet"/>
      <w:lvlText w:val=""/>
      <w:lvlJc w:val="left"/>
      <w:pPr>
        <w:ind w:left="5040" w:hanging="360"/>
      </w:pPr>
      <w:rPr>
        <w:rFonts w:ascii="Symbol" w:hAnsi="Symbol" w:hint="default"/>
      </w:rPr>
    </w:lvl>
    <w:lvl w:ilvl="7" w:tplc="CD780ABE">
      <w:start w:val="1"/>
      <w:numFmt w:val="bullet"/>
      <w:lvlText w:val="o"/>
      <w:lvlJc w:val="left"/>
      <w:pPr>
        <w:ind w:left="5760" w:hanging="360"/>
      </w:pPr>
      <w:rPr>
        <w:rFonts w:ascii="Courier New" w:hAnsi="Courier New" w:hint="default"/>
      </w:rPr>
    </w:lvl>
    <w:lvl w:ilvl="8" w:tplc="7CBA8138">
      <w:start w:val="1"/>
      <w:numFmt w:val="bullet"/>
      <w:lvlText w:val=""/>
      <w:lvlJc w:val="left"/>
      <w:pPr>
        <w:ind w:left="6480" w:hanging="360"/>
      </w:pPr>
      <w:rPr>
        <w:rFonts w:ascii="Wingdings" w:hAnsi="Wingdings" w:hint="default"/>
      </w:rPr>
    </w:lvl>
  </w:abstractNum>
  <w:abstractNum w:abstractNumId="261" w15:restartNumberingAfterBreak="0">
    <w:nsid w:val="57CFA851"/>
    <w:multiLevelType w:val="hybridMultilevel"/>
    <w:tmpl w:val="FFFFFFFF"/>
    <w:lvl w:ilvl="0" w:tplc="A63E49A4">
      <w:start w:val="7"/>
      <w:numFmt w:val="lowerRoman"/>
      <w:lvlText w:val="%1."/>
      <w:lvlJc w:val="right"/>
      <w:pPr>
        <w:ind w:left="1080" w:hanging="360"/>
      </w:pPr>
    </w:lvl>
    <w:lvl w:ilvl="1" w:tplc="86782962">
      <w:start w:val="1"/>
      <w:numFmt w:val="lowerLetter"/>
      <w:lvlText w:val="%2."/>
      <w:lvlJc w:val="left"/>
      <w:pPr>
        <w:ind w:left="1440" w:hanging="360"/>
      </w:pPr>
    </w:lvl>
    <w:lvl w:ilvl="2" w:tplc="0DA6EDA0">
      <w:start w:val="1"/>
      <w:numFmt w:val="lowerRoman"/>
      <w:lvlText w:val="%3."/>
      <w:lvlJc w:val="right"/>
      <w:pPr>
        <w:ind w:left="2160" w:hanging="180"/>
      </w:pPr>
    </w:lvl>
    <w:lvl w:ilvl="3" w:tplc="D960FB86">
      <w:start w:val="1"/>
      <w:numFmt w:val="decimal"/>
      <w:lvlText w:val="%4."/>
      <w:lvlJc w:val="left"/>
      <w:pPr>
        <w:ind w:left="2880" w:hanging="360"/>
      </w:pPr>
    </w:lvl>
    <w:lvl w:ilvl="4" w:tplc="06E49708">
      <w:start w:val="1"/>
      <w:numFmt w:val="lowerLetter"/>
      <w:lvlText w:val="%5."/>
      <w:lvlJc w:val="left"/>
      <w:pPr>
        <w:ind w:left="3600" w:hanging="360"/>
      </w:pPr>
    </w:lvl>
    <w:lvl w:ilvl="5" w:tplc="A42A5600">
      <w:start w:val="1"/>
      <w:numFmt w:val="lowerRoman"/>
      <w:lvlText w:val="%6."/>
      <w:lvlJc w:val="right"/>
      <w:pPr>
        <w:ind w:left="4320" w:hanging="180"/>
      </w:pPr>
    </w:lvl>
    <w:lvl w:ilvl="6" w:tplc="992EF45A">
      <w:start w:val="1"/>
      <w:numFmt w:val="decimal"/>
      <w:lvlText w:val="%7."/>
      <w:lvlJc w:val="left"/>
      <w:pPr>
        <w:ind w:left="5040" w:hanging="360"/>
      </w:pPr>
    </w:lvl>
    <w:lvl w:ilvl="7" w:tplc="ACE2F194">
      <w:start w:val="1"/>
      <w:numFmt w:val="lowerLetter"/>
      <w:lvlText w:val="%8."/>
      <w:lvlJc w:val="left"/>
      <w:pPr>
        <w:ind w:left="5760" w:hanging="360"/>
      </w:pPr>
    </w:lvl>
    <w:lvl w:ilvl="8" w:tplc="41CC8A8A">
      <w:start w:val="1"/>
      <w:numFmt w:val="lowerRoman"/>
      <w:lvlText w:val="%9."/>
      <w:lvlJc w:val="right"/>
      <w:pPr>
        <w:ind w:left="6480" w:hanging="180"/>
      </w:pPr>
    </w:lvl>
  </w:abstractNum>
  <w:abstractNum w:abstractNumId="262" w15:restartNumberingAfterBreak="0">
    <w:nsid w:val="5883F25B"/>
    <w:multiLevelType w:val="hybridMultilevel"/>
    <w:tmpl w:val="FFFFFFFF"/>
    <w:lvl w:ilvl="0" w:tplc="5AAE2FD2">
      <w:start w:val="1"/>
      <w:numFmt w:val="bullet"/>
      <w:lvlText w:val=""/>
      <w:lvlJc w:val="left"/>
      <w:pPr>
        <w:ind w:left="720" w:hanging="360"/>
      </w:pPr>
      <w:rPr>
        <w:rFonts w:ascii="Symbol" w:hAnsi="Symbol" w:hint="default"/>
      </w:rPr>
    </w:lvl>
    <w:lvl w:ilvl="1" w:tplc="F9724B8C">
      <w:start w:val="1"/>
      <w:numFmt w:val="bullet"/>
      <w:lvlText w:val="o"/>
      <w:lvlJc w:val="left"/>
      <w:pPr>
        <w:ind w:left="1440" w:hanging="360"/>
      </w:pPr>
      <w:rPr>
        <w:rFonts w:ascii="Courier New" w:hAnsi="Courier New" w:hint="default"/>
      </w:rPr>
    </w:lvl>
    <w:lvl w:ilvl="2" w:tplc="93EE76DE">
      <w:start w:val="1"/>
      <w:numFmt w:val="bullet"/>
      <w:lvlText w:val=""/>
      <w:lvlJc w:val="left"/>
      <w:pPr>
        <w:ind w:left="2160" w:hanging="360"/>
      </w:pPr>
      <w:rPr>
        <w:rFonts w:ascii="Wingdings" w:hAnsi="Wingdings" w:hint="default"/>
      </w:rPr>
    </w:lvl>
    <w:lvl w:ilvl="3" w:tplc="84309D70">
      <w:start w:val="1"/>
      <w:numFmt w:val="bullet"/>
      <w:lvlText w:val=""/>
      <w:lvlJc w:val="left"/>
      <w:pPr>
        <w:ind w:left="2880" w:hanging="360"/>
      </w:pPr>
      <w:rPr>
        <w:rFonts w:ascii="Symbol" w:hAnsi="Symbol" w:hint="default"/>
      </w:rPr>
    </w:lvl>
    <w:lvl w:ilvl="4" w:tplc="48B8515A">
      <w:start w:val="1"/>
      <w:numFmt w:val="bullet"/>
      <w:lvlText w:val="o"/>
      <w:lvlJc w:val="left"/>
      <w:pPr>
        <w:ind w:left="3600" w:hanging="360"/>
      </w:pPr>
      <w:rPr>
        <w:rFonts w:ascii="Courier New" w:hAnsi="Courier New" w:hint="default"/>
      </w:rPr>
    </w:lvl>
    <w:lvl w:ilvl="5" w:tplc="5544A7E8">
      <w:start w:val="1"/>
      <w:numFmt w:val="bullet"/>
      <w:lvlText w:val=""/>
      <w:lvlJc w:val="left"/>
      <w:pPr>
        <w:ind w:left="4320" w:hanging="360"/>
      </w:pPr>
      <w:rPr>
        <w:rFonts w:ascii="Wingdings" w:hAnsi="Wingdings" w:hint="default"/>
      </w:rPr>
    </w:lvl>
    <w:lvl w:ilvl="6" w:tplc="179C3AA4">
      <w:start w:val="1"/>
      <w:numFmt w:val="bullet"/>
      <w:lvlText w:val=""/>
      <w:lvlJc w:val="left"/>
      <w:pPr>
        <w:ind w:left="5040" w:hanging="360"/>
      </w:pPr>
      <w:rPr>
        <w:rFonts w:ascii="Symbol" w:hAnsi="Symbol" w:hint="default"/>
      </w:rPr>
    </w:lvl>
    <w:lvl w:ilvl="7" w:tplc="1116BCC0">
      <w:start w:val="1"/>
      <w:numFmt w:val="bullet"/>
      <w:lvlText w:val="o"/>
      <w:lvlJc w:val="left"/>
      <w:pPr>
        <w:ind w:left="5760" w:hanging="360"/>
      </w:pPr>
      <w:rPr>
        <w:rFonts w:ascii="Courier New" w:hAnsi="Courier New" w:hint="default"/>
      </w:rPr>
    </w:lvl>
    <w:lvl w:ilvl="8" w:tplc="C68C998A">
      <w:start w:val="1"/>
      <w:numFmt w:val="bullet"/>
      <w:lvlText w:val=""/>
      <w:lvlJc w:val="left"/>
      <w:pPr>
        <w:ind w:left="6480" w:hanging="360"/>
      </w:pPr>
      <w:rPr>
        <w:rFonts w:ascii="Wingdings" w:hAnsi="Wingdings" w:hint="default"/>
      </w:rPr>
    </w:lvl>
  </w:abstractNum>
  <w:abstractNum w:abstractNumId="263" w15:restartNumberingAfterBreak="0">
    <w:nsid w:val="59215FDB"/>
    <w:multiLevelType w:val="hybridMultilevel"/>
    <w:tmpl w:val="FAD6A38A"/>
    <w:lvl w:ilvl="0" w:tplc="5C12B38A">
      <w:start w:val="1"/>
      <w:numFmt w:val="decimal"/>
      <w:lvlText w:val="%1."/>
      <w:lvlJc w:val="left"/>
      <w:pPr>
        <w:ind w:left="720" w:hanging="360"/>
      </w:pPr>
    </w:lvl>
    <w:lvl w:ilvl="1" w:tplc="6D1AF9AE">
      <w:start w:val="1"/>
      <w:numFmt w:val="lowerLetter"/>
      <w:lvlText w:val="%2."/>
      <w:lvlJc w:val="left"/>
      <w:pPr>
        <w:ind w:left="1440" w:hanging="360"/>
      </w:pPr>
    </w:lvl>
    <w:lvl w:ilvl="2" w:tplc="4B462ADC">
      <w:start w:val="1"/>
      <w:numFmt w:val="lowerRoman"/>
      <w:lvlText w:val="%3."/>
      <w:lvlJc w:val="right"/>
      <w:pPr>
        <w:ind w:left="2160" w:hanging="180"/>
      </w:pPr>
    </w:lvl>
    <w:lvl w:ilvl="3" w:tplc="B9DC9E86">
      <w:start w:val="1"/>
      <w:numFmt w:val="decimal"/>
      <w:lvlText w:val="%4."/>
      <w:lvlJc w:val="left"/>
      <w:pPr>
        <w:ind w:left="2880" w:hanging="360"/>
      </w:pPr>
    </w:lvl>
    <w:lvl w:ilvl="4" w:tplc="EBAA63DA">
      <w:start w:val="1"/>
      <w:numFmt w:val="lowerLetter"/>
      <w:lvlText w:val="%5."/>
      <w:lvlJc w:val="left"/>
      <w:pPr>
        <w:ind w:left="3600" w:hanging="360"/>
      </w:pPr>
    </w:lvl>
    <w:lvl w:ilvl="5" w:tplc="FE9661E4">
      <w:start w:val="1"/>
      <w:numFmt w:val="lowerRoman"/>
      <w:lvlText w:val="%6."/>
      <w:lvlJc w:val="right"/>
      <w:pPr>
        <w:ind w:left="4320" w:hanging="180"/>
      </w:pPr>
    </w:lvl>
    <w:lvl w:ilvl="6" w:tplc="05329FBE">
      <w:start w:val="1"/>
      <w:numFmt w:val="decimal"/>
      <w:lvlText w:val="%7."/>
      <w:lvlJc w:val="left"/>
      <w:pPr>
        <w:ind w:left="5040" w:hanging="360"/>
      </w:pPr>
    </w:lvl>
    <w:lvl w:ilvl="7" w:tplc="B058C48A">
      <w:start w:val="1"/>
      <w:numFmt w:val="lowerLetter"/>
      <w:lvlText w:val="%8."/>
      <w:lvlJc w:val="left"/>
      <w:pPr>
        <w:ind w:left="5760" w:hanging="360"/>
      </w:pPr>
    </w:lvl>
    <w:lvl w:ilvl="8" w:tplc="6FC2EDAC">
      <w:start w:val="1"/>
      <w:numFmt w:val="lowerRoman"/>
      <w:lvlText w:val="%9."/>
      <w:lvlJc w:val="right"/>
      <w:pPr>
        <w:ind w:left="6480" w:hanging="180"/>
      </w:pPr>
    </w:lvl>
  </w:abstractNum>
  <w:abstractNum w:abstractNumId="264" w15:restartNumberingAfterBreak="0">
    <w:nsid w:val="5928B343"/>
    <w:multiLevelType w:val="hybridMultilevel"/>
    <w:tmpl w:val="B6D2047E"/>
    <w:lvl w:ilvl="0" w:tplc="A120C2CC">
      <w:start w:val="1"/>
      <w:numFmt w:val="lowerLetter"/>
      <w:lvlText w:val="%1."/>
      <w:lvlJc w:val="left"/>
      <w:pPr>
        <w:ind w:left="720" w:hanging="360"/>
      </w:pPr>
      <w:rPr>
        <w:rFonts w:ascii="Times New Roman" w:hAnsi="Times New Roman" w:cs="Times New Roman" w:hint="default"/>
        <w:sz w:val="24"/>
        <w:szCs w:val="24"/>
      </w:rPr>
    </w:lvl>
    <w:lvl w:ilvl="1" w:tplc="FA485C10">
      <w:start w:val="1"/>
      <w:numFmt w:val="lowerLetter"/>
      <w:lvlText w:val="%2."/>
      <w:lvlJc w:val="left"/>
      <w:pPr>
        <w:ind w:left="1440" w:hanging="360"/>
      </w:pPr>
    </w:lvl>
    <w:lvl w:ilvl="2" w:tplc="374008F6">
      <w:start w:val="1"/>
      <w:numFmt w:val="lowerRoman"/>
      <w:lvlText w:val="%3."/>
      <w:lvlJc w:val="right"/>
      <w:pPr>
        <w:ind w:left="2160" w:hanging="180"/>
      </w:pPr>
    </w:lvl>
    <w:lvl w:ilvl="3" w:tplc="169CC654">
      <w:start w:val="1"/>
      <w:numFmt w:val="decimal"/>
      <w:lvlText w:val="%4."/>
      <w:lvlJc w:val="left"/>
      <w:pPr>
        <w:ind w:left="2880" w:hanging="360"/>
      </w:pPr>
    </w:lvl>
    <w:lvl w:ilvl="4" w:tplc="1218A7F6">
      <w:start w:val="1"/>
      <w:numFmt w:val="lowerLetter"/>
      <w:lvlText w:val="%5."/>
      <w:lvlJc w:val="left"/>
      <w:pPr>
        <w:ind w:left="3600" w:hanging="360"/>
      </w:pPr>
    </w:lvl>
    <w:lvl w:ilvl="5" w:tplc="27069814">
      <w:start w:val="1"/>
      <w:numFmt w:val="lowerRoman"/>
      <w:lvlText w:val="%6."/>
      <w:lvlJc w:val="right"/>
      <w:pPr>
        <w:ind w:left="4320" w:hanging="180"/>
      </w:pPr>
    </w:lvl>
    <w:lvl w:ilvl="6" w:tplc="BDE81146">
      <w:start w:val="1"/>
      <w:numFmt w:val="decimal"/>
      <w:lvlText w:val="%7."/>
      <w:lvlJc w:val="left"/>
      <w:pPr>
        <w:ind w:left="5040" w:hanging="360"/>
      </w:pPr>
    </w:lvl>
    <w:lvl w:ilvl="7" w:tplc="2220A1B2">
      <w:start w:val="1"/>
      <w:numFmt w:val="lowerLetter"/>
      <w:lvlText w:val="%8."/>
      <w:lvlJc w:val="left"/>
      <w:pPr>
        <w:ind w:left="5760" w:hanging="360"/>
      </w:pPr>
    </w:lvl>
    <w:lvl w:ilvl="8" w:tplc="C5F4D83C">
      <w:start w:val="1"/>
      <w:numFmt w:val="lowerRoman"/>
      <w:lvlText w:val="%9."/>
      <w:lvlJc w:val="right"/>
      <w:pPr>
        <w:ind w:left="6480" w:hanging="180"/>
      </w:pPr>
    </w:lvl>
  </w:abstractNum>
  <w:abstractNum w:abstractNumId="265" w15:restartNumberingAfterBreak="0">
    <w:nsid w:val="5A810A42"/>
    <w:multiLevelType w:val="hybridMultilevel"/>
    <w:tmpl w:val="FFFFFFFF"/>
    <w:lvl w:ilvl="0" w:tplc="D9E25F4E">
      <w:start w:val="1"/>
      <w:numFmt w:val="lowerLetter"/>
      <w:lvlText w:val="%1."/>
      <w:lvlJc w:val="left"/>
      <w:pPr>
        <w:ind w:left="720" w:hanging="360"/>
      </w:pPr>
    </w:lvl>
    <w:lvl w:ilvl="1" w:tplc="A86CE628">
      <w:start w:val="1"/>
      <w:numFmt w:val="lowerLetter"/>
      <w:lvlText w:val="%2."/>
      <w:lvlJc w:val="left"/>
      <w:pPr>
        <w:ind w:left="1440" w:hanging="360"/>
      </w:pPr>
    </w:lvl>
    <w:lvl w:ilvl="2" w:tplc="42CCEF40">
      <w:start w:val="1"/>
      <w:numFmt w:val="lowerRoman"/>
      <w:lvlText w:val="%3."/>
      <w:lvlJc w:val="right"/>
      <w:pPr>
        <w:ind w:left="2160" w:hanging="180"/>
      </w:pPr>
    </w:lvl>
    <w:lvl w:ilvl="3" w:tplc="F852F962">
      <w:start w:val="1"/>
      <w:numFmt w:val="decimal"/>
      <w:lvlText w:val="%4."/>
      <w:lvlJc w:val="left"/>
      <w:pPr>
        <w:ind w:left="2880" w:hanging="360"/>
      </w:pPr>
    </w:lvl>
    <w:lvl w:ilvl="4" w:tplc="C158D81C">
      <w:start w:val="1"/>
      <w:numFmt w:val="lowerLetter"/>
      <w:lvlText w:val="%5."/>
      <w:lvlJc w:val="left"/>
      <w:pPr>
        <w:ind w:left="3600" w:hanging="360"/>
      </w:pPr>
    </w:lvl>
    <w:lvl w:ilvl="5" w:tplc="58FE8658">
      <w:start w:val="1"/>
      <w:numFmt w:val="lowerRoman"/>
      <w:lvlText w:val="%6."/>
      <w:lvlJc w:val="right"/>
      <w:pPr>
        <w:ind w:left="4320" w:hanging="180"/>
      </w:pPr>
    </w:lvl>
    <w:lvl w:ilvl="6" w:tplc="63D687B0">
      <w:start w:val="1"/>
      <w:numFmt w:val="decimal"/>
      <w:lvlText w:val="%7."/>
      <w:lvlJc w:val="left"/>
      <w:pPr>
        <w:ind w:left="5040" w:hanging="360"/>
      </w:pPr>
    </w:lvl>
    <w:lvl w:ilvl="7" w:tplc="FC18B1D2">
      <w:start w:val="1"/>
      <w:numFmt w:val="lowerLetter"/>
      <w:lvlText w:val="%8."/>
      <w:lvlJc w:val="left"/>
      <w:pPr>
        <w:ind w:left="5760" w:hanging="360"/>
      </w:pPr>
    </w:lvl>
    <w:lvl w:ilvl="8" w:tplc="72B4D2AA">
      <w:start w:val="1"/>
      <w:numFmt w:val="lowerRoman"/>
      <w:lvlText w:val="%9."/>
      <w:lvlJc w:val="right"/>
      <w:pPr>
        <w:ind w:left="6480" w:hanging="180"/>
      </w:pPr>
    </w:lvl>
  </w:abstractNum>
  <w:abstractNum w:abstractNumId="26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7" w15:restartNumberingAfterBreak="0">
    <w:nsid w:val="5B4534F9"/>
    <w:multiLevelType w:val="hybridMultilevel"/>
    <w:tmpl w:val="FFFFFFFF"/>
    <w:lvl w:ilvl="0" w:tplc="63D43A3E">
      <w:start w:val="1"/>
      <w:numFmt w:val="lowerLetter"/>
      <w:lvlText w:val="%1)"/>
      <w:lvlJc w:val="left"/>
      <w:pPr>
        <w:ind w:left="720" w:hanging="360"/>
      </w:pPr>
    </w:lvl>
    <w:lvl w:ilvl="1" w:tplc="C7D84186">
      <w:start w:val="1"/>
      <w:numFmt w:val="lowerLetter"/>
      <w:lvlText w:val="%2."/>
      <w:lvlJc w:val="left"/>
      <w:pPr>
        <w:ind w:left="1440" w:hanging="360"/>
      </w:pPr>
    </w:lvl>
    <w:lvl w:ilvl="2" w:tplc="257A24CA">
      <w:start w:val="1"/>
      <w:numFmt w:val="lowerRoman"/>
      <w:lvlText w:val="%3."/>
      <w:lvlJc w:val="right"/>
      <w:pPr>
        <w:ind w:left="2160" w:hanging="180"/>
      </w:pPr>
    </w:lvl>
    <w:lvl w:ilvl="3" w:tplc="D0DC3A28">
      <w:start w:val="1"/>
      <w:numFmt w:val="decimal"/>
      <w:lvlText w:val="%4."/>
      <w:lvlJc w:val="left"/>
      <w:pPr>
        <w:ind w:left="2880" w:hanging="360"/>
      </w:pPr>
    </w:lvl>
    <w:lvl w:ilvl="4" w:tplc="987417CA">
      <w:start w:val="1"/>
      <w:numFmt w:val="lowerLetter"/>
      <w:lvlText w:val="%5."/>
      <w:lvlJc w:val="left"/>
      <w:pPr>
        <w:ind w:left="3600" w:hanging="360"/>
      </w:pPr>
    </w:lvl>
    <w:lvl w:ilvl="5" w:tplc="12467EF2">
      <w:start w:val="1"/>
      <w:numFmt w:val="lowerRoman"/>
      <w:lvlText w:val="%6."/>
      <w:lvlJc w:val="right"/>
      <w:pPr>
        <w:ind w:left="4320" w:hanging="180"/>
      </w:pPr>
    </w:lvl>
    <w:lvl w:ilvl="6" w:tplc="8ABE2B1C">
      <w:start w:val="1"/>
      <w:numFmt w:val="decimal"/>
      <w:lvlText w:val="%7."/>
      <w:lvlJc w:val="left"/>
      <w:pPr>
        <w:ind w:left="5040" w:hanging="360"/>
      </w:pPr>
    </w:lvl>
    <w:lvl w:ilvl="7" w:tplc="593CAFA4">
      <w:start w:val="1"/>
      <w:numFmt w:val="lowerLetter"/>
      <w:lvlText w:val="%8."/>
      <w:lvlJc w:val="left"/>
      <w:pPr>
        <w:ind w:left="5760" w:hanging="360"/>
      </w:pPr>
    </w:lvl>
    <w:lvl w:ilvl="8" w:tplc="925658AA">
      <w:start w:val="1"/>
      <w:numFmt w:val="lowerRoman"/>
      <w:lvlText w:val="%9."/>
      <w:lvlJc w:val="right"/>
      <w:pPr>
        <w:ind w:left="6480" w:hanging="180"/>
      </w:pPr>
    </w:lvl>
  </w:abstractNum>
  <w:abstractNum w:abstractNumId="268" w15:restartNumberingAfterBreak="0">
    <w:nsid w:val="5BB56BF9"/>
    <w:multiLevelType w:val="hybridMultilevel"/>
    <w:tmpl w:val="34F4C30C"/>
    <w:lvl w:ilvl="0" w:tplc="3E50CE14">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0" w15:restartNumberingAfterBreak="0">
    <w:nsid w:val="5C4FB70A"/>
    <w:multiLevelType w:val="hybridMultilevel"/>
    <w:tmpl w:val="37CE42DA"/>
    <w:lvl w:ilvl="0" w:tplc="2CB4600A">
      <w:start w:val="1"/>
      <w:numFmt w:val="lowerRoman"/>
      <w:lvlText w:val="%1."/>
      <w:lvlJc w:val="right"/>
      <w:pPr>
        <w:ind w:left="1440" w:hanging="360"/>
      </w:pPr>
      <w:rPr>
        <w:rFonts w:ascii="Times New Roman" w:hAnsi="Times New Roman" w:cs="Times New Roman" w:hint="default"/>
        <w:sz w:val="24"/>
        <w:szCs w:val="28"/>
      </w:rPr>
    </w:lvl>
    <w:lvl w:ilvl="1" w:tplc="4328A2E6">
      <w:start w:val="1"/>
      <w:numFmt w:val="lowerLetter"/>
      <w:lvlText w:val="%2."/>
      <w:lvlJc w:val="left"/>
      <w:pPr>
        <w:ind w:left="1800" w:hanging="360"/>
      </w:pPr>
    </w:lvl>
    <w:lvl w:ilvl="2" w:tplc="D76E444A">
      <w:start w:val="1"/>
      <w:numFmt w:val="lowerRoman"/>
      <w:lvlText w:val="%3."/>
      <w:lvlJc w:val="right"/>
      <w:pPr>
        <w:ind w:left="2520" w:hanging="180"/>
      </w:pPr>
    </w:lvl>
    <w:lvl w:ilvl="3" w:tplc="5A8E6422">
      <w:start w:val="1"/>
      <w:numFmt w:val="decimal"/>
      <w:lvlText w:val="%4."/>
      <w:lvlJc w:val="left"/>
      <w:pPr>
        <w:ind w:left="3240" w:hanging="360"/>
      </w:pPr>
    </w:lvl>
    <w:lvl w:ilvl="4" w:tplc="E73EBEC4">
      <w:start w:val="1"/>
      <w:numFmt w:val="lowerLetter"/>
      <w:lvlText w:val="%5."/>
      <w:lvlJc w:val="left"/>
      <w:pPr>
        <w:ind w:left="3960" w:hanging="360"/>
      </w:pPr>
    </w:lvl>
    <w:lvl w:ilvl="5" w:tplc="EFFACFC6">
      <w:start w:val="1"/>
      <w:numFmt w:val="lowerRoman"/>
      <w:lvlText w:val="%6."/>
      <w:lvlJc w:val="right"/>
      <w:pPr>
        <w:ind w:left="4680" w:hanging="180"/>
      </w:pPr>
    </w:lvl>
    <w:lvl w:ilvl="6" w:tplc="60284686">
      <w:start w:val="1"/>
      <w:numFmt w:val="decimal"/>
      <w:lvlText w:val="%7."/>
      <w:lvlJc w:val="left"/>
      <w:pPr>
        <w:ind w:left="5400" w:hanging="360"/>
      </w:pPr>
    </w:lvl>
    <w:lvl w:ilvl="7" w:tplc="D14AAB8C">
      <w:start w:val="1"/>
      <w:numFmt w:val="lowerLetter"/>
      <w:lvlText w:val="%8."/>
      <w:lvlJc w:val="left"/>
      <w:pPr>
        <w:ind w:left="6120" w:hanging="360"/>
      </w:pPr>
    </w:lvl>
    <w:lvl w:ilvl="8" w:tplc="B85A035C">
      <w:start w:val="1"/>
      <w:numFmt w:val="lowerRoman"/>
      <w:lvlText w:val="%9."/>
      <w:lvlJc w:val="right"/>
      <w:pPr>
        <w:ind w:left="6840" w:hanging="180"/>
      </w:pPr>
    </w:lvl>
  </w:abstractNum>
  <w:abstractNum w:abstractNumId="271" w15:restartNumberingAfterBreak="0">
    <w:nsid w:val="5C53A6D9"/>
    <w:multiLevelType w:val="hybridMultilevel"/>
    <w:tmpl w:val="FFFFFFFF"/>
    <w:lvl w:ilvl="0" w:tplc="55C4995E">
      <w:start w:val="1"/>
      <w:numFmt w:val="lowerLetter"/>
      <w:lvlText w:val="%1."/>
      <w:lvlJc w:val="left"/>
      <w:pPr>
        <w:ind w:left="720" w:hanging="360"/>
      </w:pPr>
    </w:lvl>
    <w:lvl w:ilvl="1" w:tplc="47A857BA">
      <w:start w:val="1"/>
      <w:numFmt w:val="lowerLetter"/>
      <w:lvlText w:val="%2."/>
      <w:lvlJc w:val="left"/>
      <w:pPr>
        <w:ind w:left="1440" w:hanging="360"/>
      </w:pPr>
    </w:lvl>
    <w:lvl w:ilvl="2" w:tplc="D39ECDD2">
      <w:start w:val="1"/>
      <w:numFmt w:val="lowerRoman"/>
      <w:lvlText w:val="%3."/>
      <w:lvlJc w:val="right"/>
      <w:pPr>
        <w:ind w:left="2160" w:hanging="180"/>
      </w:pPr>
    </w:lvl>
    <w:lvl w:ilvl="3" w:tplc="A1DAA7A8">
      <w:start w:val="1"/>
      <w:numFmt w:val="decimal"/>
      <w:lvlText w:val="%4."/>
      <w:lvlJc w:val="left"/>
      <w:pPr>
        <w:ind w:left="2880" w:hanging="360"/>
      </w:pPr>
    </w:lvl>
    <w:lvl w:ilvl="4" w:tplc="89B6B346">
      <w:start w:val="1"/>
      <w:numFmt w:val="lowerLetter"/>
      <w:lvlText w:val="%5."/>
      <w:lvlJc w:val="left"/>
      <w:pPr>
        <w:ind w:left="3600" w:hanging="360"/>
      </w:pPr>
    </w:lvl>
    <w:lvl w:ilvl="5" w:tplc="37701FF2">
      <w:start w:val="1"/>
      <w:numFmt w:val="lowerRoman"/>
      <w:lvlText w:val="%6."/>
      <w:lvlJc w:val="right"/>
      <w:pPr>
        <w:ind w:left="4320" w:hanging="180"/>
      </w:pPr>
    </w:lvl>
    <w:lvl w:ilvl="6" w:tplc="F022C776">
      <w:start w:val="1"/>
      <w:numFmt w:val="decimal"/>
      <w:lvlText w:val="%7."/>
      <w:lvlJc w:val="left"/>
      <w:pPr>
        <w:ind w:left="5040" w:hanging="360"/>
      </w:pPr>
    </w:lvl>
    <w:lvl w:ilvl="7" w:tplc="AF2A7A0C">
      <w:start w:val="1"/>
      <w:numFmt w:val="lowerLetter"/>
      <w:lvlText w:val="%8."/>
      <w:lvlJc w:val="left"/>
      <w:pPr>
        <w:ind w:left="5760" w:hanging="360"/>
      </w:pPr>
    </w:lvl>
    <w:lvl w:ilvl="8" w:tplc="992A4740">
      <w:start w:val="1"/>
      <w:numFmt w:val="lowerRoman"/>
      <w:lvlText w:val="%9."/>
      <w:lvlJc w:val="right"/>
      <w:pPr>
        <w:ind w:left="6480" w:hanging="180"/>
      </w:pPr>
    </w:lvl>
  </w:abstractNum>
  <w:abstractNum w:abstractNumId="272" w15:restartNumberingAfterBreak="0">
    <w:nsid w:val="5C6F2341"/>
    <w:multiLevelType w:val="hybridMultilevel"/>
    <w:tmpl w:val="FFFFFFFF"/>
    <w:lvl w:ilvl="0" w:tplc="1BF264FC">
      <w:start w:val="1"/>
      <w:numFmt w:val="bullet"/>
      <w:lvlText w:val="-"/>
      <w:lvlJc w:val="left"/>
      <w:pPr>
        <w:ind w:left="1080" w:hanging="360"/>
      </w:pPr>
      <w:rPr>
        <w:rFonts w:ascii="MS Gothic" w:hAnsi="MS Gothic" w:hint="default"/>
      </w:rPr>
    </w:lvl>
    <w:lvl w:ilvl="1" w:tplc="849A8F9E">
      <w:start w:val="1"/>
      <w:numFmt w:val="bullet"/>
      <w:lvlText w:val="o"/>
      <w:lvlJc w:val="left"/>
      <w:pPr>
        <w:ind w:left="1440" w:hanging="360"/>
      </w:pPr>
      <w:rPr>
        <w:rFonts w:ascii="Courier New" w:hAnsi="Courier New" w:hint="default"/>
      </w:rPr>
    </w:lvl>
    <w:lvl w:ilvl="2" w:tplc="49B62036">
      <w:start w:val="1"/>
      <w:numFmt w:val="bullet"/>
      <w:lvlText w:val=""/>
      <w:lvlJc w:val="left"/>
      <w:pPr>
        <w:ind w:left="2160" w:hanging="360"/>
      </w:pPr>
      <w:rPr>
        <w:rFonts w:ascii="Wingdings" w:hAnsi="Wingdings" w:hint="default"/>
      </w:rPr>
    </w:lvl>
    <w:lvl w:ilvl="3" w:tplc="2A264EBA">
      <w:start w:val="1"/>
      <w:numFmt w:val="bullet"/>
      <w:lvlText w:val=""/>
      <w:lvlJc w:val="left"/>
      <w:pPr>
        <w:ind w:left="2880" w:hanging="360"/>
      </w:pPr>
      <w:rPr>
        <w:rFonts w:ascii="Symbol" w:hAnsi="Symbol" w:hint="default"/>
      </w:rPr>
    </w:lvl>
    <w:lvl w:ilvl="4" w:tplc="BEF66FA4">
      <w:start w:val="1"/>
      <w:numFmt w:val="bullet"/>
      <w:lvlText w:val="o"/>
      <w:lvlJc w:val="left"/>
      <w:pPr>
        <w:ind w:left="3600" w:hanging="360"/>
      </w:pPr>
      <w:rPr>
        <w:rFonts w:ascii="Courier New" w:hAnsi="Courier New" w:hint="default"/>
      </w:rPr>
    </w:lvl>
    <w:lvl w:ilvl="5" w:tplc="40381A80">
      <w:start w:val="1"/>
      <w:numFmt w:val="bullet"/>
      <w:lvlText w:val=""/>
      <w:lvlJc w:val="left"/>
      <w:pPr>
        <w:ind w:left="4320" w:hanging="360"/>
      </w:pPr>
      <w:rPr>
        <w:rFonts w:ascii="Wingdings" w:hAnsi="Wingdings" w:hint="default"/>
      </w:rPr>
    </w:lvl>
    <w:lvl w:ilvl="6" w:tplc="22DE1E84">
      <w:start w:val="1"/>
      <w:numFmt w:val="bullet"/>
      <w:lvlText w:val=""/>
      <w:lvlJc w:val="left"/>
      <w:pPr>
        <w:ind w:left="5040" w:hanging="360"/>
      </w:pPr>
      <w:rPr>
        <w:rFonts w:ascii="Symbol" w:hAnsi="Symbol" w:hint="default"/>
      </w:rPr>
    </w:lvl>
    <w:lvl w:ilvl="7" w:tplc="2A08CCD4">
      <w:start w:val="1"/>
      <w:numFmt w:val="bullet"/>
      <w:lvlText w:val="o"/>
      <w:lvlJc w:val="left"/>
      <w:pPr>
        <w:ind w:left="5760" w:hanging="360"/>
      </w:pPr>
      <w:rPr>
        <w:rFonts w:ascii="Courier New" w:hAnsi="Courier New" w:hint="default"/>
      </w:rPr>
    </w:lvl>
    <w:lvl w:ilvl="8" w:tplc="62D4E7A6">
      <w:start w:val="1"/>
      <w:numFmt w:val="bullet"/>
      <w:lvlText w:val=""/>
      <w:lvlJc w:val="left"/>
      <w:pPr>
        <w:ind w:left="6480" w:hanging="360"/>
      </w:pPr>
      <w:rPr>
        <w:rFonts w:ascii="Wingdings" w:hAnsi="Wingdings" w:hint="default"/>
      </w:rPr>
    </w:lvl>
  </w:abstractNum>
  <w:abstractNum w:abstractNumId="273" w15:restartNumberingAfterBreak="0">
    <w:nsid w:val="5C7C41A4"/>
    <w:multiLevelType w:val="hybridMultilevel"/>
    <w:tmpl w:val="ACAEFDCE"/>
    <w:lvl w:ilvl="0" w:tplc="92A2B4A6">
      <w:start w:val="1"/>
      <w:numFmt w:val="bullet"/>
      <w:lvlText w:val=""/>
      <w:lvlJc w:val="left"/>
      <w:pPr>
        <w:ind w:left="720" w:hanging="360"/>
      </w:pPr>
      <w:rPr>
        <w:rFonts w:ascii="Symbol" w:hAnsi="Symbo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4" w15:restartNumberingAfterBreak="0">
    <w:nsid w:val="5C934CA5"/>
    <w:multiLevelType w:val="hybridMultilevel"/>
    <w:tmpl w:val="860ACD02"/>
    <w:lvl w:ilvl="0" w:tplc="FFFFFFFF">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6" w15:restartNumberingAfterBreak="0">
    <w:nsid w:val="5CD8ACAC"/>
    <w:multiLevelType w:val="hybridMultilevel"/>
    <w:tmpl w:val="FFFFFFFF"/>
    <w:lvl w:ilvl="0" w:tplc="8AF429EA">
      <w:start w:val="6"/>
      <w:numFmt w:val="lowerRoman"/>
      <w:lvlText w:val="%1."/>
      <w:lvlJc w:val="right"/>
      <w:pPr>
        <w:ind w:left="1080" w:hanging="360"/>
      </w:pPr>
    </w:lvl>
    <w:lvl w:ilvl="1" w:tplc="4D7C193C">
      <w:start w:val="1"/>
      <w:numFmt w:val="lowerLetter"/>
      <w:lvlText w:val="%2."/>
      <w:lvlJc w:val="left"/>
      <w:pPr>
        <w:ind w:left="1440" w:hanging="360"/>
      </w:pPr>
    </w:lvl>
    <w:lvl w:ilvl="2" w:tplc="656C357E">
      <w:start w:val="1"/>
      <w:numFmt w:val="lowerRoman"/>
      <w:lvlText w:val="%3."/>
      <w:lvlJc w:val="right"/>
      <w:pPr>
        <w:ind w:left="2160" w:hanging="180"/>
      </w:pPr>
    </w:lvl>
    <w:lvl w:ilvl="3" w:tplc="B33EEC2A">
      <w:start w:val="1"/>
      <w:numFmt w:val="decimal"/>
      <w:lvlText w:val="%4."/>
      <w:lvlJc w:val="left"/>
      <w:pPr>
        <w:ind w:left="2880" w:hanging="360"/>
      </w:pPr>
    </w:lvl>
    <w:lvl w:ilvl="4" w:tplc="A7DC2FF8">
      <w:start w:val="1"/>
      <w:numFmt w:val="lowerLetter"/>
      <w:lvlText w:val="%5."/>
      <w:lvlJc w:val="left"/>
      <w:pPr>
        <w:ind w:left="3600" w:hanging="360"/>
      </w:pPr>
    </w:lvl>
    <w:lvl w:ilvl="5" w:tplc="876E0E0E">
      <w:start w:val="1"/>
      <w:numFmt w:val="lowerRoman"/>
      <w:lvlText w:val="%6."/>
      <w:lvlJc w:val="right"/>
      <w:pPr>
        <w:ind w:left="4320" w:hanging="180"/>
      </w:pPr>
    </w:lvl>
    <w:lvl w:ilvl="6" w:tplc="924AC696">
      <w:start w:val="1"/>
      <w:numFmt w:val="decimal"/>
      <w:lvlText w:val="%7."/>
      <w:lvlJc w:val="left"/>
      <w:pPr>
        <w:ind w:left="5040" w:hanging="360"/>
      </w:pPr>
    </w:lvl>
    <w:lvl w:ilvl="7" w:tplc="DC72A140">
      <w:start w:val="1"/>
      <w:numFmt w:val="lowerLetter"/>
      <w:lvlText w:val="%8."/>
      <w:lvlJc w:val="left"/>
      <w:pPr>
        <w:ind w:left="5760" w:hanging="360"/>
      </w:pPr>
    </w:lvl>
    <w:lvl w:ilvl="8" w:tplc="A2E80DF4">
      <w:start w:val="1"/>
      <w:numFmt w:val="lowerRoman"/>
      <w:lvlText w:val="%9."/>
      <w:lvlJc w:val="right"/>
      <w:pPr>
        <w:ind w:left="6480" w:hanging="180"/>
      </w:pPr>
    </w:lvl>
  </w:abstractNum>
  <w:abstractNum w:abstractNumId="277" w15:restartNumberingAfterBreak="0">
    <w:nsid w:val="5D564D80"/>
    <w:multiLevelType w:val="hybridMultilevel"/>
    <w:tmpl w:val="FFFFFFFF"/>
    <w:lvl w:ilvl="0" w:tplc="D9B0CCCE">
      <w:start w:val="9"/>
      <w:numFmt w:val="decimal"/>
      <w:lvlText w:val="%1."/>
      <w:lvlJc w:val="left"/>
      <w:pPr>
        <w:ind w:left="720" w:hanging="360"/>
      </w:pPr>
    </w:lvl>
    <w:lvl w:ilvl="1" w:tplc="B8307FF8">
      <w:start w:val="1"/>
      <w:numFmt w:val="lowerLetter"/>
      <w:lvlText w:val="%2."/>
      <w:lvlJc w:val="left"/>
      <w:pPr>
        <w:ind w:left="1440" w:hanging="360"/>
      </w:pPr>
    </w:lvl>
    <w:lvl w:ilvl="2" w:tplc="E1BED1F6">
      <w:start w:val="1"/>
      <w:numFmt w:val="lowerRoman"/>
      <w:lvlText w:val="%3."/>
      <w:lvlJc w:val="right"/>
      <w:pPr>
        <w:ind w:left="2160" w:hanging="180"/>
      </w:pPr>
    </w:lvl>
    <w:lvl w:ilvl="3" w:tplc="796A7A66">
      <w:start w:val="1"/>
      <w:numFmt w:val="decimal"/>
      <w:lvlText w:val="%4."/>
      <w:lvlJc w:val="left"/>
      <w:pPr>
        <w:ind w:left="2880" w:hanging="360"/>
      </w:pPr>
    </w:lvl>
    <w:lvl w:ilvl="4" w:tplc="2054B72E">
      <w:start w:val="1"/>
      <w:numFmt w:val="lowerLetter"/>
      <w:lvlText w:val="%5."/>
      <w:lvlJc w:val="left"/>
      <w:pPr>
        <w:ind w:left="3600" w:hanging="360"/>
      </w:pPr>
    </w:lvl>
    <w:lvl w:ilvl="5" w:tplc="04F8014E">
      <w:start w:val="1"/>
      <w:numFmt w:val="lowerRoman"/>
      <w:lvlText w:val="%6."/>
      <w:lvlJc w:val="right"/>
      <w:pPr>
        <w:ind w:left="4320" w:hanging="180"/>
      </w:pPr>
    </w:lvl>
    <w:lvl w:ilvl="6" w:tplc="74485D30">
      <w:start w:val="1"/>
      <w:numFmt w:val="decimal"/>
      <w:lvlText w:val="%7."/>
      <w:lvlJc w:val="left"/>
      <w:pPr>
        <w:ind w:left="5040" w:hanging="360"/>
      </w:pPr>
    </w:lvl>
    <w:lvl w:ilvl="7" w:tplc="6A04B2C8">
      <w:start w:val="1"/>
      <w:numFmt w:val="lowerLetter"/>
      <w:lvlText w:val="%8."/>
      <w:lvlJc w:val="left"/>
      <w:pPr>
        <w:ind w:left="5760" w:hanging="360"/>
      </w:pPr>
    </w:lvl>
    <w:lvl w:ilvl="8" w:tplc="3ACE7538">
      <w:start w:val="1"/>
      <w:numFmt w:val="lowerRoman"/>
      <w:lvlText w:val="%9."/>
      <w:lvlJc w:val="right"/>
      <w:pPr>
        <w:ind w:left="6480" w:hanging="180"/>
      </w:pPr>
    </w:lvl>
  </w:abstractNum>
  <w:abstractNum w:abstractNumId="278" w15:restartNumberingAfterBreak="0">
    <w:nsid w:val="5D8C7DF9"/>
    <w:multiLevelType w:val="hybridMultilevel"/>
    <w:tmpl w:val="FFFFFFFF"/>
    <w:lvl w:ilvl="0" w:tplc="CFD83BFA">
      <w:start w:val="1"/>
      <w:numFmt w:val="lowerLetter"/>
      <w:lvlText w:val="%1."/>
      <w:lvlJc w:val="left"/>
      <w:pPr>
        <w:ind w:left="720" w:hanging="360"/>
      </w:pPr>
    </w:lvl>
    <w:lvl w:ilvl="1" w:tplc="2F4A7102">
      <w:start w:val="1"/>
      <w:numFmt w:val="lowerLetter"/>
      <w:lvlText w:val="%2."/>
      <w:lvlJc w:val="left"/>
      <w:pPr>
        <w:ind w:left="1440" w:hanging="360"/>
      </w:pPr>
    </w:lvl>
    <w:lvl w:ilvl="2" w:tplc="DB94467C">
      <w:start w:val="1"/>
      <w:numFmt w:val="lowerRoman"/>
      <w:lvlText w:val="%3."/>
      <w:lvlJc w:val="right"/>
      <w:pPr>
        <w:ind w:left="2160" w:hanging="180"/>
      </w:pPr>
    </w:lvl>
    <w:lvl w:ilvl="3" w:tplc="713ED284">
      <w:start w:val="1"/>
      <w:numFmt w:val="decimal"/>
      <w:lvlText w:val="%4."/>
      <w:lvlJc w:val="left"/>
      <w:pPr>
        <w:ind w:left="2880" w:hanging="360"/>
      </w:pPr>
    </w:lvl>
    <w:lvl w:ilvl="4" w:tplc="B4BC1088">
      <w:start w:val="1"/>
      <w:numFmt w:val="lowerLetter"/>
      <w:lvlText w:val="%5."/>
      <w:lvlJc w:val="left"/>
      <w:pPr>
        <w:ind w:left="3600" w:hanging="360"/>
      </w:pPr>
    </w:lvl>
    <w:lvl w:ilvl="5" w:tplc="8438F7B8">
      <w:start w:val="1"/>
      <w:numFmt w:val="lowerRoman"/>
      <w:lvlText w:val="%6."/>
      <w:lvlJc w:val="right"/>
      <w:pPr>
        <w:ind w:left="4320" w:hanging="180"/>
      </w:pPr>
    </w:lvl>
    <w:lvl w:ilvl="6" w:tplc="07443E46">
      <w:start w:val="1"/>
      <w:numFmt w:val="decimal"/>
      <w:lvlText w:val="%7."/>
      <w:lvlJc w:val="left"/>
      <w:pPr>
        <w:ind w:left="5040" w:hanging="360"/>
      </w:pPr>
    </w:lvl>
    <w:lvl w:ilvl="7" w:tplc="7DA0D5BE">
      <w:start w:val="1"/>
      <w:numFmt w:val="lowerLetter"/>
      <w:lvlText w:val="%8."/>
      <w:lvlJc w:val="left"/>
      <w:pPr>
        <w:ind w:left="5760" w:hanging="360"/>
      </w:pPr>
    </w:lvl>
    <w:lvl w:ilvl="8" w:tplc="516E7238">
      <w:start w:val="1"/>
      <w:numFmt w:val="lowerRoman"/>
      <w:lvlText w:val="%9."/>
      <w:lvlJc w:val="right"/>
      <w:pPr>
        <w:ind w:left="6480" w:hanging="180"/>
      </w:pPr>
    </w:lvl>
  </w:abstractNum>
  <w:abstractNum w:abstractNumId="279" w15:restartNumberingAfterBreak="0">
    <w:nsid w:val="5E5C4E95"/>
    <w:multiLevelType w:val="hybridMultilevel"/>
    <w:tmpl w:val="FFFFFFFF"/>
    <w:lvl w:ilvl="0" w:tplc="8B081A5A">
      <w:start w:val="2"/>
      <w:numFmt w:val="decimal"/>
      <w:lvlText w:val="%1."/>
      <w:lvlJc w:val="left"/>
      <w:pPr>
        <w:ind w:left="720" w:hanging="360"/>
      </w:pPr>
    </w:lvl>
    <w:lvl w:ilvl="1" w:tplc="75A25C5A">
      <w:start w:val="1"/>
      <w:numFmt w:val="lowerLetter"/>
      <w:lvlText w:val="%2."/>
      <w:lvlJc w:val="left"/>
      <w:pPr>
        <w:ind w:left="1440" w:hanging="360"/>
      </w:pPr>
    </w:lvl>
    <w:lvl w:ilvl="2" w:tplc="6ACCA666">
      <w:start w:val="1"/>
      <w:numFmt w:val="lowerRoman"/>
      <w:lvlText w:val="%3."/>
      <w:lvlJc w:val="right"/>
      <w:pPr>
        <w:ind w:left="2160" w:hanging="180"/>
      </w:pPr>
    </w:lvl>
    <w:lvl w:ilvl="3" w:tplc="27CC45FE">
      <w:start w:val="1"/>
      <w:numFmt w:val="decimal"/>
      <w:lvlText w:val="%4."/>
      <w:lvlJc w:val="left"/>
      <w:pPr>
        <w:ind w:left="2880" w:hanging="360"/>
      </w:pPr>
    </w:lvl>
    <w:lvl w:ilvl="4" w:tplc="878C7FAE">
      <w:start w:val="1"/>
      <w:numFmt w:val="lowerLetter"/>
      <w:lvlText w:val="%5."/>
      <w:lvlJc w:val="left"/>
      <w:pPr>
        <w:ind w:left="3600" w:hanging="360"/>
      </w:pPr>
    </w:lvl>
    <w:lvl w:ilvl="5" w:tplc="CA76AC0A">
      <w:start w:val="1"/>
      <w:numFmt w:val="lowerRoman"/>
      <w:lvlText w:val="%6."/>
      <w:lvlJc w:val="right"/>
      <w:pPr>
        <w:ind w:left="4320" w:hanging="180"/>
      </w:pPr>
    </w:lvl>
    <w:lvl w:ilvl="6" w:tplc="6ADCE012">
      <w:start w:val="1"/>
      <w:numFmt w:val="decimal"/>
      <w:lvlText w:val="%7."/>
      <w:lvlJc w:val="left"/>
      <w:pPr>
        <w:ind w:left="5040" w:hanging="360"/>
      </w:pPr>
    </w:lvl>
    <w:lvl w:ilvl="7" w:tplc="A31A9BEE">
      <w:start w:val="1"/>
      <w:numFmt w:val="lowerLetter"/>
      <w:lvlText w:val="%8."/>
      <w:lvlJc w:val="left"/>
      <w:pPr>
        <w:ind w:left="5760" w:hanging="360"/>
      </w:pPr>
    </w:lvl>
    <w:lvl w:ilvl="8" w:tplc="A57E3D7E">
      <w:start w:val="1"/>
      <w:numFmt w:val="lowerRoman"/>
      <w:lvlText w:val="%9."/>
      <w:lvlJc w:val="right"/>
      <w:pPr>
        <w:ind w:left="6480" w:hanging="180"/>
      </w:pPr>
    </w:lvl>
  </w:abstractNum>
  <w:abstractNum w:abstractNumId="280" w15:restartNumberingAfterBreak="0">
    <w:nsid w:val="5E71C1BC"/>
    <w:multiLevelType w:val="hybridMultilevel"/>
    <w:tmpl w:val="FFFFFFFF"/>
    <w:lvl w:ilvl="0" w:tplc="AE7A1EDE">
      <w:start w:val="1"/>
      <w:numFmt w:val="bullet"/>
      <w:lvlText w:val="o"/>
      <w:lvlJc w:val="left"/>
      <w:pPr>
        <w:ind w:left="1080" w:hanging="360"/>
      </w:pPr>
      <w:rPr>
        <w:rFonts w:ascii="Courier New" w:hAnsi="Courier New" w:hint="default"/>
      </w:rPr>
    </w:lvl>
    <w:lvl w:ilvl="1" w:tplc="AA204262">
      <w:start w:val="1"/>
      <w:numFmt w:val="bullet"/>
      <w:lvlText w:val="o"/>
      <w:lvlJc w:val="left"/>
      <w:pPr>
        <w:ind w:left="1440" w:hanging="360"/>
      </w:pPr>
      <w:rPr>
        <w:rFonts w:ascii="Courier New" w:hAnsi="Courier New" w:hint="default"/>
      </w:rPr>
    </w:lvl>
    <w:lvl w:ilvl="2" w:tplc="169A7B32">
      <w:start w:val="1"/>
      <w:numFmt w:val="bullet"/>
      <w:lvlText w:val=""/>
      <w:lvlJc w:val="left"/>
      <w:pPr>
        <w:ind w:left="2160" w:hanging="360"/>
      </w:pPr>
      <w:rPr>
        <w:rFonts w:ascii="Wingdings" w:hAnsi="Wingdings" w:hint="default"/>
      </w:rPr>
    </w:lvl>
    <w:lvl w:ilvl="3" w:tplc="BAF4C5F8">
      <w:start w:val="1"/>
      <w:numFmt w:val="bullet"/>
      <w:lvlText w:val=""/>
      <w:lvlJc w:val="left"/>
      <w:pPr>
        <w:ind w:left="2880" w:hanging="360"/>
      </w:pPr>
      <w:rPr>
        <w:rFonts w:ascii="Symbol" w:hAnsi="Symbol" w:hint="default"/>
      </w:rPr>
    </w:lvl>
    <w:lvl w:ilvl="4" w:tplc="6ABA0044">
      <w:start w:val="1"/>
      <w:numFmt w:val="bullet"/>
      <w:lvlText w:val="o"/>
      <w:lvlJc w:val="left"/>
      <w:pPr>
        <w:ind w:left="3600" w:hanging="360"/>
      </w:pPr>
      <w:rPr>
        <w:rFonts w:ascii="Courier New" w:hAnsi="Courier New" w:hint="default"/>
      </w:rPr>
    </w:lvl>
    <w:lvl w:ilvl="5" w:tplc="878C6BFA">
      <w:start w:val="1"/>
      <w:numFmt w:val="bullet"/>
      <w:lvlText w:val=""/>
      <w:lvlJc w:val="left"/>
      <w:pPr>
        <w:ind w:left="4320" w:hanging="360"/>
      </w:pPr>
      <w:rPr>
        <w:rFonts w:ascii="Wingdings" w:hAnsi="Wingdings" w:hint="default"/>
      </w:rPr>
    </w:lvl>
    <w:lvl w:ilvl="6" w:tplc="F64432DA">
      <w:start w:val="1"/>
      <w:numFmt w:val="bullet"/>
      <w:lvlText w:val=""/>
      <w:lvlJc w:val="left"/>
      <w:pPr>
        <w:ind w:left="5040" w:hanging="360"/>
      </w:pPr>
      <w:rPr>
        <w:rFonts w:ascii="Symbol" w:hAnsi="Symbol" w:hint="default"/>
      </w:rPr>
    </w:lvl>
    <w:lvl w:ilvl="7" w:tplc="62ACEEFA">
      <w:start w:val="1"/>
      <w:numFmt w:val="bullet"/>
      <w:lvlText w:val="o"/>
      <w:lvlJc w:val="left"/>
      <w:pPr>
        <w:ind w:left="5760" w:hanging="360"/>
      </w:pPr>
      <w:rPr>
        <w:rFonts w:ascii="Courier New" w:hAnsi="Courier New" w:hint="default"/>
      </w:rPr>
    </w:lvl>
    <w:lvl w:ilvl="8" w:tplc="76C04866">
      <w:start w:val="1"/>
      <w:numFmt w:val="bullet"/>
      <w:lvlText w:val=""/>
      <w:lvlJc w:val="left"/>
      <w:pPr>
        <w:ind w:left="6480" w:hanging="360"/>
      </w:pPr>
      <w:rPr>
        <w:rFonts w:ascii="Wingdings" w:hAnsi="Wingdings" w:hint="default"/>
      </w:rPr>
    </w:lvl>
  </w:abstractNum>
  <w:abstractNum w:abstractNumId="281" w15:restartNumberingAfterBreak="0">
    <w:nsid w:val="5E91424F"/>
    <w:multiLevelType w:val="hybridMultilevel"/>
    <w:tmpl w:val="FFFFFFFF"/>
    <w:lvl w:ilvl="0" w:tplc="FFFFFFFF">
      <w:start w:val="1"/>
      <w:numFmt w:val="lowerRoman"/>
      <w:lvlText w:val="(%1)"/>
      <w:lvlJc w:val="right"/>
      <w:pPr>
        <w:ind w:left="720" w:hanging="360"/>
      </w:pPr>
    </w:lvl>
    <w:lvl w:ilvl="1" w:tplc="EE3E544E">
      <w:start w:val="1"/>
      <w:numFmt w:val="lowerLetter"/>
      <w:lvlText w:val="%2."/>
      <w:lvlJc w:val="left"/>
      <w:pPr>
        <w:ind w:left="1440" w:hanging="360"/>
      </w:pPr>
    </w:lvl>
    <w:lvl w:ilvl="2" w:tplc="86BAEF28">
      <w:start w:val="1"/>
      <w:numFmt w:val="lowerRoman"/>
      <w:lvlText w:val="%3."/>
      <w:lvlJc w:val="right"/>
      <w:pPr>
        <w:ind w:left="2160" w:hanging="180"/>
      </w:pPr>
    </w:lvl>
    <w:lvl w:ilvl="3" w:tplc="6BCA881E">
      <w:start w:val="1"/>
      <w:numFmt w:val="decimal"/>
      <w:lvlText w:val="%4."/>
      <w:lvlJc w:val="left"/>
      <w:pPr>
        <w:ind w:left="2880" w:hanging="360"/>
      </w:pPr>
    </w:lvl>
    <w:lvl w:ilvl="4" w:tplc="493CF880">
      <w:start w:val="1"/>
      <w:numFmt w:val="lowerLetter"/>
      <w:lvlText w:val="%5."/>
      <w:lvlJc w:val="left"/>
      <w:pPr>
        <w:ind w:left="3600" w:hanging="360"/>
      </w:pPr>
    </w:lvl>
    <w:lvl w:ilvl="5" w:tplc="C722EE78">
      <w:start w:val="1"/>
      <w:numFmt w:val="lowerRoman"/>
      <w:lvlText w:val="%6."/>
      <w:lvlJc w:val="right"/>
      <w:pPr>
        <w:ind w:left="4320" w:hanging="180"/>
      </w:pPr>
    </w:lvl>
    <w:lvl w:ilvl="6" w:tplc="34203FB2">
      <w:start w:val="1"/>
      <w:numFmt w:val="decimal"/>
      <w:lvlText w:val="%7."/>
      <w:lvlJc w:val="left"/>
      <w:pPr>
        <w:ind w:left="5040" w:hanging="360"/>
      </w:pPr>
    </w:lvl>
    <w:lvl w:ilvl="7" w:tplc="E82EEB18">
      <w:start w:val="1"/>
      <w:numFmt w:val="lowerLetter"/>
      <w:lvlText w:val="%8."/>
      <w:lvlJc w:val="left"/>
      <w:pPr>
        <w:ind w:left="5760" w:hanging="360"/>
      </w:pPr>
    </w:lvl>
    <w:lvl w:ilvl="8" w:tplc="AD60AA16">
      <w:start w:val="1"/>
      <w:numFmt w:val="lowerRoman"/>
      <w:lvlText w:val="%9."/>
      <w:lvlJc w:val="right"/>
      <w:pPr>
        <w:ind w:left="6480" w:hanging="180"/>
      </w:pPr>
    </w:lvl>
  </w:abstractNum>
  <w:abstractNum w:abstractNumId="282" w15:restartNumberingAfterBreak="0">
    <w:nsid w:val="5E9BE941"/>
    <w:multiLevelType w:val="hybridMultilevel"/>
    <w:tmpl w:val="FFFFFFFF"/>
    <w:lvl w:ilvl="0" w:tplc="86D66428">
      <w:start w:val="2"/>
      <w:numFmt w:val="decimal"/>
      <w:lvlText w:val="%1."/>
      <w:lvlJc w:val="left"/>
      <w:pPr>
        <w:ind w:left="720" w:hanging="360"/>
      </w:pPr>
    </w:lvl>
    <w:lvl w:ilvl="1" w:tplc="C7E09996">
      <w:start w:val="1"/>
      <w:numFmt w:val="lowerLetter"/>
      <w:lvlText w:val="%2."/>
      <w:lvlJc w:val="left"/>
      <w:pPr>
        <w:ind w:left="1440" w:hanging="360"/>
      </w:pPr>
    </w:lvl>
    <w:lvl w:ilvl="2" w:tplc="B0541A80">
      <w:start w:val="1"/>
      <w:numFmt w:val="lowerRoman"/>
      <w:lvlText w:val="%3."/>
      <w:lvlJc w:val="right"/>
      <w:pPr>
        <w:ind w:left="2160" w:hanging="180"/>
      </w:pPr>
    </w:lvl>
    <w:lvl w:ilvl="3" w:tplc="F9560E84">
      <w:start w:val="1"/>
      <w:numFmt w:val="decimal"/>
      <w:lvlText w:val="%4."/>
      <w:lvlJc w:val="left"/>
      <w:pPr>
        <w:ind w:left="2880" w:hanging="360"/>
      </w:pPr>
    </w:lvl>
    <w:lvl w:ilvl="4" w:tplc="23BC3C60">
      <w:start w:val="1"/>
      <w:numFmt w:val="lowerLetter"/>
      <w:lvlText w:val="%5."/>
      <w:lvlJc w:val="left"/>
      <w:pPr>
        <w:ind w:left="3600" w:hanging="360"/>
      </w:pPr>
    </w:lvl>
    <w:lvl w:ilvl="5" w:tplc="9EC67A66">
      <w:start w:val="1"/>
      <w:numFmt w:val="lowerRoman"/>
      <w:lvlText w:val="%6."/>
      <w:lvlJc w:val="right"/>
      <w:pPr>
        <w:ind w:left="4320" w:hanging="180"/>
      </w:pPr>
    </w:lvl>
    <w:lvl w:ilvl="6" w:tplc="3626971A">
      <w:start w:val="1"/>
      <w:numFmt w:val="decimal"/>
      <w:lvlText w:val="%7."/>
      <w:lvlJc w:val="left"/>
      <w:pPr>
        <w:ind w:left="5040" w:hanging="360"/>
      </w:pPr>
    </w:lvl>
    <w:lvl w:ilvl="7" w:tplc="32BCB050">
      <w:start w:val="1"/>
      <w:numFmt w:val="lowerLetter"/>
      <w:lvlText w:val="%8."/>
      <w:lvlJc w:val="left"/>
      <w:pPr>
        <w:ind w:left="5760" w:hanging="360"/>
      </w:pPr>
    </w:lvl>
    <w:lvl w:ilvl="8" w:tplc="6EE027AA">
      <w:start w:val="1"/>
      <w:numFmt w:val="lowerRoman"/>
      <w:lvlText w:val="%9."/>
      <w:lvlJc w:val="right"/>
      <w:pPr>
        <w:ind w:left="6480" w:hanging="180"/>
      </w:pPr>
    </w:lvl>
  </w:abstractNum>
  <w:abstractNum w:abstractNumId="283" w15:restartNumberingAfterBreak="0">
    <w:nsid w:val="5ECE5608"/>
    <w:multiLevelType w:val="hybridMultilevel"/>
    <w:tmpl w:val="9B684C1C"/>
    <w:lvl w:ilvl="0" w:tplc="DABC07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4" w15:restartNumberingAfterBreak="0">
    <w:nsid w:val="5FAF6BC9"/>
    <w:multiLevelType w:val="hybridMultilevel"/>
    <w:tmpl w:val="FFFFFFFF"/>
    <w:lvl w:ilvl="0" w:tplc="8C16B2F0">
      <w:start w:val="3"/>
      <w:numFmt w:val="decimal"/>
      <w:lvlText w:val="%1."/>
      <w:lvlJc w:val="left"/>
      <w:pPr>
        <w:ind w:left="720" w:hanging="360"/>
      </w:pPr>
    </w:lvl>
    <w:lvl w:ilvl="1" w:tplc="3D4E3678">
      <w:start w:val="1"/>
      <w:numFmt w:val="lowerLetter"/>
      <w:lvlText w:val="%2."/>
      <w:lvlJc w:val="left"/>
      <w:pPr>
        <w:ind w:left="1440" w:hanging="360"/>
      </w:pPr>
    </w:lvl>
    <w:lvl w:ilvl="2" w:tplc="0E10CF9E">
      <w:start w:val="1"/>
      <w:numFmt w:val="lowerRoman"/>
      <w:lvlText w:val="%3."/>
      <w:lvlJc w:val="right"/>
      <w:pPr>
        <w:ind w:left="2160" w:hanging="180"/>
      </w:pPr>
    </w:lvl>
    <w:lvl w:ilvl="3" w:tplc="727A4CE2">
      <w:start w:val="1"/>
      <w:numFmt w:val="decimal"/>
      <w:lvlText w:val="%4."/>
      <w:lvlJc w:val="left"/>
      <w:pPr>
        <w:ind w:left="2880" w:hanging="360"/>
      </w:pPr>
    </w:lvl>
    <w:lvl w:ilvl="4" w:tplc="F042B17E">
      <w:start w:val="1"/>
      <w:numFmt w:val="lowerLetter"/>
      <w:lvlText w:val="%5."/>
      <w:lvlJc w:val="left"/>
      <w:pPr>
        <w:ind w:left="3600" w:hanging="360"/>
      </w:pPr>
    </w:lvl>
    <w:lvl w:ilvl="5" w:tplc="C2EA0DA6">
      <w:start w:val="1"/>
      <w:numFmt w:val="lowerRoman"/>
      <w:lvlText w:val="%6."/>
      <w:lvlJc w:val="right"/>
      <w:pPr>
        <w:ind w:left="4320" w:hanging="180"/>
      </w:pPr>
    </w:lvl>
    <w:lvl w:ilvl="6" w:tplc="D5F49BEA">
      <w:start w:val="1"/>
      <w:numFmt w:val="decimal"/>
      <w:lvlText w:val="%7."/>
      <w:lvlJc w:val="left"/>
      <w:pPr>
        <w:ind w:left="5040" w:hanging="360"/>
      </w:pPr>
    </w:lvl>
    <w:lvl w:ilvl="7" w:tplc="FEDA7A3E">
      <w:start w:val="1"/>
      <w:numFmt w:val="lowerLetter"/>
      <w:lvlText w:val="%8."/>
      <w:lvlJc w:val="left"/>
      <w:pPr>
        <w:ind w:left="5760" w:hanging="360"/>
      </w:pPr>
    </w:lvl>
    <w:lvl w:ilvl="8" w:tplc="1220ABC4">
      <w:start w:val="1"/>
      <w:numFmt w:val="lowerRoman"/>
      <w:lvlText w:val="%9."/>
      <w:lvlJc w:val="right"/>
      <w:pPr>
        <w:ind w:left="6480" w:hanging="180"/>
      </w:pPr>
    </w:lvl>
  </w:abstractNum>
  <w:abstractNum w:abstractNumId="285" w15:restartNumberingAfterBreak="0">
    <w:nsid w:val="5FB2F917"/>
    <w:multiLevelType w:val="hybridMultilevel"/>
    <w:tmpl w:val="FFFFFFFF"/>
    <w:lvl w:ilvl="0" w:tplc="B79ECFEC">
      <w:start w:val="1"/>
      <w:numFmt w:val="bullet"/>
      <w:lvlText w:val=""/>
      <w:lvlJc w:val="left"/>
      <w:pPr>
        <w:ind w:left="720" w:hanging="360"/>
      </w:pPr>
      <w:rPr>
        <w:rFonts w:ascii="Symbol" w:hAnsi="Symbol" w:hint="default"/>
      </w:rPr>
    </w:lvl>
    <w:lvl w:ilvl="1" w:tplc="3B56A480">
      <w:start w:val="1"/>
      <w:numFmt w:val="bullet"/>
      <w:lvlText w:val="o"/>
      <w:lvlJc w:val="left"/>
      <w:pPr>
        <w:ind w:left="1440" w:hanging="360"/>
      </w:pPr>
      <w:rPr>
        <w:rFonts w:ascii="Courier New" w:hAnsi="Courier New" w:hint="default"/>
      </w:rPr>
    </w:lvl>
    <w:lvl w:ilvl="2" w:tplc="66DC7720">
      <w:start w:val="1"/>
      <w:numFmt w:val="bullet"/>
      <w:lvlText w:val=""/>
      <w:lvlJc w:val="left"/>
      <w:pPr>
        <w:ind w:left="2160" w:hanging="360"/>
      </w:pPr>
      <w:rPr>
        <w:rFonts w:ascii="Wingdings" w:hAnsi="Wingdings" w:hint="default"/>
      </w:rPr>
    </w:lvl>
    <w:lvl w:ilvl="3" w:tplc="67CA4F2A">
      <w:start w:val="1"/>
      <w:numFmt w:val="bullet"/>
      <w:lvlText w:val=""/>
      <w:lvlJc w:val="left"/>
      <w:pPr>
        <w:ind w:left="2880" w:hanging="360"/>
      </w:pPr>
      <w:rPr>
        <w:rFonts w:ascii="Symbol" w:hAnsi="Symbol" w:hint="default"/>
      </w:rPr>
    </w:lvl>
    <w:lvl w:ilvl="4" w:tplc="603AF83E">
      <w:start w:val="1"/>
      <w:numFmt w:val="bullet"/>
      <w:lvlText w:val="o"/>
      <w:lvlJc w:val="left"/>
      <w:pPr>
        <w:ind w:left="3600" w:hanging="360"/>
      </w:pPr>
      <w:rPr>
        <w:rFonts w:ascii="Courier New" w:hAnsi="Courier New" w:hint="default"/>
      </w:rPr>
    </w:lvl>
    <w:lvl w:ilvl="5" w:tplc="22580620">
      <w:start w:val="1"/>
      <w:numFmt w:val="bullet"/>
      <w:lvlText w:val=""/>
      <w:lvlJc w:val="left"/>
      <w:pPr>
        <w:ind w:left="4320" w:hanging="360"/>
      </w:pPr>
      <w:rPr>
        <w:rFonts w:ascii="Wingdings" w:hAnsi="Wingdings" w:hint="default"/>
      </w:rPr>
    </w:lvl>
    <w:lvl w:ilvl="6" w:tplc="64CC3C5A">
      <w:start w:val="1"/>
      <w:numFmt w:val="bullet"/>
      <w:lvlText w:val=""/>
      <w:lvlJc w:val="left"/>
      <w:pPr>
        <w:ind w:left="5040" w:hanging="360"/>
      </w:pPr>
      <w:rPr>
        <w:rFonts w:ascii="Symbol" w:hAnsi="Symbol" w:hint="default"/>
      </w:rPr>
    </w:lvl>
    <w:lvl w:ilvl="7" w:tplc="BE5C6792">
      <w:start w:val="1"/>
      <w:numFmt w:val="bullet"/>
      <w:lvlText w:val="o"/>
      <w:lvlJc w:val="left"/>
      <w:pPr>
        <w:ind w:left="5760" w:hanging="360"/>
      </w:pPr>
      <w:rPr>
        <w:rFonts w:ascii="Courier New" w:hAnsi="Courier New" w:hint="default"/>
      </w:rPr>
    </w:lvl>
    <w:lvl w:ilvl="8" w:tplc="B88E90F2">
      <w:start w:val="1"/>
      <w:numFmt w:val="bullet"/>
      <w:lvlText w:val=""/>
      <w:lvlJc w:val="left"/>
      <w:pPr>
        <w:ind w:left="6480" w:hanging="360"/>
      </w:pPr>
      <w:rPr>
        <w:rFonts w:ascii="Wingdings" w:hAnsi="Wingdings" w:hint="default"/>
      </w:rPr>
    </w:lvl>
  </w:abstractNum>
  <w:abstractNum w:abstractNumId="286" w15:restartNumberingAfterBreak="0">
    <w:nsid w:val="60403AF1"/>
    <w:multiLevelType w:val="hybridMultilevel"/>
    <w:tmpl w:val="F678F3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7" w15:restartNumberingAfterBreak="0">
    <w:nsid w:val="60404647"/>
    <w:multiLevelType w:val="hybridMultilevel"/>
    <w:tmpl w:val="FFFFFFFF"/>
    <w:lvl w:ilvl="0" w:tplc="7E8C24AE">
      <w:start w:val="1"/>
      <w:numFmt w:val="decimal"/>
      <w:lvlText w:val="%1."/>
      <w:lvlJc w:val="left"/>
      <w:pPr>
        <w:ind w:left="720" w:hanging="360"/>
      </w:pPr>
    </w:lvl>
    <w:lvl w:ilvl="1" w:tplc="933024F0">
      <w:start w:val="3"/>
      <w:numFmt w:val="lowerRoman"/>
      <w:lvlText w:val="%2."/>
      <w:lvlJc w:val="right"/>
      <w:pPr>
        <w:ind w:left="1080" w:hanging="360"/>
      </w:pPr>
    </w:lvl>
    <w:lvl w:ilvl="2" w:tplc="942E28EA">
      <w:start w:val="1"/>
      <w:numFmt w:val="lowerRoman"/>
      <w:lvlText w:val="%3."/>
      <w:lvlJc w:val="right"/>
      <w:pPr>
        <w:ind w:left="2160" w:hanging="180"/>
      </w:pPr>
    </w:lvl>
    <w:lvl w:ilvl="3" w:tplc="097428CA">
      <w:start w:val="1"/>
      <w:numFmt w:val="decimal"/>
      <w:lvlText w:val="%4."/>
      <w:lvlJc w:val="left"/>
      <w:pPr>
        <w:ind w:left="2880" w:hanging="360"/>
      </w:pPr>
    </w:lvl>
    <w:lvl w:ilvl="4" w:tplc="2E1673EA">
      <w:start w:val="1"/>
      <w:numFmt w:val="lowerLetter"/>
      <w:lvlText w:val="%5."/>
      <w:lvlJc w:val="left"/>
      <w:pPr>
        <w:ind w:left="3600" w:hanging="360"/>
      </w:pPr>
    </w:lvl>
    <w:lvl w:ilvl="5" w:tplc="3782F7EA">
      <w:start w:val="1"/>
      <w:numFmt w:val="lowerRoman"/>
      <w:lvlText w:val="%6."/>
      <w:lvlJc w:val="right"/>
      <w:pPr>
        <w:ind w:left="4320" w:hanging="180"/>
      </w:pPr>
    </w:lvl>
    <w:lvl w:ilvl="6" w:tplc="87761EA4">
      <w:start w:val="1"/>
      <w:numFmt w:val="decimal"/>
      <w:lvlText w:val="%7."/>
      <w:lvlJc w:val="left"/>
      <w:pPr>
        <w:ind w:left="5040" w:hanging="360"/>
      </w:pPr>
    </w:lvl>
    <w:lvl w:ilvl="7" w:tplc="BD0E7BD2">
      <w:start w:val="1"/>
      <w:numFmt w:val="lowerLetter"/>
      <w:lvlText w:val="%8."/>
      <w:lvlJc w:val="left"/>
      <w:pPr>
        <w:ind w:left="5760" w:hanging="360"/>
      </w:pPr>
    </w:lvl>
    <w:lvl w:ilvl="8" w:tplc="A0568ACC">
      <w:start w:val="1"/>
      <w:numFmt w:val="lowerRoman"/>
      <w:lvlText w:val="%9."/>
      <w:lvlJc w:val="right"/>
      <w:pPr>
        <w:ind w:left="6480" w:hanging="180"/>
      </w:pPr>
    </w:lvl>
  </w:abstractNum>
  <w:abstractNum w:abstractNumId="288" w15:restartNumberingAfterBreak="0">
    <w:nsid w:val="61092903"/>
    <w:multiLevelType w:val="hybridMultilevel"/>
    <w:tmpl w:val="77BCF5B0"/>
    <w:lvl w:ilvl="0" w:tplc="E46C7E4C">
      <w:start w:val="3"/>
      <w:numFmt w:val="decimal"/>
      <w:lvlText w:val="%1."/>
      <w:lvlJc w:val="left"/>
      <w:pPr>
        <w:ind w:left="720" w:hanging="360"/>
      </w:pPr>
    </w:lvl>
    <w:lvl w:ilvl="1" w:tplc="BC080F32">
      <w:start w:val="1"/>
      <w:numFmt w:val="lowerLetter"/>
      <w:lvlText w:val="%2."/>
      <w:lvlJc w:val="left"/>
      <w:pPr>
        <w:ind w:left="1440" w:hanging="360"/>
      </w:pPr>
    </w:lvl>
    <w:lvl w:ilvl="2" w:tplc="73C6FF78">
      <w:start w:val="1"/>
      <w:numFmt w:val="lowerRoman"/>
      <w:lvlText w:val="%3."/>
      <w:lvlJc w:val="right"/>
      <w:pPr>
        <w:ind w:left="2160" w:hanging="180"/>
      </w:pPr>
    </w:lvl>
    <w:lvl w:ilvl="3" w:tplc="344CC4AC">
      <w:start w:val="1"/>
      <w:numFmt w:val="decimal"/>
      <w:lvlText w:val="%4."/>
      <w:lvlJc w:val="left"/>
      <w:pPr>
        <w:ind w:left="2880" w:hanging="360"/>
      </w:pPr>
    </w:lvl>
    <w:lvl w:ilvl="4" w:tplc="7E3A0574">
      <w:start w:val="1"/>
      <w:numFmt w:val="lowerLetter"/>
      <w:lvlText w:val="%5."/>
      <w:lvlJc w:val="left"/>
      <w:pPr>
        <w:ind w:left="3600" w:hanging="360"/>
      </w:pPr>
    </w:lvl>
    <w:lvl w:ilvl="5" w:tplc="A76AFA9E">
      <w:start w:val="1"/>
      <w:numFmt w:val="lowerRoman"/>
      <w:lvlText w:val="%6."/>
      <w:lvlJc w:val="right"/>
      <w:pPr>
        <w:ind w:left="4320" w:hanging="180"/>
      </w:pPr>
    </w:lvl>
    <w:lvl w:ilvl="6" w:tplc="3E06E734">
      <w:start w:val="1"/>
      <w:numFmt w:val="decimal"/>
      <w:lvlText w:val="%7."/>
      <w:lvlJc w:val="left"/>
      <w:pPr>
        <w:ind w:left="5040" w:hanging="360"/>
      </w:pPr>
    </w:lvl>
    <w:lvl w:ilvl="7" w:tplc="627A6296">
      <w:start w:val="1"/>
      <w:numFmt w:val="lowerLetter"/>
      <w:lvlText w:val="%8."/>
      <w:lvlJc w:val="left"/>
      <w:pPr>
        <w:ind w:left="5760" w:hanging="360"/>
      </w:pPr>
    </w:lvl>
    <w:lvl w:ilvl="8" w:tplc="8DAEBA52">
      <w:start w:val="1"/>
      <w:numFmt w:val="lowerRoman"/>
      <w:lvlText w:val="%9."/>
      <w:lvlJc w:val="right"/>
      <w:pPr>
        <w:ind w:left="6480" w:hanging="180"/>
      </w:pPr>
    </w:lvl>
  </w:abstractNum>
  <w:abstractNum w:abstractNumId="289" w15:restartNumberingAfterBreak="0">
    <w:nsid w:val="617C0C14"/>
    <w:multiLevelType w:val="hybridMultilevel"/>
    <w:tmpl w:val="FFFFFFFF"/>
    <w:lvl w:ilvl="0" w:tplc="F1C4799C">
      <w:start w:val="6"/>
      <w:numFmt w:val="decimal"/>
      <w:lvlText w:val="%1."/>
      <w:lvlJc w:val="left"/>
      <w:pPr>
        <w:ind w:left="720" w:hanging="360"/>
      </w:pPr>
    </w:lvl>
    <w:lvl w:ilvl="1" w:tplc="CB2E21DA">
      <w:start w:val="1"/>
      <w:numFmt w:val="lowerLetter"/>
      <w:lvlText w:val="%2."/>
      <w:lvlJc w:val="left"/>
      <w:pPr>
        <w:ind w:left="1440" w:hanging="360"/>
      </w:pPr>
    </w:lvl>
    <w:lvl w:ilvl="2" w:tplc="2FF2A010">
      <w:start w:val="1"/>
      <w:numFmt w:val="lowerRoman"/>
      <w:lvlText w:val="%3."/>
      <w:lvlJc w:val="right"/>
      <w:pPr>
        <w:ind w:left="2160" w:hanging="180"/>
      </w:pPr>
    </w:lvl>
    <w:lvl w:ilvl="3" w:tplc="F9D64C2A">
      <w:start w:val="1"/>
      <w:numFmt w:val="decimal"/>
      <w:lvlText w:val="%4."/>
      <w:lvlJc w:val="left"/>
      <w:pPr>
        <w:ind w:left="2880" w:hanging="360"/>
      </w:pPr>
    </w:lvl>
    <w:lvl w:ilvl="4" w:tplc="62641D0C">
      <w:start w:val="1"/>
      <w:numFmt w:val="lowerLetter"/>
      <w:lvlText w:val="%5."/>
      <w:lvlJc w:val="left"/>
      <w:pPr>
        <w:ind w:left="3600" w:hanging="360"/>
      </w:pPr>
    </w:lvl>
    <w:lvl w:ilvl="5" w:tplc="AA809934">
      <w:start w:val="1"/>
      <w:numFmt w:val="lowerRoman"/>
      <w:lvlText w:val="%6."/>
      <w:lvlJc w:val="right"/>
      <w:pPr>
        <w:ind w:left="4320" w:hanging="180"/>
      </w:pPr>
    </w:lvl>
    <w:lvl w:ilvl="6" w:tplc="DB723E42">
      <w:start w:val="1"/>
      <w:numFmt w:val="decimal"/>
      <w:lvlText w:val="%7."/>
      <w:lvlJc w:val="left"/>
      <w:pPr>
        <w:ind w:left="5040" w:hanging="360"/>
      </w:pPr>
    </w:lvl>
    <w:lvl w:ilvl="7" w:tplc="B4D84472">
      <w:start w:val="1"/>
      <w:numFmt w:val="lowerLetter"/>
      <w:lvlText w:val="%8."/>
      <w:lvlJc w:val="left"/>
      <w:pPr>
        <w:ind w:left="5760" w:hanging="360"/>
      </w:pPr>
    </w:lvl>
    <w:lvl w:ilvl="8" w:tplc="36049F0E">
      <w:start w:val="1"/>
      <w:numFmt w:val="lowerRoman"/>
      <w:lvlText w:val="%9."/>
      <w:lvlJc w:val="right"/>
      <w:pPr>
        <w:ind w:left="6480" w:hanging="180"/>
      </w:pPr>
    </w:lvl>
  </w:abstractNum>
  <w:abstractNum w:abstractNumId="290" w15:restartNumberingAfterBreak="0">
    <w:nsid w:val="618F851A"/>
    <w:multiLevelType w:val="hybridMultilevel"/>
    <w:tmpl w:val="FFFFFFFF"/>
    <w:lvl w:ilvl="0" w:tplc="BBAC3D22">
      <w:start w:val="1"/>
      <w:numFmt w:val="lowerLetter"/>
      <w:lvlText w:val="%1."/>
      <w:lvlJc w:val="left"/>
      <w:pPr>
        <w:ind w:left="720" w:hanging="360"/>
      </w:pPr>
    </w:lvl>
    <w:lvl w:ilvl="1" w:tplc="B978E83C">
      <w:start w:val="1"/>
      <w:numFmt w:val="lowerLetter"/>
      <w:lvlText w:val="%2."/>
      <w:lvlJc w:val="left"/>
      <w:pPr>
        <w:ind w:left="1440" w:hanging="360"/>
      </w:pPr>
    </w:lvl>
    <w:lvl w:ilvl="2" w:tplc="D52452A2">
      <w:start w:val="1"/>
      <w:numFmt w:val="lowerRoman"/>
      <w:lvlText w:val="%3."/>
      <w:lvlJc w:val="right"/>
      <w:pPr>
        <w:ind w:left="2160" w:hanging="180"/>
      </w:pPr>
    </w:lvl>
    <w:lvl w:ilvl="3" w:tplc="6D32916A">
      <w:start w:val="1"/>
      <w:numFmt w:val="decimal"/>
      <w:lvlText w:val="%4."/>
      <w:lvlJc w:val="left"/>
      <w:pPr>
        <w:ind w:left="2880" w:hanging="360"/>
      </w:pPr>
    </w:lvl>
    <w:lvl w:ilvl="4" w:tplc="0F14E9CC">
      <w:start w:val="1"/>
      <w:numFmt w:val="lowerLetter"/>
      <w:lvlText w:val="%5."/>
      <w:lvlJc w:val="left"/>
      <w:pPr>
        <w:ind w:left="3600" w:hanging="360"/>
      </w:pPr>
    </w:lvl>
    <w:lvl w:ilvl="5" w:tplc="CD8E7BC4">
      <w:start w:val="1"/>
      <w:numFmt w:val="lowerRoman"/>
      <w:lvlText w:val="%6."/>
      <w:lvlJc w:val="right"/>
      <w:pPr>
        <w:ind w:left="4320" w:hanging="180"/>
      </w:pPr>
    </w:lvl>
    <w:lvl w:ilvl="6" w:tplc="7F6A6FB0">
      <w:start w:val="1"/>
      <w:numFmt w:val="decimal"/>
      <w:lvlText w:val="%7."/>
      <w:lvlJc w:val="left"/>
      <w:pPr>
        <w:ind w:left="5040" w:hanging="360"/>
      </w:pPr>
    </w:lvl>
    <w:lvl w:ilvl="7" w:tplc="440029EA">
      <w:start w:val="1"/>
      <w:numFmt w:val="lowerLetter"/>
      <w:lvlText w:val="%8."/>
      <w:lvlJc w:val="left"/>
      <w:pPr>
        <w:ind w:left="5760" w:hanging="360"/>
      </w:pPr>
    </w:lvl>
    <w:lvl w:ilvl="8" w:tplc="68A03744">
      <w:start w:val="1"/>
      <w:numFmt w:val="lowerRoman"/>
      <w:lvlText w:val="%9."/>
      <w:lvlJc w:val="right"/>
      <w:pPr>
        <w:ind w:left="6480" w:hanging="180"/>
      </w:pPr>
    </w:lvl>
  </w:abstractNum>
  <w:abstractNum w:abstractNumId="291" w15:restartNumberingAfterBreak="0">
    <w:nsid w:val="619B483D"/>
    <w:multiLevelType w:val="hybridMultilevel"/>
    <w:tmpl w:val="43C06952"/>
    <w:lvl w:ilvl="0" w:tplc="E1EC9FA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2" w15:restartNumberingAfterBreak="0">
    <w:nsid w:val="61D3B181"/>
    <w:multiLevelType w:val="hybridMultilevel"/>
    <w:tmpl w:val="FFFFFFFF"/>
    <w:lvl w:ilvl="0" w:tplc="521A25F8">
      <w:start w:val="1"/>
      <w:numFmt w:val="bullet"/>
      <w:lvlText w:val=""/>
      <w:lvlJc w:val="left"/>
      <w:pPr>
        <w:ind w:left="720" w:hanging="360"/>
      </w:pPr>
      <w:rPr>
        <w:rFonts w:ascii="Symbol" w:hAnsi="Symbol" w:hint="default"/>
      </w:rPr>
    </w:lvl>
    <w:lvl w:ilvl="1" w:tplc="E87455C8">
      <w:start w:val="1"/>
      <w:numFmt w:val="bullet"/>
      <w:lvlText w:val="o"/>
      <w:lvlJc w:val="left"/>
      <w:pPr>
        <w:ind w:left="1440" w:hanging="360"/>
      </w:pPr>
      <w:rPr>
        <w:rFonts w:ascii="Courier New" w:hAnsi="Courier New" w:hint="default"/>
      </w:rPr>
    </w:lvl>
    <w:lvl w:ilvl="2" w:tplc="73EC81FC">
      <w:start w:val="1"/>
      <w:numFmt w:val="bullet"/>
      <w:lvlText w:val=""/>
      <w:lvlJc w:val="left"/>
      <w:pPr>
        <w:ind w:left="2160" w:hanging="360"/>
      </w:pPr>
      <w:rPr>
        <w:rFonts w:ascii="Wingdings" w:hAnsi="Wingdings" w:hint="default"/>
      </w:rPr>
    </w:lvl>
    <w:lvl w:ilvl="3" w:tplc="2312DD7A">
      <w:start w:val="1"/>
      <w:numFmt w:val="bullet"/>
      <w:lvlText w:val=""/>
      <w:lvlJc w:val="left"/>
      <w:pPr>
        <w:ind w:left="2880" w:hanging="360"/>
      </w:pPr>
      <w:rPr>
        <w:rFonts w:ascii="Symbol" w:hAnsi="Symbol" w:hint="default"/>
      </w:rPr>
    </w:lvl>
    <w:lvl w:ilvl="4" w:tplc="3D3A29DC">
      <w:start w:val="1"/>
      <w:numFmt w:val="bullet"/>
      <w:lvlText w:val="o"/>
      <w:lvlJc w:val="left"/>
      <w:pPr>
        <w:ind w:left="3600" w:hanging="360"/>
      </w:pPr>
      <w:rPr>
        <w:rFonts w:ascii="Courier New" w:hAnsi="Courier New" w:hint="default"/>
      </w:rPr>
    </w:lvl>
    <w:lvl w:ilvl="5" w:tplc="398646AC">
      <w:start w:val="1"/>
      <w:numFmt w:val="bullet"/>
      <w:lvlText w:val=""/>
      <w:lvlJc w:val="left"/>
      <w:pPr>
        <w:ind w:left="4320" w:hanging="360"/>
      </w:pPr>
      <w:rPr>
        <w:rFonts w:ascii="Wingdings" w:hAnsi="Wingdings" w:hint="default"/>
      </w:rPr>
    </w:lvl>
    <w:lvl w:ilvl="6" w:tplc="C5BC36FA">
      <w:start w:val="1"/>
      <w:numFmt w:val="bullet"/>
      <w:lvlText w:val=""/>
      <w:lvlJc w:val="left"/>
      <w:pPr>
        <w:ind w:left="5040" w:hanging="360"/>
      </w:pPr>
      <w:rPr>
        <w:rFonts w:ascii="Symbol" w:hAnsi="Symbol" w:hint="default"/>
      </w:rPr>
    </w:lvl>
    <w:lvl w:ilvl="7" w:tplc="739A3E2C">
      <w:start w:val="1"/>
      <w:numFmt w:val="bullet"/>
      <w:lvlText w:val="o"/>
      <w:lvlJc w:val="left"/>
      <w:pPr>
        <w:ind w:left="5760" w:hanging="360"/>
      </w:pPr>
      <w:rPr>
        <w:rFonts w:ascii="Courier New" w:hAnsi="Courier New" w:hint="default"/>
      </w:rPr>
    </w:lvl>
    <w:lvl w:ilvl="8" w:tplc="8AF0C4A8">
      <w:start w:val="1"/>
      <w:numFmt w:val="bullet"/>
      <w:lvlText w:val=""/>
      <w:lvlJc w:val="left"/>
      <w:pPr>
        <w:ind w:left="6480" w:hanging="360"/>
      </w:pPr>
      <w:rPr>
        <w:rFonts w:ascii="Wingdings" w:hAnsi="Wingdings" w:hint="default"/>
      </w:rPr>
    </w:lvl>
  </w:abstractNum>
  <w:abstractNum w:abstractNumId="293" w15:restartNumberingAfterBreak="0">
    <w:nsid w:val="61ED061C"/>
    <w:multiLevelType w:val="multilevel"/>
    <w:tmpl w:val="28B058E6"/>
    <w:lvl w:ilvl="0">
      <w:start w:val="1"/>
      <w:numFmt w:val="decimal"/>
      <w:lvlText w:val="%1)"/>
      <w:lvlJc w:val="left"/>
      <w:pPr>
        <w:ind w:left="360" w:hanging="360"/>
      </w:pPr>
      <w:rPr>
        <w:b w:val="0"/>
        <w:lang w:val="en-G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4" w15:restartNumberingAfterBreak="0">
    <w:nsid w:val="62BD4FC3"/>
    <w:multiLevelType w:val="hybridMultilevel"/>
    <w:tmpl w:val="FFFFFFFF"/>
    <w:lvl w:ilvl="0" w:tplc="7B722F62">
      <w:start w:val="1"/>
      <w:numFmt w:val="bullet"/>
      <w:lvlText w:val=""/>
      <w:lvlJc w:val="left"/>
      <w:pPr>
        <w:ind w:left="720" w:hanging="360"/>
      </w:pPr>
      <w:rPr>
        <w:rFonts w:ascii="Symbol" w:hAnsi="Symbol" w:hint="default"/>
      </w:rPr>
    </w:lvl>
    <w:lvl w:ilvl="1" w:tplc="0FD0E0C0">
      <w:start w:val="1"/>
      <w:numFmt w:val="bullet"/>
      <w:lvlText w:val="o"/>
      <w:lvlJc w:val="left"/>
      <w:pPr>
        <w:ind w:left="1440" w:hanging="360"/>
      </w:pPr>
      <w:rPr>
        <w:rFonts w:ascii="Courier New" w:hAnsi="Courier New" w:hint="default"/>
      </w:rPr>
    </w:lvl>
    <w:lvl w:ilvl="2" w:tplc="E9863798">
      <w:start w:val="1"/>
      <w:numFmt w:val="bullet"/>
      <w:lvlText w:val=""/>
      <w:lvlJc w:val="left"/>
      <w:pPr>
        <w:ind w:left="2160" w:hanging="360"/>
      </w:pPr>
      <w:rPr>
        <w:rFonts w:ascii="Wingdings" w:hAnsi="Wingdings" w:hint="default"/>
      </w:rPr>
    </w:lvl>
    <w:lvl w:ilvl="3" w:tplc="2268516A">
      <w:start w:val="1"/>
      <w:numFmt w:val="bullet"/>
      <w:lvlText w:val=""/>
      <w:lvlJc w:val="left"/>
      <w:pPr>
        <w:ind w:left="2880" w:hanging="360"/>
      </w:pPr>
      <w:rPr>
        <w:rFonts w:ascii="Symbol" w:hAnsi="Symbol" w:hint="default"/>
      </w:rPr>
    </w:lvl>
    <w:lvl w:ilvl="4" w:tplc="A7E209B0">
      <w:start w:val="1"/>
      <w:numFmt w:val="bullet"/>
      <w:lvlText w:val="o"/>
      <w:lvlJc w:val="left"/>
      <w:pPr>
        <w:ind w:left="3600" w:hanging="360"/>
      </w:pPr>
      <w:rPr>
        <w:rFonts w:ascii="Courier New" w:hAnsi="Courier New" w:hint="default"/>
      </w:rPr>
    </w:lvl>
    <w:lvl w:ilvl="5" w:tplc="0114A4FC">
      <w:start w:val="1"/>
      <w:numFmt w:val="bullet"/>
      <w:lvlText w:val=""/>
      <w:lvlJc w:val="left"/>
      <w:pPr>
        <w:ind w:left="4320" w:hanging="360"/>
      </w:pPr>
      <w:rPr>
        <w:rFonts w:ascii="Wingdings" w:hAnsi="Wingdings" w:hint="default"/>
      </w:rPr>
    </w:lvl>
    <w:lvl w:ilvl="6" w:tplc="064E4C30">
      <w:start w:val="1"/>
      <w:numFmt w:val="bullet"/>
      <w:lvlText w:val=""/>
      <w:lvlJc w:val="left"/>
      <w:pPr>
        <w:ind w:left="5040" w:hanging="360"/>
      </w:pPr>
      <w:rPr>
        <w:rFonts w:ascii="Symbol" w:hAnsi="Symbol" w:hint="default"/>
      </w:rPr>
    </w:lvl>
    <w:lvl w:ilvl="7" w:tplc="5A5E2150">
      <w:start w:val="1"/>
      <w:numFmt w:val="bullet"/>
      <w:lvlText w:val="o"/>
      <w:lvlJc w:val="left"/>
      <w:pPr>
        <w:ind w:left="5760" w:hanging="360"/>
      </w:pPr>
      <w:rPr>
        <w:rFonts w:ascii="Courier New" w:hAnsi="Courier New" w:hint="default"/>
      </w:rPr>
    </w:lvl>
    <w:lvl w:ilvl="8" w:tplc="494084B6">
      <w:start w:val="1"/>
      <w:numFmt w:val="bullet"/>
      <w:lvlText w:val=""/>
      <w:lvlJc w:val="left"/>
      <w:pPr>
        <w:ind w:left="6480" w:hanging="360"/>
      </w:pPr>
      <w:rPr>
        <w:rFonts w:ascii="Wingdings" w:hAnsi="Wingdings" w:hint="default"/>
      </w:rPr>
    </w:lvl>
  </w:abstractNum>
  <w:abstractNum w:abstractNumId="295" w15:restartNumberingAfterBreak="0">
    <w:nsid w:val="632FFDB5"/>
    <w:multiLevelType w:val="hybridMultilevel"/>
    <w:tmpl w:val="FFFFFFFF"/>
    <w:lvl w:ilvl="0" w:tplc="B39CFD28">
      <w:start w:val="4"/>
      <w:numFmt w:val="lowerLetter"/>
      <w:lvlText w:val="%1)"/>
      <w:lvlJc w:val="left"/>
      <w:pPr>
        <w:ind w:left="720" w:hanging="360"/>
      </w:pPr>
    </w:lvl>
    <w:lvl w:ilvl="1" w:tplc="9460C798">
      <w:start w:val="1"/>
      <w:numFmt w:val="lowerLetter"/>
      <w:lvlText w:val="%2."/>
      <w:lvlJc w:val="left"/>
      <w:pPr>
        <w:ind w:left="1440" w:hanging="360"/>
      </w:pPr>
    </w:lvl>
    <w:lvl w:ilvl="2" w:tplc="99C806AC">
      <w:start w:val="1"/>
      <w:numFmt w:val="lowerRoman"/>
      <w:lvlText w:val="%3."/>
      <w:lvlJc w:val="right"/>
      <w:pPr>
        <w:ind w:left="2160" w:hanging="180"/>
      </w:pPr>
    </w:lvl>
    <w:lvl w:ilvl="3" w:tplc="53322BC6">
      <w:start w:val="1"/>
      <w:numFmt w:val="decimal"/>
      <w:lvlText w:val="%4."/>
      <w:lvlJc w:val="left"/>
      <w:pPr>
        <w:ind w:left="2880" w:hanging="360"/>
      </w:pPr>
    </w:lvl>
    <w:lvl w:ilvl="4" w:tplc="909C3D82">
      <w:start w:val="1"/>
      <w:numFmt w:val="lowerLetter"/>
      <w:lvlText w:val="%5."/>
      <w:lvlJc w:val="left"/>
      <w:pPr>
        <w:ind w:left="3600" w:hanging="360"/>
      </w:pPr>
    </w:lvl>
    <w:lvl w:ilvl="5" w:tplc="1F86DECE">
      <w:start w:val="1"/>
      <w:numFmt w:val="lowerRoman"/>
      <w:lvlText w:val="%6."/>
      <w:lvlJc w:val="right"/>
      <w:pPr>
        <w:ind w:left="4320" w:hanging="180"/>
      </w:pPr>
    </w:lvl>
    <w:lvl w:ilvl="6" w:tplc="1CB8375C">
      <w:start w:val="1"/>
      <w:numFmt w:val="decimal"/>
      <w:lvlText w:val="%7."/>
      <w:lvlJc w:val="left"/>
      <w:pPr>
        <w:ind w:left="5040" w:hanging="360"/>
      </w:pPr>
    </w:lvl>
    <w:lvl w:ilvl="7" w:tplc="425C37B6">
      <w:start w:val="1"/>
      <w:numFmt w:val="lowerLetter"/>
      <w:lvlText w:val="%8."/>
      <w:lvlJc w:val="left"/>
      <w:pPr>
        <w:ind w:left="5760" w:hanging="360"/>
      </w:pPr>
    </w:lvl>
    <w:lvl w:ilvl="8" w:tplc="B5809BAA">
      <w:start w:val="1"/>
      <w:numFmt w:val="lowerRoman"/>
      <w:lvlText w:val="%9."/>
      <w:lvlJc w:val="right"/>
      <w:pPr>
        <w:ind w:left="6480" w:hanging="180"/>
      </w:pPr>
    </w:lvl>
  </w:abstractNum>
  <w:abstractNum w:abstractNumId="296" w15:restartNumberingAfterBreak="0">
    <w:nsid w:val="63882512"/>
    <w:multiLevelType w:val="hybridMultilevel"/>
    <w:tmpl w:val="FFFFFFFF"/>
    <w:lvl w:ilvl="0" w:tplc="DA56943A">
      <w:start w:val="3"/>
      <w:numFmt w:val="decimal"/>
      <w:lvlText w:val="%1."/>
      <w:lvlJc w:val="left"/>
      <w:pPr>
        <w:ind w:left="720" w:hanging="360"/>
      </w:pPr>
    </w:lvl>
    <w:lvl w:ilvl="1" w:tplc="E06E79FC">
      <w:start w:val="1"/>
      <w:numFmt w:val="lowerLetter"/>
      <w:lvlText w:val="%2."/>
      <w:lvlJc w:val="left"/>
      <w:pPr>
        <w:ind w:left="1440" w:hanging="360"/>
      </w:pPr>
    </w:lvl>
    <w:lvl w:ilvl="2" w:tplc="5B3204F6">
      <w:start w:val="1"/>
      <w:numFmt w:val="lowerRoman"/>
      <w:lvlText w:val="%3."/>
      <w:lvlJc w:val="right"/>
      <w:pPr>
        <w:ind w:left="2160" w:hanging="180"/>
      </w:pPr>
    </w:lvl>
    <w:lvl w:ilvl="3" w:tplc="9370B82C">
      <w:start w:val="1"/>
      <w:numFmt w:val="decimal"/>
      <w:lvlText w:val="%4."/>
      <w:lvlJc w:val="left"/>
      <w:pPr>
        <w:ind w:left="2880" w:hanging="360"/>
      </w:pPr>
    </w:lvl>
    <w:lvl w:ilvl="4" w:tplc="08A610D0">
      <w:start w:val="1"/>
      <w:numFmt w:val="lowerLetter"/>
      <w:lvlText w:val="%5."/>
      <w:lvlJc w:val="left"/>
      <w:pPr>
        <w:ind w:left="3600" w:hanging="360"/>
      </w:pPr>
    </w:lvl>
    <w:lvl w:ilvl="5" w:tplc="3E76C1A6">
      <w:start w:val="1"/>
      <w:numFmt w:val="lowerRoman"/>
      <w:lvlText w:val="%6."/>
      <w:lvlJc w:val="right"/>
      <w:pPr>
        <w:ind w:left="4320" w:hanging="180"/>
      </w:pPr>
    </w:lvl>
    <w:lvl w:ilvl="6" w:tplc="9B8CE7AE">
      <w:start w:val="1"/>
      <w:numFmt w:val="decimal"/>
      <w:lvlText w:val="%7."/>
      <w:lvlJc w:val="left"/>
      <w:pPr>
        <w:ind w:left="5040" w:hanging="360"/>
      </w:pPr>
    </w:lvl>
    <w:lvl w:ilvl="7" w:tplc="9EB86138">
      <w:start w:val="1"/>
      <w:numFmt w:val="lowerLetter"/>
      <w:lvlText w:val="%8."/>
      <w:lvlJc w:val="left"/>
      <w:pPr>
        <w:ind w:left="5760" w:hanging="360"/>
      </w:pPr>
    </w:lvl>
    <w:lvl w:ilvl="8" w:tplc="14DE07BA">
      <w:start w:val="1"/>
      <w:numFmt w:val="lowerRoman"/>
      <w:lvlText w:val="%9."/>
      <w:lvlJc w:val="right"/>
      <w:pPr>
        <w:ind w:left="6480" w:hanging="180"/>
      </w:pPr>
    </w:lvl>
  </w:abstractNum>
  <w:abstractNum w:abstractNumId="297" w15:restartNumberingAfterBreak="0">
    <w:nsid w:val="63A2F5E5"/>
    <w:multiLevelType w:val="hybridMultilevel"/>
    <w:tmpl w:val="FFFFFFFF"/>
    <w:lvl w:ilvl="0" w:tplc="7F403FBE">
      <w:start w:val="1"/>
      <w:numFmt w:val="lowerLetter"/>
      <w:lvlText w:val="%1."/>
      <w:lvlJc w:val="left"/>
      <w:pPr>
        <w:ind w:left="720" w:hanging="360"/>
      </w:pPr>
    </w:lvl>
    <w:lvl w:ilvl="1" w:tplc="BA7824CE">
      <w:start w:val="1"/>
      <w:numFmt w:val="lowerLetter"/>
      <w:lvlText w:val="%2."/>
      <w:lvlJc w:val="left"/>
      <w:pPr>
        <w:ind w:left="1440" w:hanging="360"/>
      </w:pPr>
    </w:lvl>
    <w:lvl w:ilvl="2" w:tplc="59EAFD18">
      <w:start w:val="1"/>
      <w:numFmt w:val="lowerRoman"/>
      <w:lvlText w:val="%3."/>
      <w:lvlJc w:val="right"/>
      <w:pPr>
        <w:ind w:left="2160" w:hanging="180"/>
      </w:pPr>
    </w:lvl>
    <w:lvl w:ilvl="3" w:tplc="114E4A98">
      <w:start w:val="1"/>
      <w:numFmt w:val="decimal"/>
      <w:lvlText w:val="%4."/>
      <w:lvlJc w:val="left"/>
      <w:pPr>
        <w:ind w:left="2880" w:hanging="360"/>
      </w:pPr>
    </w:lvl>
    <w:lvl w:ilvl="4" w:tplc="0B341ABE">
      <w:start w:val="1"/>
      <w:numFmt w:val="lowerLetter"/>
      <w:lvlText w:val="%5."/>
      <w:lvlJc w:val="left"/>
      <w:pPr>
        <w:ind w:left="3600" w:hanging="360"/>
      </w:pPr>
    </w:lvl>
    <w:lvl w:ilvl="5" w:tplc="6B900022">
      <w:start w:val="1"/>
      <w:numFmt w:val="lowerRoman"/>
      <w:lvlText w:val="%6."/>
      <w:lvlJc w:val="right"/>
      <w:pPr>
        <w:ind w:left="4320" w:hanging="180"/>
      </w:pPr>
    </w:lvl>
    <w:lvl w:ilvl="6" w:tplc="4EBCF66A">
      <w:start w:val="1"/>
      <w:numFmt w:val="decimal"/>
      <w:lvlText w:val="%7."/>
      <w:lvlJc w:val="left"/>
      <w:pPr>
        <w:ind w:left="5040" w:hanging="360"/>
      </w:pPr>
    </w:lvl>
    <w:lvl w:ilvl="7" w:tplc="E65E5CC2">
      <w:start w:val="1"/>
      <w:numFmt w:val="lowerLetter"/>
      <w:lvlText w:val="%8."/>
      <w:lvlJc w:val="left"/>
      <w:pPr>
        <w:ind w:left="5760" w:hanging="360"/>
      </w:pPr>
    </w:lvl>
    <w:lvl w:ilvl="8" w:tplc="E96EB100">
      <w:start w:val="1"/>
      <w:numFmt w:val="lowerRoman"/>
      <w:lvlText w:val="%9."/>
      <w:lvlJc w:val="right"/>
      <w:pPr>
        <w:ind w:left="6480" w:hanging="180"/>
      </w:pPr>
    </w:lvl>
  </w:abstractNum>
  <w:abstractNum w:abstractNumId="298" w15:restartNumberingAfterBreak="0">
    <w:nsid w:val="63C85AF6"/>
    <w:multiLevelType w:val="hybridMultilevel"/>
    <w:tmpl w:val="FFFFFFFF"/>
    <w:lvl w:ilvl="0" w:tplc="02A28138">
      <w:start w:val="1"/>
      <w:numFmt w:val="bullet"/>
      <w:lvlText w:val=""/>
      <w:lvlJc w:val="left"/>
      <w:pPr>
        <w:ind w:left="720" w:hanging="360"/>
      </w:pPr>
      <w:rPr>
        <w:rFonts w:ascii="Symbol" w:hAnsi="Symbol" w:hint="default"/>
      </w:rPr>
    </w:lvl>
    <w:lvl w:ilvl="1" w:tplc="DA660D3E">
      <w:start w:val="1"/>
      <w:numFmt w:val="bullet"/>
      <w:lvlText w:val="o"/>
      <w:lvlJc w:val="left"/>
      <w:pPr>
        <w:ind w:left="1440" w:hanging="360"/>
      </w:pPr>
      <w:rPr>
        <w:rFonts w:ascii="Courier New" w:hAnsi="Courier New" w:hint="default"/>
      </w:rPr>
    </w:lvl>
    <w:lvl w:ilvl="2" w:tplc="56BCBF32">
      <w:start w:val="1"/>
      <w:numFmt w:val="bullet"/>
      <w:lvlText w:val=""/>
      <w:lvlJc w:val="left"/>
      <w:pPr>
        <w:ind w:left="2160" w:hanging="360"/>
      </w:pPr>
      <w:rPr>
        <w:rFonts w:ascii="Wingdings" w:hAnsi="Wingdings" w:hint="default"/>
      </w:rPr>
    </w:lvl>
    <w:lvl w:ilvl="3" w:tplc="6C8808EA">
      <w:start w:val="1"/>
      <w:numFmt w:val="bullet"/>
      <w:lvlText w:val=""/>
      <w:lvlJc w:val="left"/>
      <w:pPr>
        <w:ind w:left="2880" w:hanging="360"/>
      </w:pPr>
      <w:rPr>
        <w:rFonts w:ascii="Symbol" w:hAnsi="Symbol" w:hint="default"/>
      </w:rPr>
    </w:lvl>
    <w:lvl w:ilvl="4" w:tplc="740A15D2">
      <w:start w:val="1"/>
      <w:numFmt w:val="bullet"/>
      <w:lvlText w:val="o"/>
      <w:lvlJc w:val="left"/>
      <w:pPr>
        <w:ind w:left="3600" w:hanging="360"/>
      </w:pPr>
      <w:rPr>
        <w:rFonts w:ascii="Courier New" w:hAnsi="Courier New" w:hint="default"/>
      </w:rPr>
    </w:lvl>
    <w:lvl w:ilvl="5" w:tplc="79ECF450">
      <w:start w:val="1"/>
      <w:numFmt w:val="bullet"/>
      <w:lvlText w:val=""/>
      <w:lvlJc w:val="left"/>
      <w:pPr>
        <w:ind w:left="4320" w:hanging="360"/>
      </w:pPr>
      <w:rPr>
        <w:rFonts w:ascii="Wingdings" w:hAnsi="Wingdings" w:hint="default"/>
      </w:rPr>
    </w:lvl>
    <w:lvl w:ilvl="6" w:tplc="40C4161C">
      <w:start w:val="1"/>
      <w:numFmt w:val="bullet"/>
      <w:lvlText w:val=""/>
      <w:lvlJc w:val="left"/>
      <w:pPr>
        <w:ind w:left="5040" w:hanging="360"/>
      </w:pPr>
      <w:rPr>
        <w:rFonts w:ascii="Symbol" w:hAnsi="Symbol" w:hint="default"/>
      </w:rPr>
    </w:lvl>
    <w:lvl w:ilvl="7" w:tplc="6FFC9A60">
      <w:start w:val="1"/>
      <w:numFmt w:val="bullet"/>
      <w:lvlText w:val="o"/>
      <w:lvlJc w:val="left"/>
      <w:pPr>
        <w:ind w:left="5760" w:hanging="360"/>
      </w:pPr>
      <w:rPr>
        <w:rFonts w:ascii="Courier New" w:hAnsi="Courier New" w:hint="default"/>
      </w:rPr>
    </w:lvl>
    <w:lvl w:ilvl="8" w:tplc="CA6C4E36">
      <w:start w:val="1"/>
      <w:numFmt w:val="bullet"/>
      <w:lvlText w:val=""/>
      <w:lvlJc w:val="left"/>
      <w:pPr>
        <w:ind w:left="6480" w:hanging="360"/>
      </w:pPr>
      <w:rPr>
        <w:rFonts w:ascii="Wingdings" w:hAnsi="Wingdings" w:hint="default"/>
      </w:rPr>
    </w:lvl>
  </w:abstractNum>
  <w:abstractNum w:abstractNumId="299" w15:restartNumberingAfterBreak="0">
    <w:nsid w:val="64252A22"/>
    <w:multiLevelType w:val="hybridMultilevel"/>
    <w:tmpl w:val="FFFFFFFF"/>
    <w:lvl w:ilvl="0" w:tplc="740C5A50">
      <w:start w:val="1"/>
      <w:numFmt w:val="bullet"/>
      <w:lvlText w:val="o"/>
      <w:lvlJc w:val="left"/>
      <w:pPr>
        <w:ind w:left="1080" w:hanging="360"/>
      </w:pPr>
      <w:rPr>
        <w:rFonts w:ascii="Courier New" w:hAnsi="Courier New" w:hint="default"/>
      </w:rPr>
    </w:lvl>
    <w:lvl w:ilvl="1" w:tplc="40460746">
      <w:start w:val="1"/>
      <w:numFmt w:val="bullet"/>
      <w:lvlText w:val="o"/>
      <w:lvlJc w:val="left"/>
      <w:pPr>
        <w:ind w:left="1440" w:hanging="360"/>
      </w:pPr>
      <w:rPr>
        <w:rFonts w:ascii="Courier New" w:hAnsi="Courier New" w:hint="default"/>
      </w:rPr>
    </w:lvl>
    <w:lvl w:ilvl="2" w:tplc="809A3652">
      <w:start w:val="1"/>
      <w:numFmt w:val="bullet"/>
      <w:lvlText w:val=""/>
      <w:lvlJc w:val="left"/>
      <w:pPr>
        <w:ind w:left="2160" w:hanging="360"/>
      </w:pPr>
      <w:rPr>
        <w:rFonts w:ascii="Wingdings" w:hAnsi="Wingdings" w:hint="default"/>
      </w:rPr>
    </w:lvl>
    <w:lvl w:ilvl="3" w:tplc="3F3EAA14">
      <w:start w:val="1"/>
      <w:numFmt w:val="bullet"/>
      <w:lvlText w:val=""/>
      <w:lvlJc w:val="left"/>
      <w:pPr>
        <w:ind w:left="2880" w:hanging="360"/>
      </w:pPr>
      <w:rPr>
        <w:rFonts w:ascii="Symbol" w:hAnsi="Symbol" w:hint="default"/>
      </w:rPr>
    </w:lvl>
    <w:lvl w:ilvl="4" w:tplc="6ABC4D40">
      <w:start w:val="1"/>
      <w:numFmt w:val="bullet"/>
      <w:lvlText w:val="o"/>
      <w:lvlJc w:val="left"/>
      <w:pPr>
        <w:ind w:left="3600" w:hanging="360"/>
      </w:pPr>
      <w:rPr>
        <w:rFonts w:ascii="Courier New" w:hAnsi="Courier New" w:hint="default"/>
      </w:rPr>
    </w:lvl>
    <w:lvl w:ilvl="5" w:tplc="11A2CD54">
      <w:start w:val="1"/>
      <w:numFmt w:val="bullet"/>
      <w:lvlText w:val=""/>
      <w:lvlJc w:val="left"/>
      <w:pPr>
        <w:ind w:left="4320" w:hanging="360"/>
      </w:pPr>
      <w:rPr>
        <w:rFonts w:ascii="Wingdings" w:hAnsi="Wingdings" w:hint="default"/>
      </w:rPr>
    </w:lvl>
    <w:lvl w:ilvl="6" w:tplc="AF303862">
      <w:start w:val="1"/>
      <w:numFmt w:val="bullet"/>
      <w:lvlText w:val=""/>
      <w:lvlJc w:val="left"/>
      <w:pPr>
        <w:ind w:left="5040" w:hanging="360"/>
      </w:pPr>
      <w:rPr>
        <w:rFonts w:ascii="Symbol" w:hAnsi="Symbol" w:hint="default"/>
      </w:rPr>
    </w:lvl>
    <w:lvl w:ilvl="7" w:tplc="7EACFFC0">
      <w:start w:val="1"/>
      <w:numFmt w:val="bullet"/>
      <w:lvlText w:val="o"/>
      <w:lvlJc w:val="left"/>
      <w:pPr>
        <w:ind w:left="5760" w:hanging="360"/>
      </w:pPr>
      <w:rPr>
        <w:rFonts w:ascii="Courier New" w:hAnsi="Courier New" w:hint="default"/>
      </w:rPr>
    </w:lvl>
    <w:lvl w:ilvl="8" w:tplc="1A5A42E4">
      <w:start w:val="1"/>
      <w:numFmt w:val="bullet"/>
      <w:lvlText w:val=""/>
      <w:lvlJc w:val="left"/>
      <w:pPr>
        <w:ind w:left="6480" w:hanging="360"/>
      </w:pPr>
      <w:rPr>
        <w:rFonts w:ascii="Wingdings" w:hAnsi="Wingdings" w:hint="default"/>
      </w:rPr>
    </w:lvl>
  </w:abstractNum>
  <w:abstractNum w:abstractNumId="300" w15:restartNumberingAfterBreak="0">
    <w:nsid w:val="646C51D4"/>
    <w:multiLevelType w:val="hybridMultilevel"/>
    <w:tmpl w:val="FFFFFFFF"/>
    <w:lvl w:ilvl="0" w:tplc="A58C6272">
      <w:start w:val="1"/>
      <w:numFmt w:val="bullet"/>
      <w:lvlText w:val="·"/>
      <w:lvlJc w:val="left"/>
      <w:pPr>
        <w:ind w:left="720" w:hanging="360"/>
      </w:pPr>
      <w:rPr>
        <w:rFonts w:ascii="Symbol" w:hAnsi="Symbol" w:hint="default"/>
      </w:rPr>
    </w:lvl>
    <w:lvl w:ilvl="1" w:tplc="2CE4784C">
      <w:start w:val="1"/>
      <w:numFmt w:val="bullet"/>
      <w:lvlText w:val="o"/>
      <w:lvlJc w:val="left"/>
      <w:pPr>
        <w:ind w:left="1440" w:hanging="360"/>
      </w:pPr>
      <w:rPr>
        <w:rFonts w:ascii="Courier New" w:hAnsi="Courier New" w:hint="default"/>
      </w:rPr>
    </w:lvl>
    <w:lvl w:ilvl="2" w:tplc="65CCB502">
      <w:start w:val="1"/>
      <w:numFmt w:val="bullet"/>
      <w:lvlText w:val=""/>
      <w:lvlJc w:val="left"/>
      <w:pPr>
        <w:ind w:left="2160" w:hanging="360"/>
      </w:pPr>
      <w:rPr>
        <w:rFonts w:ascii="Wingdings" w:hAnsi="Wingdings" w:hint="default"/>
      </w:rPr>
    </w:lvl>
    <w:lvl w:ilvl="3" w:tplc="9E7ECED0">
      <w:start w:val="1"/>
      <w:numFmt w:val="bullet"/>
      <w:lvlText w:val=""/>
      <w:lvlJc w:val="left"/>
      <w:pPr>
        <w:ind w:left="2880" w:hanging="360"/>
      </w:pPr>
      <w:rPr>
        <w:rFonts w:ascii="Symbol" w:hAnsi="Symbol" w:hint="default"/>
      </w:rPr>
    </w:lvl>
    <w:lvl w:ilvl="4" w:tplc="AA142F2E">
      <w:start w:val="1"/>
      <w:numFmt w:val="bullet"/>
      <w:lvlText w:val="o"/>
      <w:lvlJc w:val="left"/>
      <w:pPr>
        <w:ind w:left="3600" w:hanging="360"/>
      </w:pPr>
      <w:rPr>
        <w:rFonts w:ascii="Courier New" w:hAnsi="Courier New" w:hint="default"/>
      </w:rPr>
    </w:lvl>
    <w:lvl w:ilvl="5" w:tplc="69B814AA">
      <w:start w:val="1"/>
      <w:numFmt w:val="bullet"/>
      <w:lvlText w:val=""/>
      <w:lvlJc w:val="left"/>
      <w:pPr>
        <w:ind w:left="4320" w:hanging="360"/>
      </w:pPr>
      <w:rPr>
        <w:rFonts w:ascii="Wingdings" w:hAnsi="Wingdings" w:hint="default"/>
      </w:rPr>
    </w:lvl>
    <w:lvl w:ilvl="6" w:tplc="02085D68">
      <w:start w:val="1"/>
      <w:numFmt w:val="bullet"/>
      <w:lvlText w:val=""/>
      <w:lvlJc w:val="left"/>
      <w:pPr>
        <w:ind w:left="5040" w:hanging="360"/>
      </w:pPr>
      <w:rPr>
        <w:rFonts w:ascii="Symbol" w:hAnsi="Symbol" w:hint="default"/>
      </w:rPr>
    </w:lvl>
    <w:lvl w:ilvl="7" w:tplc="B8D4322E">
      <w:start w:val="1"/>
      <w:numFmt w:val="bullet"/>
      <w:lvlText w:val="o"/>
      <w:lvlJc w:val="left"/>
      <w:pPr>
        <w:ind w:left="5760" w:hanging="360"/>
      </w:pPr>
      <w:rPr>
        <w:rFonts w:ascii="Courier New" w:hAnsi="Courier New" w:hint="default"/>
      </w:rPr>
    </w:lvl>
    <w:lvl w:ilvl="8" w:tplc="986AA796">
      <w:start w:val="1"/>
      <w:numFmt w:val="bullet"/>
      <w:lvlText w:val=""/>
      <w:lvlJc w:val="left"/>
      <w:pPr>
        <w:ind w:left="6480" w:hanging="360"/>
      </w:pPr>
      <w:rPr>
        <w:rFonts w:ascii="Wingdings" w:hAnsi="Wingdings" w:hint="default"/>
      </w:rPr>
    </w:lvl>
  </w:abstractNum>
  <w:abstractNum w:abstractNumId="301" w15:restartNumberingAfterBreak="0">
    <w:nsid w:val="648C0B8D"/>
    <w:multiLevelType w:val="multilevel"/>
    <w:tmpl w:val="E9920ED6"/>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65A408F9"/>
    <w:multiLevelType w:val="multilevel"/>
    <w:tmpl w:val="D27C93F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4" w15:restartNumberingAfterBreak="0">
    <w:nsid w:val="65E801D8"/>
    <w:multiLevelType w:val="hybridMultilevel"/>
    <w:tmpl w:val="FFFFFFFF"/>
    <w:lvl w:ilvl="0" w:tplc="DBF6F5FC">
      <w:start w:val="2"/>
      <w:numFmt w:val="lowerRoman"/>
      <w:lvlText w:val="%1."/>
      <w:lvlJc w:val="right"/>
      <w:pPr>
        <w:ind w:left="1080" w:hanging="360"/>
      </w:pPr>
    </w:lvl>
    <w:lvl w:ilvl="1" w:tplc="8C5C4A66">
      <w:start w:val="1"/>
      <w:numFmt w:val="lowerLetter"/>
      <w:lvlText w:val="%2."/>
      <w:lvlJc w:val="left"/>
      <w:pPr>
        <w:ind w:left="1440" w:hanging="360"/>
      </w:pPr>
    </w:lvl>
    <w:lvl w:ilvl="2" w:tplc="B406ED74">
      <w:start w:val="1"/>
      <w:numFmt w:val="lowerRoman"/>
      <w:lvlText w:val="%3."/>
      <w:lvlJc w:val="right"/>
      <w:pPr>
        <w:ind w:left="2160" w:hanging="180"/>
      </w:pPr>
    </w:lvl>
    <w:lvl w:ilvl="3" w:tplc="09705C5C">
      <w:start w:val="1"/>
      <w:numFmt w:val="decimal"/>
      <w:lvlText w:val="%4."/>
      <w:lvlJc w:val="left"/>
      <w:pPr>
        <w:ind w:left="2880" w:hanging="360"/>
      </w:pPr>
    </w:lvl>
    <w:lvl w:ilvl="4" w:tplc="9F3ADF72">
      <w:start w:val="1"/>
      <w:numFmt w:val="lowerLetter"/>
      <w:lvlText w:val="%5."/>
      <w:lvlJc w:val="left"/>
      <w:pPr>
        <w:ind w:left="3600" w:hanging="360"/>
      </w:pPr>
    </w:lvl>
    <w:lvl w:ilvl="5" w:tplc="93BE4F28">
      <w:start w:val="1"/>
      <w:numFmt w:val="lowerRoman"/>
      <w:lvlText w:val="%6."/>
      <w:lvlJc w:val="right"/>
      <w:pPr>
        <w:ind w:left="4320" w:hanging="180"/>
      </w:pPr>
    </w:lvl>
    <w:lvl w:ilvl="6" w:tplc="40A69732">
      <w:start w:val="1"/>
      <w:numFmt w:val="decimal"/>
      <w:lvlText w:val="%7."/>
      <w:lvlJc w:val="left"/>
      <w:pPr>
        <w:ind w:left="5040" w:hanging="360"/>
      </w:pPr>
    </w:lvl>
    <w:lvl w:ilvl="7" w:tplc="CBD8B8E6">
      <w:start w:val="1"/>
      <w:numFmt w:val="lowerLetter"/>
      <w:lvlText w:val="%8."/>
      <w:lvlJc w:val="left"/>
      <w:pPr>
        <w:ind w:left="5760" w:hanging="360"/>
      </w:pPr>
    </w:lvl>
    <w:lvl w:ilvl="8" w:tplc="EC809E6A">
      <w:start w:val="1"/>
      <w:numFmt w:val="lowerRoman"/>
      <w:lvlText w:val="%9."/>
      <w:lvlJc w:val="right"/>
      <w:pPr>
        <w:ind w:left="6480" w:hanging="180"/>
      </w:pPr>
    </w:lvl>
  </w:abstractNum>
  <w:abstractNum w:abstractNumId="305" w15:restartNumberingAfterBreak="0">
    <w:nsid w:val="66827E1C"/>
    <w:multiLevelType w:val="hybridMultilevel"/>
    <w:tmpl w:val="FFFFFFFF"/>
    <w:lvl w:ilvl="0" w:tplc="B2B8F0C4">
      <w:start w:val="1"/>
      <w:numFmt w:val="bullet"/>
      <w:lvlText w:val="·"/>
      <w:lvlJc w:val="left"/>
      <w:pPr>
        <w:ind w:left="720" w:hanging="360"/>
      </w:pPr>
      <w:rPr>
        <w:rFonts w:ascii="Symbol" w:hAnsi="Symbol" w:hint="default"/>
      </w:rPr>
    </w:lvl>
    <w:lvl w:ilvl="1" w:tplc="578AC5B4">
      <w:start w:val="1"/>
      <w:numFmt w:val="bullet"/>
      <w:lvlText w:val="o"/>
      <w:lvlJc w:val="left"/>
      <w:pPr>
        <w:ind w:left="1440" w:hanging="360"/>
      </w:pPr>
      <w:rPr>
        <w:rFonts w:ascii="Courier New" w:hAnsi="Courier New" w:hint="default"/>
      </w:rPr>
    </w:lvl>
    <w:lvl w:ilvl="2" w:tplc="1E42286A">
      <w:start w:val="1"/>
      <w:numFmt w:val="bullet"/>
      <w:lvlText w:val=""/>
      <w:lvlJc w:val="left"/>
      <w:pPr>
        <w:ind w:left="2160" w:hanging="360"/>
      </w:pPr>
      <w:rPr>
        <w:rFonts w:ascii="Wingdings" w:hAnsi="Wingdings" w:hint="default"/>
      </w:rPr>
    </w:lvl>
    <w:lvl w:ilvl="3" w:tplc="C1F42108">
      <w:start w:val="1"/>
      <w:numFmt w:val="bullet"/>
      <w:lvlText w:val=""/>
      <w:lvlJc w:val="left"/>
      <w:pPr>
        <w:ind w:left="2880" w:hanging="360"/>
      </w:pPr>
      <w:rPr>
        <w:rFonts w:ascii="Symbol" w:hAnsi="Symbol" w:hint="default"/>
      </w:rPr>
    </w:lvl>
    <w:lvl w:ilvl="4" w:tplc="910C0C64">
      <w:start w:val="1"/>
      <w:numFmt w:val="bullet"/>
      <w:lvlText w:val="o"/>
      <w:lvlJc w:val="left"/>
      <w:pPr>
        <w:ind w:left="3600" w:hanging="360"/>
      </w:pPr>
      <w:rPr>
        <w:rFonts w:ascii="Courier New" w:hAnsi="Courier New" w:hint="default"/>
      </w:rPr>
    </w:lvl>
    <w:lvl w:ilvl="5" w:tplc="BF7471D2">
      <w:start w:val="1"/>
      <w:numFmt w:val="bullet"/>
      <w:lvlText w:val=""/>
      <w:lvlJc w:val="left"/>
      <w:pPr>
        <w:ind w:left="4320" w:hanging="360"/>
      </w:pPr>
      <w:rPr>
        <w:rFonts w:ascii="Wingdings" w:hAnsi="Wingdings" w:hint="default"/>
      </w:rPr>
    </w:lvl>
    <w:lvl w:ilvl="6" w:tplc="F110AF0C">
      <w:start w:val="1"/>
      <w:numFmt w:val="bullet"/>
      <w:lvlText w:val=""/>
      <w:lvlJc w:val="left"/>
      <w:pPr>
        <w:ind w:left="5040" w:hanging="360"/>
      </w:pPr>
      <w:rPr>
        <w:rFonts w:ascii="Symbol" w:hAnsi="Symbol" w:hint="default"/>
      </w:rPr>
    </w:lvl>
    <w:lvl w:ilvl="7" w:tplc="EC58856A">
      <w:start w:val="1"/>
      <w:numFmt w:val="bullet"/>
      <w:lvlText w:val="o"/>
      <w:lvlJc w:val="left"/>
      <w:pPr>
        <w:ind w:left="5760" w:hanging="360"/>
      </w:pPr>
      <w:rPr>
        <w:rFonts w:ascii="Courier New" w:hAnsi="Courier New" w:hint="default"/>
      </w:rPr>
    </w:lvl>
    <w:lvl w:ilvl="8" w:tplc="CFF44104">
      <w:start w:val="1"/>
      <w:numFmt w:val="bullet"/>
      <w:lvlText w:val=""/>
      <w:lvlJc w:val="left"/>
      <w:pPr>
        <w:ind w:left="6480" w:hanging="360"/>
      </w:pPr>
      <w:rPr>
        <w:rFonts w:ascii="Wingdings" w:hAnsi="Wingdings" w:hint="default"/>
      </w:rPr>
    </w:lvl>
  </w:abstractNum>
  <w:abstractNum w:abstractNumId="306" w15:restartNumberingAfterBreak="0">
    <w:nsid w:val="66D349B4"/>
    <w:multiLevelType w:val="hybridMultilevel"/>
    <w:tmpl w:val="FFFFFFFF"/>
    <w:lvl w:ilvl="0" w:tplc="7F88F9D4">
      <w:start w:val="1"/>
      <w:numFmt w:val="decimal"/>
      <w:lvlText w:val="%1."/>
      <w:lvlJc w:val="left"/>
      <w:pPr>
        <w:ind w:left="720" w:hanging="360"/>
      </w:pPr>
    </w:lvl>
    <w:lvl w:ilvl="1" w:tplc="C40CA274">
      <w:start w:val="1"/>
      <w:numFmt w:val="lowerLetter"/>
      <w:lvlText w:val="%2."/>
      <w:lvlJc w:val="left"/>
      <w:pPr>
        <w:ind w:left="1440" w:hanging="360"/>
      </w:pPr>
    </w:lvl>
    <w:lvl w:ilvl="2" w:tplc="B0D8E618">
      <w:start w:val="1"/>
      <w:numFmt w:val="lowerRoman"/>
      <w:lvlText w:val="%3."/>
      <w:lvlJc w:val="right"/>
      <w:pPr>
        <w:ind w:left="2160" w:hanging="180"/>
      </w:pPr>
    </w:lvl>
    <w:lvl w:ilvl="3" w:tplc="B48AAB32">
      <w:start w:val="1"/>
      <w:numFmt w:val="decimal"/>
      <w:lvlText w:val="%4."/>
      <w:lvlJc w:val="left"/>
      <w:pPr>
        <w:ind w:left="2880" w:hanging="360"/>
      </w:pPr>
    </w:lvl>
    <w:lvl w:ilvl="4" w:tplc="0F962936">
      <w:start w:val="1"/>
      <w:numFmt w:val="lowerLetter"/>
      <w:lvlText w:val="%5."/>
      <w:lvlJc w:val="left"/>
      <w:pPr>
        <w:ind w:left="3600" w:hanging="360"/>
      </w:pPr>
    </w:lvl>
    <w:lvl w:ilvl="5" w:tplc="688A0556">
      <w:start w:val="1"/>
      <w:numFmt w:val="lowerRoman"/>
      <w:lvlText w:val="%6."/>
      <w:lvlJc w:val="right"/>
      <w:pPr>
        <w:ind w:left="4320" w:hanging="180"/>
      </w:pPr>
    </w:lvl>
    <w:lvl w:ilvl="6" w:tplc="188270D4">
      <w:start w:val="1"/>
      <w:numFmt w:val="decimal"/>
      <w:lvlText w:val="%7."/>
      <w:lvlJc w:val="left"/>
      <w:pPr>
        <w:ind w:left="5040" w:hanging="360"/>
      </w:pPr>
    </w:lvl>
    <w:lvl w:ilvl="7" w:tplc="DDF49DEE">
      <w:start w:val="1"/>
      <w:numFmt w:val="lowerLetter"/>
      <w:lvlText w:val="%8."/>
      <w:lvlJc w:val="left"/>
      <w:pPr>
        <w:ind w:left="5760" w:hanging="360"/>
      </w:pPr>
    </w:lvl>
    <w:lvl w:ilvl="8" w:tplc="5CE2A8D2">
      <w:start w:val="1"/>
      <w:numFmt w:val="lowerRoman"/>
      <w:lvlText w:val="%9."/>
      <w:lvlJc w:val="right"/>
      <w:pPr>
        <w:ind w:left="6480" w:hanging="180"/>
      </w:pPr>
    </w:lvl>
  </w:abstractNum>
  <w:abstractNum w:abstractNumId="307" w15:restartNumberingAfterBreak="0">
    <w:nsid w:val="67032357"/>
    <w:multiLevelType w:val="hybridMultilevel"/>
    <w:tmpl w:val="FFFFFFFF"/>
    <w:lvl w:ilvl="0" w:tplc="59464898">
      <w:start w:val="1"/>
      <w:numFmt w:val="bullet"/>
      <w:lvlText w:val="o"/>
      <w:lvlJc w:val="left"/>
      <w:pPr>
        <w:ind w:left="1440" w:hanging="360"/>
      </w:pPr>
      <w:rPr>
        <w:rFonts w:ascii="Courier New" w:hAnsi="Courier New" w:hint="default"/>
      </w:rPr>
    </w:lvl>
    <w:lvl w:ilvl="1" w:tplc="641A98E4">
      <w:start w:val="1"/>
      <w:numFmt w:val="bullet"/>
      <w:lvlText w:val="o"/>
      <w:lvlJc w:val="left"/>
      <w:pPr>
        <w:ind w:left="1800" w:hanging="360"/>
      </w:pPr>
      <w:rPr>
        <w:rFonts w:ascii="Courier New" w:hAnsi="Courier New" w:hint="default"/>
      </w:rPr>
    </w:lvl>
    <w:lvl w:ilvl="2" w:tplc="CF58194C">
      <w:start w:val="1"/>
      <w:numFmt w:val="bullet"/>
      <w:lvlText w:val=""/>
      <w:lvlJc w:val="left"/>
      <w:pPr>
        <w:ind w:left="2520" w:hanging="360"/>
      </w:pPr>
      <w:rPr>
        <w:rFonts w:ascii="Wingdings" w:hAnsi="Wingdings" w:hint="default"/>
      </w:rPr>
    </w:lvl>
    <w:lvl w:ilvl="3" w:tplc="FEF21052">
      <w:start w:val="1"/>
      <w:numFmt w:val="bullet"/>
      <w:lvlText w:val=""/>
      <w:lvlJc w:val="left"/>
      <w:pPr>
        <w:ind w:left="3240" w:hanging="360"/>
      </w:pPr>
      <w:rPr>
        <w:rFonts w:ascii="Symbol" w:hAnsi="Symbol" w:hint="default"/>
      </w:rPr>
    </w:lvl>
    <w:lvl w:ilvl="4" w:tplc="7322671C">
      <w:start w:val="1"/>
      <w:numFmt w:val="bullet"/>
      <w:lvlText w:val="o"/>
      <w:lvlJc w:val="left"/>
      <w:pPr>
        <w:ind w:left="3960" w:hanging="360"/>
      </w:pPr>
      <w:rPr>
        <w:rFonts w:ascii="Courier New" w:hAnsi="Courier New" w:hint="default"/>
      </w:rPr>
    </w:lvl>
    <w:lvl w:ilvl="5" w:tplc="24AC3B10">
      <w:start w:val="1"/>
      <w:numFmt w:val="bullet"/>
      <w:lvlText w:val=""/>
      <w:lvlJc w:val="left"/>
      <w:pPr>
        <w:ind w:left="4680" w:hanging="360"/>
      </w:pPr>
      <w:rPr>
        <w:rFonts w:ascii="Wingdings" w:hAnsi="Wingdings" w:hint="default"/>
      </w:rPr>
    </w:lvl>
    <w:lvl w:ilvl="6" w:tplc="32323400">
      <w:start w:val="1"/>
      <w:numFmt w:val="bullet"/>
      <w:lvlText w:val=""/>
      <w:lvlJc w:val="left"/>
      <w:pPr>
        <w:ind w:left="5400" w:hanging="360"/>
      </w:pPr>
      <w:rPr>
        <w:rFonts w:ascii="Symbol" w:hAnsi="Symbol" w:hint="default"/>
      </w:rPr>
    </w:lvl>
    <w:lvl w:ilvl="7" w:tplc="70C48F62">
      <w:start w:val="1"/>
      <w:numFmt w:val="bullet"/>
      <w:lvlText w:val="o"/>
      <w:lvlJc w:val="left"/>
      <w:pPr>
        <w:ind w:left="6120" w:hanging="360"/>
      </w:pPr>
      <w:rPr>
        <w:rFonts w:ascii="Courier New" w:hAnsi="Courier New" w:hint="default"/>
      </w:rPr>
    </w:lvl>
    <w:lvl w:ilvl="8" w:tplc="23EA0A42">
      <w:start w:val="1"/>
      <w:numFmt w:val="bullet"/>
      <w:lvlText w:val=""/>
      <w:lvlJc w:val="left"/>
      <w:pPr>
        <w:ind w:left="6840" w:hanging="360"/>
      </w:pPr>
      <w:rPr>
        <w:rFonts w:ascii="Wingdings" w:hAnsi="Wingdings" w:hint="default"/>
      </w:rPr>
    </w:lvl>
  </w:abstractNum>
  <w:abstractNum w:abstractNumId="308" w15:restartNumberingAfterBreak="0">
    <w:nsid w:val="6776C3AD"/>
    <w:multiLevelType w:val="hybridMultilevel"/>
    <w:tmpl w:val="FFFFFFFF"/>
    <w:lvl w:ilvl="0" w:tplc="1B7A6B68">
      <w:start w:val="1"/>
      <w:numFmt w:val="bullet"/>
      <w:lvlText w:val="-"/>
      <w:lvlJc w:val="left"/>
      <w:pPr>
        <w:ind w:left="1080" w:hanging="360"/>
      </w:pPr>
      <w:rPr>
        <w:rFonts w:ascii="MS Gothic" w:hAnsi="MS Gothic" w:hint="default"/>
      </w:rPr>
    </w:lvl>
    <w:lvl w:ilvl="1" w:tplc="D58274D2">
      <w:start w:val="1"/>
      <w:numFmt w:val="bullet"/>
      <w:lvlText w:val="o"/>
      <w:lvlJc w:val="left"/>
      <w:pPr>
        <w:ind w:left="1440" w:hanging="360"/>
      </w:pPr>
      <w:rPr>
        <w:rFonts w:ascii="Courier New" w:hAnsi="Courier New" w:hint="default"/>
      </w:rPr>
    </w:lvl>
    <w:lvl w:ilvl="2" w:tplc="1E786698">
      <w:start w:val="1"/>
      <w:numFmt w:val="bullet"/>
      <w:lvlText w:val=""/>
      <w:lvlJc w:val="left"/>
      <w:pPr>
        <w:ind w:left="2160" w:hanging="360"/>
      </w:pPr>
      <w:rPr>
        <w:rFonts w:ascii="Wingdings" w:hAnsi="Wingdings" w:hint="default"/>
      </w:rPr>
    </w:lvl>
    <w:lvl w:ilvl="3" w:tplc="2F6C9CB2">
      <w:start w:val="1"/>
      <w:numFmt w:val="bullet"/>
      <w:lvlText w:val=""/>
      <w:lvlJc w:val="left"/>
      <w:pPr>
        <w:ind w:left="2880" w:hanging="360"/>
      </w:pPr>
      <w:rPr>
        <w:rFonts w:ascii="Symbol" w:hAnsi="Symbol" w:hint="default"/>
      </w:rPr>
    </w:lvl>
    <w:lvl w:ilvl="4" w:tplc="E2CE8A3C">
      <w:start w:val="1"/>
      <w:numFmt w:val="bullet"/>
      <w:lvlText w:val="o"/>
      <w:lvlJc w:val="left"/>
      <w:pPr>
        <w:ind w:left="3600" w:hanging="360"/>
      </w:pPr>
      <w:rPr>
        <w:rFonts w:ascii="Courier New" w:hAnsi="Courier New" w:hint="default"/>
      </w:rPr>
    </w:lvl>
    <w:lvl w:ilvl="5" w:tplc="9B20A328">
      <w:start w:val="1"/>
      <w:numFmt w:val="bullet"/>
      <w:lvlText w:val=""/>
      <w:lvlJc w:val="left"/>
      <w:pPr>
        <w:ind w:left="4320" w:hanging="360"/>
      </w:pPr>
      <w:rPr>
        <w:rFonts w:ascii="Wingdings" w:hAnsi="Wingdings" w:hint="default"/>
      </w:rPr>
    </w:lvl>
    <w:lvl w:ilvl="6" w:tplc="C8C27068">
      <w:start w:val="1"/>
      <w:numFmt w:val="bullet"/>
      <w:lvlText w:val=""/>
      <w:lvlJc w:val="left"/>
      <w:pPr>
        <w:ind w:left="5040" w:hanging="360"/>
      </w:pPr>
      <w:rPr>
        <w:rFonts w:ascii="Symbol" w:hAnsi="Symbol" w:hint="default"/>
      </w:rPr>
    </w:lvl>
    <w:lvl w:ilvl="7" w:tplc="D2083E34">
      <w:start w:val="1"/>
      <w:numFmt w:val="bullet"/>
      <w:lvlText w:val="o"/>
      <w:lvlJc w:val="left"/>
      <w:pPr>
        <w:ind w:left="5760" w:hanging="360"/>
      </w:pPr>
      <w:rPr>
        <w:rFonts w:ascii="Courier New" w:hAnsi="Courier New" w:hint="default"/>
      </w:rPr>
    </w:lvl>
    <w:lvl w:ilvl="8" w:tplc="CE6CB3F6">
      <w:start w:val="1"/>
      <w:numFmt w:val="bullet"/>
      <w:lvlText w:val=""/>
      <w:lvlJc w:val="left"/>
      <w:pPr>
        <w:ind w:left="6480" w:hanging="360"/>
      </w:pPr>
      <w:rPr>
        <w:rFonts w:ascii="Wingdings" w:hAnsi="Wingdings" w:hint="default"/>
      </w:rPr>
    </w:lvl>
  </w:abstractNum>
  <w:abstractNum w:abstractNumId="309" w15:restartNumberingAfterBreak="0">
    <w:nsid w:val="678362F2"/>
    <w:multiLevelType w:val="hybridMultilevel"/>
    <w:tmpl w:val="5194F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0" w15:restartNumberingAfterBreak="0">
    <w:nsid w:val="679476C8"/>
    <w:multiLevelType w:val="hybridMultilevel"/>
    <w:tmpl w:val="72E2C310"/>
    <w:lvl w:ilvl="0" w:tplc="8A00CC74">
      <w:start w:val="16"/>
      <w:numFmt w:val="bullet"/>
      <w:lvlText w:val="-"/>
      <w:lvlJc w:val="left"/>
      <w:pPr>
        <w:ind w:left="720" w:hanging="360"/>
      </w:pPr>
      <w:rPr>
        <w:rFonts w:ascii="Times New Roman" w:eastAsia="Times New Roman" w:hAnsi="Times New Roman" w:cs="Times New Roman" w:hint="default"/>
        <w:color w:val="006100"/>
        <w:sz w:val="15"/>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1" w15:restartNumberingAfterBreak="0">
    <w:nsid w:val="679DFAD7"/>
    <w:multiLevelType w:val="hybridMultilevel"/>
    <w:tmpl w:val="FFFFFFFF"/>
    <w:lvl w:ilvl="0" w:tplc="FFFFFFFF">
      <w:start w:val="1"/>
      <w:numFmt w:val="lowerRoman"/>
      <w:lvlText w:val="(%1)"/>
      <w:lvlJc w:val="right"/>
      <w:pPr>
        <w:ind w:left="720" w:hanging="360"/>
      </w:pPr>
    </w:lvl>
    <w:lvl w:ilvl="1" w:tplc="968ADB06">
      <w:start w:val="1"/>
      <w:numFmt w:val="lowerLetter"/>
      <w:lvlText w:val="%2."/>
      <w:lvlJc w:val="left"/>
      <w:pPr>
        <w:ind w:left="1440" w:hanging="360"/>
      </w:pPr>
    </w:lvl>
    <w:lvl w:ilvl="2" w:tplc="EF38D4B2">
      <w:start w:val="1"/>
      <w:numFmt w:val="lowerRoman"/>
      <w:lvlText w:val="%3."/>
      <w:lvlJc w:val="right"/>
      <w:pPr>
        <w:ind w:left="2160" w:hanging="180"/>
      </w:pPr>
    </w:lvl>
    <w:lvl w:ilvl="3" w:tplc="362EE4BA">
      <w:start w:val="1"/>
      <w:numFmt w:val="decimal"/>
      <w:lvlText w:val="%4."/>
      <w:lvlJc w:val="left"/>
      <w:pPr>
        <w:ind w:left="2880" w:hanging="360"/>
      </w:pPr>
    </w:lvl>
    <w:lvl w:ilvl="4" w:tplc="7A162DD0">
      <w:start w:val="1"/>
      <w:numFmt w:val="lowerLetter"/>
      <w:lvlText w:val="%5."/>
      <w:lvlJc w:val="left"/>
      <w:pPr>
        <w:ind w:left="3600" w:hanging="360"/>
      </w:pPr>
    </w:lvl>
    <w:lvl w:ilvl="5" w:tplc="D35271EA">
      <w:start w:val="1"/>
      <w:numFmt w:val="lowerRoman"/>
      <w:lvlText w:val="%6."/>
      <w:lvlJc w:val="right"/>
      <w:pPr>
        <w:ind w:left="4320" w:hanging="180"/>
      </w:pPr>
    </w:lvl>
    <w:lvl w:ilvl="6" w:tplc="7EFC05DE">
      <w:start w:val="1"/>
      <w:numFmt w:val="decimal"/>
      <w:lvlText w:val="%7."/>
      <w:lvlJc w:val="left"/>
      <w:pPr>
        <w:ind w:left="5040" w:hanging="360"/>
      </w:pPr>
    </w:lvl>
    <w:lvl w:ilvl="7" w:tplc="6A20A4FC">
      <w:start w:val="1"/>
      <w:numFmt w:val="lowerLetter"/>
      <w:lvlText w:val="%8."/>
      <w:lvlJc w:val="left"/>
      <w:pPr>
        <w:ind w:left="5760" w:hanging="360"/>
      </w:pPr>
    </w:lvl>
    <w:lvl w:ilvl="8" w:tplc="0614AAD2">
      <w:start w:val="1"/>
      <w:numFmt w:val="lowerRoman"/>
      <w:lvlText w:val="%9."/>
      <w:lvlJc w:val="right"/>
      <w:pPr>
        <w:ind w:left="6480" w:hanging="180"/>
      </w:pPr>
    </w:lvl>
  </w:abstractNum>
  <w:abstractNum w:abstractNumId="31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3" w15:restartNumberingAfterBreak="0">
    <w:nsid w:val="67E33BDB"/>
    <w:multiLevelType w:val="hybridMultilevel"/>
    <w:tmpl w:val="FFFFFFFF"/>
    <w:lvl w:ilvl="0" w:tplc="8596727A">
      <w:start w:val="1"/>
      <w:numFmt w:val="bullet"/>
      <w:lvlText w:val=""/>
      <w:lvlJc w:val="left"/>
      <w:pPr>
        <w:ind w:left="720" w:hanging="360"/>
      </w:pPr>
      <w:rPr>
        <w:rFonts w:ascii="Symbol" w:hAnsi="Symbol" w:hint="default"/>
      </w:rPr>
    </w:lvl>
    <w:lvl w:ilvl="1" w:tplc="0D2A5782">
      <w:start w:val="1"/>
      <w:numFmt w:val="bullet"/>
      <w:lvlText w:val="o"/>
      <w:lvlJc w:val="left"/>
      <w:pPr>
        <w:ind w:left="1440" w:hanging="360"/>
      </w:pPr>
      <w:rPr>
        <w:rFonts w:ascii="Courier New" w:hAnsi="Courier New" w:hint="default"/>
      </w:rPr>
    </w:lvl>
    <w:lvl w:ilvl="2" w:tplc="8408A3AC">
      <w:start w:val="1"/>
      <w:numFmt w:val="bullet"/>
      <w:lvlText w:val=""/>
      <w:lvlJc w:val="left"/>
      <w:pPr>
        <w:ind w:left="2160" w:hanging="360"/>
      </w:pPr>
      <w:rPr>
        <w:rFonts w:ascii="Wingdings" w:hAnsi="Wingdings" w:hint="default"/>
      </w:rPr>
    </w:lvl>
    <w:lvl w:ilvl="3" w:tplc="AA9CBD16">
      <w:start w:val="1"/>
      <w:numFmt w:val="bullet"/>
      <w:lvlText w:val=""/>
      <w:lvlJc w:val="left"/>
      <w:pPr>
        <w:ind w:left="2880" w:hanging="360"/>
      </w:pPr>
      <w:rPr>
        <w:rFonts w:ascii="Symbol" w:hAnsi="Symbol" w:hint="default"/>
      </w:rPr>
    </w:lvl>
    <w:lvl w:ilvl="4" w:tplc="99C23178">
      <w:start w:val="1"/>
      <w:numFmt w:val="bullet"/>
      <w:lvlText w:val="o"/>
      <w:lvlJc w:val="left"/>
      <w:pPr>
        <w:ind w:left="3600" w:hanging="360"/>
      </w:pPr>
      <w:rPr>
        <w:rFonts w:ascii="Courier New" w:hAnsi="Courier New" w:hint="default"/>
      </w:rPr>
    </w:lvl>
    <w:lvl w:ilvl="5" w:tplc="1B9EEA12">
      <w:start w:val="1"/>
      <w:numFmt w:val="bullet"/>
      <w:lvlText w:val=""/>
      <w:lvlJc w:val="left"/>
      <w:pPr>
        <w:ind w:left="4320" w:hanging="360"/>
      </w:pPr>
      <w:rPr>
        <w:rFonts w:ascii="Wingdings" w:hAnsi="Wingdings" w:hint="default"/>
      </w:rPr>
    </w:lvl>
    <w:lvl w:ilvl="6" w:tplc="78CC92DC">
      <w:start w:val="1"/>
      <w:numFmt w:val="bullet"/>
      <w:lvlText w:val=""/>
      <w:lvlJc w:val="left"/>
      <w:pPr>
        <w:ind w:left="5040" w:hanging="360"/>
      </w:pPr>
      <w:rPr>
        <w:rFonts w:ascii="Symbol" w:hAnsi="Symbol" w:hint="default"/>
      </w:rPr>
    </w:lvl>
    <w:lvl w:ilvl="7" w:tplc="8F4CDB1A">
      <w:start w:val="1"/>
      <w:numFmt w:val="bullet"/>
      <w:lvlText w:val="o"/>
      <w:lvlJc w:val="left"/>
      <w:pPr>
        <w:ind w:left="5760" w:hanging="360"/>
      </w:pPr>
      <w:rPr>
        <w:rFonts w:ascii="Courier New" w:hAnsi="Courier New" w:hint="default"/>
      </w:rPr>
    </w:lvl>
    <w:lvl w:ilvl="8" w:tplc="14789002">
      <w:start w:val="1"/>
      <w:numFmt w:val="bullet"/>
      <w:lvlText w:val=""/>
      <w:lvlJc w:val="left"/>
      <w:pPr>
        <w:ind w:left="6480" w:hanging="360"/>
      </w:pPr>
      <w:rPr>
        <w:rFonts w:ascii="Wingdings" w:hAnsi="Wingdings" w:hint="default"/>
      </w:rPr>
    </w:lvl>
  </w:abstractNum>
  <w:abstractNum w:abstractNumId="314" w15:restartNumberingAfterBreak="0">
    <w:nsid w:val="68926540"/>
    <w:multiLevelType w:val="hybridMultilevel"/>
    <w:tmpl w:val="FFFFFFFF"/>
    <w:lvl w:ilvl="0" w:tplc="4612A9A0">
      <w:start w:val="2"/>
      <w:numFmt w:val="decimal"/>
      <w:lvlText w:val="%1."/>
      <w:lvlJc w:val="left"/>
      <w:pPr>
        <w:ind w:left="720" w:hanging="360"/>
      </w:pPr>
    </w:lvl>
    <w:lvl w:ilvl="1" w:tplc="0050710A">
      <w:start w:val="1"/>
      <w:numFmt w:val="lowerLetter"/>
      <w:lvlText w:val="%2."/>
      <w:lvlJc w:val="left"/>
      <w:pPr>
        <w:ind w:left="1440" w:hanging="360"/>
      </w:pPr>
    </w:lvl>
    <w:lvl w:ilvl="2" w:tplc="22DEF6AE">
      <w:start w:val="1"/>
      <w:numFmt w:val="lowerRoman"/>
      <w:lvlText w:val="%3."/>
      <w:lvlJc w:val="right"/>
      <w:pPr>
        <w:ind w:left="2160" w:hanging="180"/>
      </w:pPr>
    </w:lvl>
    <w:lvl w:ilvl="3" w:tplc="1CF2D394">
      <w:start w:val="1"/>
      <w:numFmt w:val="decimal"/>
      <w:lvlText w:val="%4."/>
      <w:lvlJc w:val="left"/>
      <w:pPr>
        <w:ind w:left="2880" w:hanging="360"/>
      </w:pPr>
    </w:lvl>
    <w:lvl w:ilvl="4" w:tplc="59A0D892">
      <w:start w:val="1"/>
      <w:numFmt w:val="lowerLetter"/>
      <w:lvlText w:val="%5."/>
      <w:lvlJc w:val="left"/>
      <w:pPr>
        <w:ind w:left="3600" w:hanging="360"/>
      </w:pPr>
    </w:lvl>
    <w:lvl w:ilvl="5" w:tplc="D0AA9D82">
      <w:start w:val="1"/>
      <w:numFmt w:val="lowerRoman"/>
      <w:lvlText w:val="%6."/>
      <w:lvlJc w:val="right"/>
      <w:pPr>
        <w:ind w:left="4320" w:hanging="180"/>
      </w:pPr>
    </w:lvl>
    <w:lvl w:ilvl="6" w:tplc="1714B84C">
      <w:start w:val="1"/>
      <w:numFmt w:val="decimal"/>
      <w:lvlText w:val="%7."/>
      <w:lvlJc w:val="left"/>
      <w:pPr>
        <w:ind w:left="5040" w:hanging="360"/>
      </w:pPr>
    </w:lvl>
    <w:lvl w:ilvl="7" w:tplc="B0DC618C">
      <w:start w:val="1"/>
      <w:numFmt w:val="lowerLetter"/>
      <w:lvlText w:val="%8."/>
      <w:lvlJc w:val="left"/>
      <w:pPr>
        <w:ind w:left="5760" w:hanging="360"/>
      </w:pPr>
    </w:lvl>
    <w:lvl w:ilvl="8" w:tplc="A76453D4">
      <w:start w:val="1"/>
      <w:numFmt w:val="lowerRoman"/>
      <w:lvlText w:val="%9."/>
      <w:lvlJc w:val="right"/>
      <w:pPr>
        <w:ind w:left="6480" w:hanging="180"/>
      </w:pPr>
    </w:lvl>
  </w:abstractNum>
  <w:abstractNum w:abstractNumId="315" w15:restartNumberingAfterBreak="0">
    <w:nsid w:val="694964E1"/>
    <w:multiLevelType w:val="hybridMultilevel"/>
    <w:tmpl w:val="FFFFFFFF"/>
    <w:lvl w:ilvl="0" w:tplc="58A8C0C0">
      <w:start w:val="4"/>
      <w:numFmt w:val="decimal"/>
      <w:lvlText w:val="%1."/>
      <w:lvlJc w:val="left"/>
      <w:pPr>
        <w:ind w:left="720" w:hanging="360"/>
      </w:pPr>
    </w:lvl>
    <w:lvl w:ilvl="1" w:tplc="40E64B8A">
      <w:start w:val="1"/>
      <w:numFmt w:val="lowerLetter"/>
      <w:lvlText w:val="%2."/>
      <w:lvlJc w:val="left"/>
      <w:pPr>
        <w:ind w:left="1440" w:hanging="360"/>
      </w:pPr>
    </w:lvl>
    <w:lvl w:ilvl="2" w:tplc="4D7AB118">
      <w:start w:val="1"/>
      <w:numFmt w:val="lowerRoman"/>
      <w:lvlText w:val="%3."/>
      <w:lvlJc w:val="right"/>
      <w:pPr>
        <w:ind w:left="2160" w:hanging="180"/>
      </w:pPr>
    </w:lvl>
    <w:lvl w:ilvl="3" w:tplc="840E973C">
      <w:start w:val="1"/>
      <w:numFmt w:val="decimal"/>
      <w:lvlText w:val="%4."/>
      <w:lvlJc w:val="left"/>
      <w:pPr>
        <w:ind w:left="2880" w:hanging="360"/>
      </w:pPr>
    </w:lvl>
    <w:lvl w:ilvl="4" w:tplc="47DE8E86">
      <w:start w:val="1"/>
      <w:numFmt w:val="lowerLetter"/>
      <w:lvlText w:val="%5."/>
      <w:lvlJc w:val="left"/>
      <w:pPr>
        <w:ind w:left="3600" w:hanging="360"/>
      </w:pPr>
    </w:lvl>
    <w:lvl w:ilvl="5" w:tplc="2EDE70CC">
      <w:start w:val="1"/>
      <w:numFmt w:val="lowerRoman"/>
      <w:lvlText w:val="%6."/>
      <w:lvlJc w:val="right"/>
      <w:pPr>
        <w:ind w:left="4320" w:hanging="180"/>
      </w:pPr>
    </w:lvl>
    <w:lvl w:ilvl="6" w:tplc="A6269566">
      <w:start w:val="1"/>
      <w:numFmt w:val="decimal"/>
      <w:lvlText w:val="%7."/>
      <w:lvlJc w:val="left"/>
      <w:pPr>
        <w:ind w:left="5040" w:hanging="360"/>
      </w:pPr>
    </w:lvl>
    <w:lvl w:ilvl="7" w:tplc="F57ACA6C">
      <w:start w:val="1"/>
      <w:numFmt w:val="lowerLetter"/>
      <w:lvlText w:val="%8."/>
      <w:lvlJc w:val="left"/>
      <w:pPr>
        <w:ind w:left="5760" w:hanging="360"/>
      </w:pPr>
    </w:lvl>
    <w:lvl w:ilvl="8" w:tplc="409AE678">
      <w:start w:val="1"/>
      <w:numFmt w:val="lowerRoman"/>
      <w:lvlText w:val="%9."/>
      <w:lvlJc w:val="right"/>
      <w:pPr>
        <w:ind w:left="6480" w:hanging="180"/>
      </w:pPr>
    </w:lvl>
  </w:abstractNum>
  <w:abstractNum w:abstractNumId="316" w15:restartNumberingAfterBreak="0">
    <w:nsid w:val="697A2E4A"/>
    <w:multiLevelType w:val="hybridMultilevel"/>
    <w:tmpl w:val="FFFFFFFF"/>
    <w:lvl w:ilvl="0" w:tplc="D354DBE8">
      <w:start w:val="3"/>
      <w:numFmt w:val="lowerLetter"/>
      <w:lvlText w:val="%1)"/>
      <w:lvlJc w:val="left"/>
      <w:pPr>
        <w:ind w:left="720" w:hanging="360"/>
      </w:pPr>
    </w:lvl>
    <w:lvl w:ilvl="1" w:tplc="0220C242">
      <w:start w:val="1"/>
      <w:numFmt w:val="lowerLetter"/>
      <w:lvlText w:val="%2."/>
      <w:lvlJc w:val="left"/>
      <w:pPr>
        <w:ind w:left="1440" w:hanging="360"/>
      </w:pPr>
    </w:lvl>
    <w:lvl w:ilvl="2" w:tplc="FA66BAF0">
      <w:start w:val="1"/>
      <w:numFmt w:val="lowerRoman"/>
      <w:lvlText w:val="%3."/>
      <w:lvlJc w:val="right"/>
      <w:pPr>
        <w:ind w:left="2160" w:hanging="180"/>
      </w:pPr>
    </w:lvl>
    <w:lvl w:ilvl="3" w:tplc="359C05D0">
      <w:start w:val="1"/>
      <w:numFmt w:val="decimal"/>
      <w:lvlText w:val="%4."/>
      <w:lvlJc w:val="left"/>
      <w:pPr>
        <w:ind w:left="2880" w:hanging="360"/>
      </w:pPr>
    </w:lvl>
    <w:lvl w:ilvl="4" w:tplc="760641CA">
      <w:start w:val="1"/>
      <w:numFmt w:val="lowerLetter"/>
      <w:lvlText w:val="%5."/>
      <w:lvlJc w:val="left"/>
      <w:pPr>
        <w:ind w:left="3600" w:hanging="360"/>
      </w:pPr>
    </w:lvl>
    <w:lvl w:ilvl="5" w:tplc="4FEA5D80">
      <w:start w:val="1"/>
      <w:numFmt w:val="lowerRoman"/>
      <w:lvlText w:val="%6."/>
      <w:lvlJc w:val="right"/>
      <w:pPr>
        <w:ind w:left="4320" w:hanging="180"/>
      </w:pPr>
    </w:lvl>
    <w:lvl w:ilvl="6" w:tplc="7F50C280">
      <w:start w:val="1"/>
      <w:numFmt w:val="decimal"/>
      <w:lvlText w:val="%7."/>
      <w:lvlJc w:val="left"/>
      <w:pPr>
        <w:ind w:left="5040" w:hanging="360"/>
      </w:pPr>
    </w:lvl>
    <w:lvl w:ilvl="7" w:tplc="4760810A">
      <w:start w:val="1"/>
      <w:numFmt w:val="lowerLetter"/>
      <w:lvlText w:val="%8."/>
      <w:lvlJc w:val="left"/>
      <w:pPr>
        <w:ind w:left="5760" w:hanging="360"/>
      </w:pPr>
    </w:lvl>
    <w:lvl w:ilvl="8" w:tplc="CD1AD58A">
      <w:start w:val="1"/>
      <w:numFmt w:val="lowerRoman"/>
      <w:lvlText w:val="%9."/>
      <w:lvlJc w:val="right"/>
      <w:pPr>
        <w:ind w:left="6480" w:hanging="180"/>
      </w:pPr>
    </w:lvl>
  </w:abstractNum>
  <w:abstractNum w:abstractNumId="317" w15:restartNumberingAfterBreak="0">
    <w:nsid w:val="69D971E6"/>
    <w:multiLevelType w:val="hybridMultilevel"/>
    <w:tmpl w:val="CBA2AAAC"/>
    <w:lvl w:ilvl="0" w:tplc="358CABF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69EA1709"/>
    <w:multiLevelType w:val="hybridMultilevel"/>
    <w:tmpl w:val="7CCAE6F6"/>
    <w:lvl w:ilvl="0" w:tplc="0B8C5D0E">
      <w:start w:val="1"/>
      <w:numFmt w:val="bullet"/>
      <w:lvlText w:val="-"/>
      <w:lvlJc w:val="left"/>
      <w:pPr>
        <w:ind w:left="720" w:hanging="360"/>
      </w:pPr>
      <w:rPr>
        <w:rFonts w:ascii="Calibri" w:hAnsi="Calibri" w:hint="default"/>
      </w:rPr>
    </w:lvl>
    <w:lvl w:ilvl="1" w:tplc="37900F38">
      <w:start w:val="1"/>
      <w:numFmt w:val="bullet"/>
      <w:lvlText w:val="o"/>
      <w:lvlJc w:val="left"/>
      <w:pPr>
        <w:ind w:left="1440" w:hanging="360"/>
      </w:pPr>
      <w:rPr>
        <w:rFonts w:ascii="Courier New" w:hAnsi="Courier New" w:hint="default"/>
      </w:rPr>
    </w:lvl>
    <w:lvl w:ilvl="2" w:tplc="324CEE5E">
      <w:start w:val="1"/>
      <w:numFmt w:val="bullet"/>
      <w:lvlText w:val=""/>
      <w:lvlJc w:val="left"/>
      <w:pPr>
        <w:ind w:left="2160" w:hanging="360"/>
      </w:pPr>
      <w:rPr>
        <w:rFonts w:ascii="Wingdings" w:hAnsi="Wingdings" w:hint="default"/>
      </w:rPr>
    </w:lvl>
    <w:lvl w:ilvl="3" w:tplc="0F9A0508">
      <w:start w:val="1"/>
      <w:numFmt w:val="bullet"/>
      <w:lvlText w:val=""/>
      <w:lvlJc w:val="left"/>
      <w:pPr>
        <w:ind w:left="2880" w:hanging="360"/>
      </w:pPr>
      <w:rPr>
        <w:rFonts w:ascii="Symbol" w:hAnsi="Symbol" w:hint="default"/>
      </w:rPr>
    </w:lvl>
    <w:lvl w:ilvl="4" w:tplc="63646B7C">
      <w:start w:val="1"/>
      <w:numFmt w:val="bullet"/>
      <w:lvlText w:val="o"/>
      <w:lvlJc w:val="left"/>
      <w:pPr>
        <w:ind w:left="3600" w:hanging="360"/>
      </w:pPr>
      <w:rPr>
        <w:rFonts w:ascii="Courier New" w:hAnsi="Courier New" w:hint="default"/>
      </w:rPr>
    </w:lvl>
    <w:lvl w:ilvl="5" w:tplc="DC5EADD2">
      <w:start w:val="1"/>
      <w:numFmt w:val="bullet"/>
      <w:lvlText w:val=""/>
      <w:lvlJc w:val="left"/>
      <w:pPr>
        <w:ind w:left="4320" w:hanging="360"/>
      </w:pPr>
      <w:rPr>
        <w:rFonts w:ascii="Wingdings" w:hAnsi="Wingdings" w:hint="default"/>
      </w:rPr>
    </w:lvl>
    <w:lvl w:ilvl="6" w:tplc="C278F130">
      <w:start w:val="1"/>
      <w:numFmt w:val="bullet"/>
      <w:lvlText w:val=""/>
      <w:lvlJc w:val="left"/>
      <w:pPr>
        <w:ind w:left="5040" w:hanging="360"/>
      </w:pPr>
      <w:rPr>
        <w:rFonts w:ascii="Symbol" w:hAnsi="Symbol" w:hint="default"/>
      </w:rPr>
    </w:lvl>
    <w:lvl w:ilvl="7" w:tplc="46DA81C2">
      <w:start w:val="1"/>
      <w:numFmt w:val="bullet"/>
      <w:lvlText w:val="o"/>
      <w:lvlJc w:val="left"/>
      <w:pPr>
        <w:ind w:left="5760" w:hanging="360"/>
      </w:pPr>
      <w:rPr>
        <w:rFonts w:ascii="Courier New" w:hAnsi="Courier New" w:hint="default"/>
      </w:rPr>
    </w:lvl>
    <w:lvl w:ilvl="8" w:tplc="7D22EC58">
      <w:start w:val="1"/>
      <w:numFmt w:val="bullet"/>
      <w:lvlText w:val=""/>
      <w:lvlJc w:val="left"/>
      <w:pPr>
        <w:ind w:left="6480" w:hanging="360"/>
      </w:pPr>
      <w:rPr>
        <w:rFonts w:ascii="Wingdings" w:hAnsi="Wingdings" w:hint="default"/>
      </w:rPr>
    </w:lvl>
  </w:abstractNum>
  <w:abstractNum w:abstractNumId="319" w15:restartNumberingAfterBreak="0">
    <w:nsid w:val="6A51364D"/>
    <w:multiLevelType w:val="hybridMultilevel"/>
    <w:tmpl w:val="FFFFFFFF"/>
    <w:lvl w:ilvl="0" w:tplc="22F46A88">
      <w:start w:val="1"/>
      <w:numFmt w:val="decimal"/>
      <w:lvlText w:val="%1."/>
      <w:lvlJc w:val="left"/>
      <w:pPr>
        <w:ind w:left="720" w:hanging="360"/>
      </w:pPr>
    </w:lvl>
    <w:lvl w:ilvl="1" w:tplc="74D2155A">
      <w:start w:val="1"/>
      <w:numFmt w:val="lowerLetter"/>
      <w:lvlText w:val="%2."/>
      <w:lvlJc w:val="left"/>
      <w:pPr>
        <w:ind w:left="1440" w:hanging="360"/>
      </w:pPr>
    </w:lvl>
    <w:lvl w:ilvl="2" w:tplc="611606AC">
      <w:start w:val="1"/>
      <w:numFmt w:val="lowerRoman"/>
      <w:lvlText w:val="%3."/>
      <w:lvlJc w:val="right"/>
      <w:pPr>
        <w:ind w:left="2160" w:hanging="180"/>
      </w:pPr>
    </w:lvl>
    <w:lvl w:ilvl="3" w:tplc="4442E840">
      <w:start w:val="1"/>
      <w:numFmt w:val="decimal"/>
      <w:lvlText w:val="%4."/>
      <w:lvlJc w:val="left"/>
      <w:pPr>
        <w:ind w:left="2880" w:hanging="360"/>
      </w:pPr>
    </w:lvl>
    <w:lvl w:ilvl="4" w:tplc="8104E4AC">
      <w:start w:val="1"/>
      <w:numFmt w:val="lowerLetter"/>
      <w:lvlText w:val="%5."/>
      <w:lvlJc w:val="left"/>
      <w:pPr>
        <w:ind w:left="3600" w:hanging="360"/>
      </w:pPr>
    </w:lvl>
    <w:lvl w:ilvl="5" w:tplc="298432AE">
      <w:start w:val="1"/>
      <w:numFmt w:val="lowerRoman"/>
      <w:lvlText w:val="%6."/>
      <w:lvlJc w:val="right"/>
      <w:pPr>
        <w:ind w:left="4320" w:hanging="180"/>
      </w:pPr>
    </w:lvl>
    <w:lvl w:ilvl="6" w:tplc="A8648CDC">
      <w:start w:val="1"/>
      <w:numFmt w:val="decimal"/>
      <w:lvlText w:val="%7."/>
      <w:lvlJc w:val="left"/>
      <w:pPr>
        <w:ind w:left="5040" w:hanging="360"/>
      </w:pPr>
    </w:lvl>
    <w:lvl w:ilvl="7" w:tplc="548A9EB2">
      <w:start w:val="1"/>
      <w:numFmt w:val="lowerLetter"/>
      <w:lvlText w:val="%8."/>
      <w:lvlJc w:val="left"/>
      <w:pPr>
        <w:ind w:left="5760" w:hanging="360"/>
      </w:pPr>
    </w:lvl>
    <w:lvl w:ilvl="8" w:tplc="A64E8874">
      <w:start w:val="1"/>
      <w:numFmt w:val="lowerRoman"/>
      <w:lvlText w:val="%9."/>
      <w:lvlJc w:val="right"/>
      <w:pPr>
        <w:ind w:left="6480" w:hanging="180"/>
      </w:pPr>
    </w:lvl>
  </w:abstractNum>
  <w:abstractNum w:abstractNumId="320" w15:restartNumberingAfterBreak="0">
    <w:nsid w:val="6B0B4C1A"/>
    <w:multiLevelType w:val="multilevel"/>
    <w:tmpl w:val="1C4CDAD8"/>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1" w15:restartNumberingAfterBreak="0">
    <w:nsid w:val="6B45112B"/>
    <w:multiLevelType w:val="hybridMultilevel"/>
    <w:tmpl w:val="80387E72"/>
    <w:lvl w:ilvl="0" w:tplc="FFFFFFFF">
      <w:start w:val="1"/>
      <w:numFmt w:val="lowerRoman"/>
      <w:lvlText w:val="%1."/>
      <w:lvlJc w:val="right"/>
      <w:pPr>
        <w:ind w:left="1230" w:hanging="360"/>
      </w:pPr>
    </w:lvl>
    <w:lvl w:ilvl="1" w:tplc="080C0019" w:tentative="1">
      <w:start w:val="1"/>
      <w:numFmt w:val="lowerLetter"/>
      <w:lvlText w:val="%2."/>
      <w:lvlJc w:val="left"/>
      <w:pPr>
        <w:ind w:left="1950" w:hanging="360"/>
      </w:pPr>
    </w:lvl>
    <w:lvl w:ilvl="2" w:tplc="080C001B" w:tentative="1">
      <w:start w:val="1"/>
      <w:numFmt w:val="lowerRoman"/>
      <w:lvlText w:val="%3."/>
      <w:lvlJc w:val="right"/>
      <w:pPr>
        <w:ind w:left="2670" w:hanging="180"/>
      </w:pPr>
    </w:lvl>
    <w:lvl w:ilvl="3" w:tplc="080C000F" w:tentative="1">
      <w:start w:val="1"/>
      <w:numFmt w:val="decimal"/>
      <w:lvlText w:val="%4."/>
      <w:lvlJc w:val="left"/>
      <w:pPr>
        <w:ind w:left="3390" w:hanging="360"/>
      </w:pPr>
    </w:lvl>
    <w:lvl w:ilvl="4" w:tplc="080C0019" w:tentative="1">
      <w:start w:val="1"/>
      <w:numFmt w:val="lowerLetter"/>
      <w:lvlText w:val="%5."/>
      <w:lvlJc w:val="left"/>
      <w:pPr>
        <w:ind w:left="4110" w:hanging="360"/>
      </w:pPr>
    </w:lvl>
    <w:lvl w:ilvl="5" w:tplc="080C001B" w:tentative="1">
      <w:start w:val="1"/>
      <w:numFmt w:val="lowerRoman"/>
      <w:lvlText w:val="%6."/>
      <w:lvlJc w:val="right"/>
      <w:pPr>
        <w:ind w:left="4830" w:hanging="180"/>
      </w:pPr>
    </w:lvl>
    <w:lvl w:ilvl="6" w:tplc="080C000F" w:tentative="1">
      <w:start w:val="1"/>
      <w:numFmt w:val="decimal"/>
      <w:lvlText w:val="%7."/>
      <w:lvlJc w:val="left"/>
      <w:pPr>
        <w:ind w:left="5550" w:hanging="360"/>
      </w:pPr>
    </w:lvl>
    <w:lvl w:ilvl="7" w:tplc="080C0019" w:tentative="1">
      <w:start w:val="1"/>
      <w:numFmt w:val="lowerLetter"/>
      <w:lvlText w:val="%8."/>
      <w:lvlJc w:val="left"/>
      <w:pPr>
        <w:ind w:left="6270" w:hanging="360"/>
      </w:pPr>
    </w:lvl>
    <w:lvl w:ilvl="8" w:tplc="080C001B" w:tentative="1">
      <w:start w:val="1"/>
      <w:numFmt w:val="lowerRoman"/>
      <w:lvlText w:val="%9."/>
      <w:lvlJc w:val="right"/>
      <w:pPr>
        <w:ind w:left="6990" w:hanging="180"/>
      </w:pPr>
    </w:lvl>
  </w:abstractNum>
  <w:abstractNum w:abstractNumId="322" w15:restartNumberingAfterBreak="0">
    <w:nsid w:val="6B7798F1"/>
    <w:multiLevelType w:val="hybridMultilevel"/>
    <w:tmpl w:val="FFFFFFFF"/>
    <w:lvl w:ilvl="0" w:tplc="BCF6A016">
      <w:start w:val="3"/>
      <w:numFmt w:val="decimal"/>
      <w:lvlText w:val="%1."/>
      <w:lvlJc w:val="left"/>
      <w:pPr>
        <w:ind w:left="720" w:hanging="360"/>
      </w:pPr>
    </w:lvl>
    <w:lvl w:ilvl="1" w:tplc="05609D8A">
      <w:start w:val="1"/>
      <w:numFmt w:val="lowerLetter"/>
      <w:lvlText w:val="%2."/>
      <w:lvlJc w:val="left"/>
      <w:pPr>
        <w:ind w:left="1440" w:hanging="360"/>
      </w:pPr>
    </w:lvl>
    <w:lvl w:ilvl="2" w:tplc="43E05F46">
      <w:start w:val="1"/>
      <w:numFmt w:val="lowerRoman"/>
      <w:lvlText w:val="%3."/>
      <w:lvlJc w:val="right"/>
      <w:pPr>
        <w:ind w:left="2160" w:hanging="180"/>
      </w:pPr>
    </w:lvl>
    <w:lvl w:ilvl="3" w:tplc="9CB6778C">
      <w:start w:val="1"/>
      <w:numFmt w:val="decimal"/>
      <w:lvlText w:val="%4."/>
      <w:lvlJc w:val="left"/>
      <w:pPr>
        <w:ind w:left="2880" w:hanging="360"/>
      </w:pPr>
    </w:lvl>
    <w:lvl w:ilvl="4" w:tplc="A8380BFE">
      <w:start w:val="1"/>
      <w:numFmt w:val="lowerLetter"/>
      <w:lvlText w:val="%5."/>
      <w:lvlJc w:val="left"/>
      <w:pPr>
        <w:ind w:left="3600" w:hanging="360"/>
      </w:pPr>
    </w:lvl>
    <w:lvl w:ilvl="5" w:tplc="76367406">
      <w:start w:val="1"/>
      <w:numFmt w:val="lowerRoman"/>
      <w:lvlText w:val="%6."/>
      <w:lvlJc w:val="right"/>
      <w:pPr>
        <w:ind w:left="4320" w:hanging="180"/>
      </w:pPr>
    </w:lvl>
    <w:lvl w:ilvl="6" w:tplc="69AC6C00">
      <w:start w:val="1"/>
      <w:numFmt w:val="decimal"/>
      <w:lvlText w:val="%7."/>
      <w:lvlJc w:val="left"/>
      <w:pPr>
        <w:ind w:left="5040" w:hanging="360"/>
      </w:pPr>
    </w:lvl>
    <w:lvl w:ilvl="7" w:tplc="C7AE174A">
      <w:start w:val="1"/>
      <w:numFmt w:val="lowerLetter"/>
      <w:lvlText w:val="%8."/>
      <w:lvlJc w:val="left"/>
      <w:pPr>
        <w:ind w:left="5760" w:hanging="360"/>
      </w:pPr>
    </w:lvl>
    <w:lvl w:ilvl="8" w:tplc="C3E26204">
      <w:start w:val="1"/>
      <w:numFmt w:val="lowerRoman"/>
      <w:lvlText w:val="%9."/>
      <w:lvlJc w:val="right"/>
      <w:pPr>
        <w:ind w:left="6480" w:hanging="180"/>
      </w:pPr>
    </w:lvl>
  </w:abstractNum>
  <w:abstractNum w:abstractNumId="323" w15:restartNumberingAfterBreak="0">
    <w:nsid w:val="6C449142"/>
    <w:multiLevelType w:val="hybridMultilevel"/>
    <w:tmpl w:val="FFFFFFFF"/>
    <w:lvl w:ilvl="0" w:tplc="F7B22E04">
      <w:start w:val="1"/>
      <w:numFmt w:val="bullet"/>
      <w:lvlText w:val="·"/>
      <w:lvlJc w:val="left"/>
      <w:pPr>
        <w:ind w:left="720" w:hanging="360"/>
      </w:pPr>
      <w:rPr>
        <w:rFonts w:ascii="Symbol" w:hAnsi="Symbol" w:hint="default"/>
      </w:rPr>
    </w:lvl>
    <w:lvl w:ilvl="1" w:tplc="A77A7216">
      <w:start w:val="1"/>
      <w:numFmt w:val="bullet"/>
      <w:lvlText w:val="o"/>
      <w:lvlJc w:val="left"/>
      <w:pPr>
        <w:ind w:left="1440" w:hanging="360"/>
      </w:pPr>
      <w:rPr>
        <w:rFonts w:ascii="Courier New" w:hAnsi="Courier New" w:hint="default"/>
      </w:rPr>
    </w:lvl>
    <w:lvl w:ilvl="2" w:tplc="224C1CD6">
      <w:start w:val="1"/>
      <w:numFmt w:val="bullet"/>
      <w:lvlText w:val=""/>
      <w:lvlJc w:val="left"/>
      <w:pPr>
        <w:ind w:left="2160" w:hanging="360"/>
      </w:pPr>
      <w:rPr>
        <w:rFonts w:ascii="Wingdings" w:hAnsi="Wingdings" w:hint="default"/>
      </w:rPr>
    </w:lvl>
    <w:lvl w:ilvl="3" w:tplc="98D4A772">
      <w:start w:val="1"/>
      <w:numFmt w:val="bullet"/>
      <w:lvlText w:val=""/>
      <w:lvlJc w:val="left"/>
      <w:pPr>
        <w:ind w:left="2880" w:hanging="360"/>
      </w:pPr>
      <w:rPr>
        <w:rFonts w:ascii="Symbol" w:hAnsi="Symbol" w:hint="default"/>
      </w:rPr>
    </w:lvl>
    <w:lvl w:ilvl="4" w:tplc="73E0CF7E">
      <w:start w:val="1"/>
      <w:numFmt w:val="bullet"/>
      <w:lvlText w:val="o"/>
      <w:lvlJc w:val="left"/>
      <w:pPr>
        <w:ind w:left="3600" w:hanging="360"/>
      </w:pPr>
      <w:rPr>
        <w:rFonts w:ascii="Courier New" w:hAnsi="Courier New" w:hint="default"/>
      </w:rPr>
    </w:lvl>
    <w:lvl w:ilvl="5" w:tplc="9DAE96BE">
      <w:start w:val="1"/>
      <w:numFmt w:val="bullet"/>
      <w:lvlText w:val=""/>
      <w:lvlJc w:val="left"/>
      <w:pPr>
        <w:ind w:left="4320" w:hanging="360"/>
      </w:pPr>
      <w:rPr>
        <w:rFonts w:ascii="Wingdings" w:hAnsi="Wingdings" w:hint="default"/>
      </w:rPr>
    </w:lvl>
    <w:lvl w:ilvl="6" w:tplc="8CF2A994">
      <w:start w:val="1"/>
      <w:numFmt w:val="bullet"/>
      <w:lvlText w:val=""/>
      <w:lvlJc w:val="left"/>
      <w:pPr>
        <w:ind w:left="5040" w:hanging="360"/>
      </w:pPr>
      <w:rPr>
        <w:rFonts w:ascii="Symbol" w:hAnsi="Symbol" w:hint="default"/>
      </w:rPr>
    </w:lvl>
    <w:lvl w:ilvl="7" w:tplc="212038C4">
      <w:start w:val="1"/>
      <w:numFmt w:val="bullet"/>
      <w:lvlText w:val="o"/>
      <w:lvlJc w:val="left"/>
      <w:pPr>
        <w:ind w:left="5760" w:hanging="360"/>
      </w:pPr>
      <w:rPr>
        <w:rFonts w:ascii="Courier New" w:hAnsi="Courier New" w:hint="default"/>
      </w:rPr>
    </w:lvl>
    <w:lvl w:ilvl="8" w:tplc="FF90FFC4">
      <w:start w:val="1"/>
      <w:numFmt w:val="bullet"/>
      <w:lvlText w:val=""/>
      <w:lvlJc w:val="left"/>
      <w:pPr>
        <w:ind w:left="6480" w:hanging="360"/>
      </w:pPr>
      <w:rPr>
        <w:rFonts w:ascii="Wingdings" w:hAnsi="Wingdings" w:hint="default"/>
      </w:rPr>
    </w:lvl>
  </w:abstractNum>
  <w:abstractNum w:abstractNumId="324" w15:restartNumberingAfterBreak="0">
    <w:nsid w:val="6D1D278B"/>
    <w:multiLevelType w:val="hybridMultilevel"/>
    <w:tmpl w:val="FFFFFFFF"/>
    <w:lvl w:ilvl="0" w:tplc="FF749FD8">
      <w:start w:val="4"/>
      <w:numFmt w:val="decimal"/>
      <w:lvlText w:val="%1."/>
      <w:lvlJc w:val="left"/>
      <w:pPr>
        <w:ind w:left="720" w:hanging="360"/>
      </w:pPr>
    </w:lvl>
    <w:lvl w:ilvl="1" w:tplc="CD26A04E">
      <w:start w:val="1"/>
      <w:numFmt w:val="lowerLetter"/>
      <w:lvlText w:val="%2."/>
      <w:lvlJc w:val="left"/>
      <w:pPr>
        <w:ind w:left="1440" w:hanging="360"/>
      </w:pPr>
    </w:lvl>
    <w:lvl w:ilvl="2" w:tplc="4FDC3808">
      <w:start w:val="1"/>
      <w:numFmt w:val="lowerRoman"/>
      <w:lvlText w:val="%3."/>
      <w:lvlJc w:val="right"/>
      <w:pPr>
        <w:ind w:left="2160" w:hanging="180"/>
      </w:pPr>
    </w:lvl>
    <w:lvl w:ilvl="3" w:tplc="E77AECCC">
      <w:start w:val="1"/>
      <w:numFmt w:val="decimal"/>
      <w:lvlText w:val="%4."/>
      <w:lvlJc w:val="left"/>
      <w:pPr>
        <w:ind w:left="2880" w:hanging="360"/>
      </w:pPr>
    </w:lvl>
    <w:lvl w:ilvl="4" w:tplc="EC46C0DC">
      <w:start w:val="1"/>
      <w:numFmt w:val="lowerLetter"/>
      <w:lvlText w:val="%5."/>
      <w:lvlJc w:val="left"/>
      <w:pPr>
        <w:ind w:left="3600" w:hanging="360"/>
      </w:pPr>
    </w:lvl>
    <w:lvl w:ilvl="5" w:tplc="6316BBB8">
      <w:start w:val="1"/>
      <w:numFmt w:val="lowerRoman"/>
      <w:lvlText w:val="%6."/>
      <w:lvlJc w:val="right"/>
      <w:pPr>
        <w:ind w:left="4320" w:hanging="180"/>
      </w:pPr>
    </w:lvl>
    <w:lvl w:ilvl="6" w:tplc="F55445FA">
      <w:start w:val="1"/>
      <w:numFmt w:val="decimal"/>
      <w:lvlText w:val="%7."/>
      <w:lvlJc w:val="left"/>
      <w:pPr>
        <w:ind w:left="5040" w:hanging="360"/>
      </w:pPr>
    </w:lvl>
    <w:lvl w:ilvl="7" w:tplc="E50CA0B0">
      <w:start w:val="1"/>
      <w:numFmt w:val="lowerLetter"/>
      <w:lvlText w:val="%8."/>
      <w:lvlJc w:val="left"/>
      <w:pPr>
        <w:ind w:left="5760" w:hanging="360"/>
      </w:pPr>
    </w:lvl>
    <w:lvl w:ilvl="8" w:tplc="F8DEE6B6">
      <w:start w:val="1"/>
      <w:numFmt w:val="lowerRoman"/>
      <w:lvlText w:val="%9."/>
      <w:lvlJc w:val="right"/>
      <w:pPr>
        <w:ind w:left="6480" w:hanging="180"/>
      </w:pPr>
    </w:lvl>
  </w:abstractNum>
  <w:abstractNum w:abstractNumId="325" w15:restartNumberingAfterBreak="0">
    <w:nsid w:val="6D5C4971"/>
    <w:multiLevelType w:val="hybridMultilevel"/>
    <w:tmpl w:val="FFFFFFFF"/>
    <w:lvl w:ilvl="0" w:tplc="FEF47260">
      <w:start w:val="3"/>
      <w:numFmt w:val="lowerLetter"/>
      <w:lvlText w:val="%1."/>
      <w:lvlJc w:val="left"/>
      <w:pPr>
        <w:ind w:left="720" w:hanging="360"/>
      </w:pPr>
    </w:lvl>
    <w:lvl w:ilvl="1" w:tplc="6EEA86E6">
      <w:start w:val="1"/>
      <w:numFmt w:val="lowerLetter"/>
      <w:lvlText w:val="%2."/>
      <w:lvlJc w:val="left"/>
      <w:pPr>
        <w:ind w:left="1440" w:hanging="360"/>
      </w:pPr>
    </w:lvl>
    <w:lvl w:ilvl="2" w:tplc="C3566D5E">
      <w:start w:val="1"/>
      <w:numFmt w:val="lowerRoman"/>
      <w:lvlText w:val="%3."/>
      <w:lvlJc w:val="right"/>
      <w:pPr>
        <w:ind w:left="2160" w:hanging="180"/>
      </w:pPr>
    </w:lvl>
    <w:lvl w:ilvl="3" w:tplc="148CA0C0">
      <w:start w:val="1"/>
      <w:numFmt w:val="decimal"/>
      <w:lvlText w:val="%4."/>
      <w:lvlJc w:val="left"/>
      <w:pPr>
        <w:ind w:left="2880" w:hanging="360"/>
      </w:pPr>
    </w:lvl>
    <w:lvl w:ilvl="4" w:tplc="51B63B7E">
      <w:start w:val="1"/>
      <w:numFmt w:val="lowerLetter"/>
      <w:lvlText w:val="%5."/>
      <w:lvlJc w:val="left"/>
      <w:pPr>
        <w:ind w:left="3600" w:hanging="360"/>
      </w:pPr>
    </w:lvl>
    <w:lvl w:ilvl="5" w:tplc="C06EE416">
      <w:start w:val="1"/>
      <w:numFmt w:val="lowerRoman"/>
      <w:lvlText w:val="%6."/>
      <w:lvlJc w:val="right"/>
      <w:pPr>
        <w:ind w:left="4320" w:hanging="180"/>
      </w:pPr>
    </w:lvl>
    <w:lvl w:ilvl="6" w:tplc="C0BEF08A">
      <w:start w:val="1"/>
      <w:numFmt w:val="decimal"/>
      <w:lvlText w:val="%7."/>
      <w:lvlJc w:val="left"/>
      <w:pPr>
        <w:ind w:left="5040" w:hanging="360"/>
      </w:pPr>
    </w:lvl>
    <w:lvl w:ilvl="7" w:tplc="9208A672">
      <w:start w:val="1"/>
      <w:numFmt w:val="lowerLetter"/>
      <w:lvlText w:val="%8."/>
      <w:lvlJc w:val="left"/>
      <w:pPr>
        <w:ind w:left="5760" w:hanging="360"/>
      </w:pPr>
    </w:lvl>
    <w:lvl w:ilvl="8" w:tplc="EE42F038">
      <w:start w:val="1"/>
      <w:numFmt w:val="lowerRoman"/>
      <w:lvlText w:val="%9."/>
      <w:lvlJc w:val="right"/>
      <w:pPr>
        <w:ind w:left="6480" w:hanging="180"/>
      </w:pPr>
    </w:lvl>
  </w:abstractNum>
  <w:abstractNum w:abstractNumId="326" w15:restartNumberingAfterBreak="0">
    <w:nsid w:val="6DBF9D66"/>
    <w:multiLevelType w:val="hybridMultilevel"/>
    <w:tmpl w:val="FFFFFFFF"/>
    <w:lvl w:ilvl="0" w:tplc="9550BEDE">
      <w:start w:val="4"/>
      <w:numFmt w:val="lowerRoman"/>
      <w:lvlText w:val="%1."/>
      <w:lvlJc w:val="right"/>
      <w:pPr>
        <w:ind w:left="1080" w:hanging="360"/>
      </w:pPr>
    </w:lvl>
    <w:lvl w:ilvl="1" w:tplc="FA424ADA">
      <w:start w:val="1"/>
      <w:numFmt w:val="lowerLetter"/>
      <w:lvlText w:val="%2."/>
      <w:lvlJc w:val="left"/>
      <w:pPr>
        <w:ind w:left="1440" w:hanging="360"/>
      </w:pPr>
    </w:lvl>
    <w:lvl w:ilvl="2" w:tplc="F90CCC36">
      <w:start w:val="1"/>
      <w:numFmt w:val="lowerRoman"/>
      <w:lvlText w:val="%3."/>
      <w:lvlJc w:val="right"/>
      <w:pPr>
        <w:ind w:left="2160" w:hanging="180"/>
      </w:pPr>
    </w:lvl>
    <w:lvl w:ilvl="3" w:tplc="BEC29992">
      <w:start w:val="1"/>
      <w:numFmt w:val="decimal"/>
      <w:lvlText w:val="%4."/>
      <w:lvlJc w:val="left"/>
      <w:pPr>
        <w:ind w:left="2880" w:hanging="360"/>
      </w:pPr>
    </w:lvl>
    <w:lvl w:ilvl="4" w:tplc="1CAA1F2E">
      <w:start w:val="1"/>
      <w:numFmt w:val="lowerLetter"/>
      <w:lvlText w:val="%5."/>
      <w:lvlJc w:val="left"/>
      <w:pPr>
        <w:ind w:left="3600" w:hanging="360"/>
      </w:pPr>
    </w:lvl>
    <w:lvl w:ilvl="5" w:tplc="77BCC3FC">
      <w:start w:val="1"/>
      <w:numFmt w:val="lowerRoman"/>
      <w:lvlText w:val="%6."/>
      <w:lvlJc w:val="right"/>
      <w:pPr>
        <w:ind w:left="4320" w:hanging="180"/>
      </w:pPr>
    </w:lvl>
    <w:lvl w:ilvl="6" w:tplc="3B768562">
      <w:start w:val="1"/>
      <w:numFmt w:val="decimal"/>
      <w:lvlText w:val="%7."/>
      <w:lvlJc w:val="left"/>
      <w:pPr>
        <w:ind w:left="5040" w:hanging="360"/>
      </w:pPr>
    </w:lvl>
    <w:lvl w:ilvl="7" w:tplc="7F100700">
      <w:start w:val="1"/>
      <w:numFmt w:val="lowerLetter"/>
      <w:lvlText w:val="%8."/>
      <w:lvlJc w:val="left"/>
      <w:pPr>
        <w:ind w:left="5760" w:hanging="360"/>
      </w:pPr>
    </w:lvl>
    <w:lvl w:ilvl="8" w:tplc="00365246">
      <w:start w:val="1"/>
      <w:numFmt w:val="lowerRoman"/>
      <w:lvlText w:val="%9."/>
      <w:lvlJc w:val="right"/>
      <w:pPr>
        <w:ind w:left="6480" w:hanging="180"/>
      </w:pPr>
    </w:lvl>
  </w:abstractNum>
  <w:abstractNum w:abstractNumId="327" w15:restartNumberingAfterBreak="0">
    <w:nsid w:val="6DE23A40"/>
    <w:multiLevelType w:val="hybridMultilevel"/>
    <w:tmpl w:val="1C7869A2"/>
    <w:lvl w:ilvl="0" w:tplc="0B680D42">
      <w:start w:val="1"/>
      <w:numFmt w:val="lowerRoman"/>
      <w:lvlText w:val="(%1)"/>
      <w:lvlJc w:val="left"/>
      <w:pPr>
        <w:ind w:left="1440" w:hanging="720"/>
      </w:pPr>
      <w:rPr>
        <w:rFonts w:eastAsia="Times New Roman" w:hint="default"/>
        <w:sz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8" w15:restartNumberingAfterBreak="0">
    <w:nsid w:val="6E1747B2"/>
    <w:multiLevelType w:val="hybridMultilevel"/>
    <w:tmpl w:val="52E237AA"/>
    <w:lvl w:ilvl="0" w:tplc="FA425BA6">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9" w15:restartNumberingAfterBreak="0">
    <w:nsid w:val="6EBAE0AE"/>
    <w:multiLevelType w:val="hybridMultilevel"/>
    <w:tmpl w:val="E9727F48"/>
    <w:lvl w:ilvl="0" w:tplc="5DD67700">
      <w:start w:val="1"/>
      <w:numFmt w:val="bullet"/>
      <w:lvlText w:val="·"/>
      <w:lvlJc w:val="left"/>
      <w:pPr>
        <w:ind w:left="720" w:hanging="360"/>
      </w:pPr>
      <w:rPr>
        <w:rFonts w:ascii="Symbol" w:hAnsi="Symbol" w:hint="default"/>
      </w:rPr>
    </w:lvl>
    <w:lvl w:ilvl="1" w:tplc="AE9E5236">
      <w:start w:val="1"/>
      <w:numFmt w:val="bullet"/>
      <w:lvlText w:val="o"/>
      <w:lvlJc w:val="left"/>
      <w:pPr>
        <w:ind w:left="1440" w:hanging="360"/>
      </w:pPr>
      <w:rPr>
        <w:rFonts w:ascii="Courier New" w:hAnsi="Courier New" w:hint="default"/>
      </w:rPr>
    </w:lvl>
    <w:lvl w:ilvl="2" w:tplc="45BE0932">
      <w:start w:val="1"/>
      <w:numFmt w:val="bullet"/>
      <w:lvlText w:val=""/>
      <w:lvlJc w:val="left"/>
      <w:pPr>
        <w:ind w:left="2160" w:hanging="360"/>
      </w:pPr>
      <w:rPr>
        <w:rFonts w:ascii="Wingdings" w:hAnsi="Wingdings" w:hint="default"/>
      </w:rPr>
    </w:lvl>
    <w:lvl w:ilvl="3" w:tplc="29A61B42">
      <w:start w:val="1"/>
      <w:numFmt w:val="bullet"/>
      <w:lvlText w:val=""/>
      <w:lvlJc w:val="left"/>
      <w:pPr>
        <w:ind w:left="2880" w:hanging="360"/>
      </w:pPr>
      <w:rPr>
        <w:rFonts w:ascii="Symbol" w:hAnsi="Symbol" w:hint="default"/>
      </w:rPr>
    </w:lvl>
    <w:lvl w:ilvl="4" w:tplc="3A30B566">
      <w:start w:val="1"/>
      <w:numFmt w:val="bullet"/>
      <w:lvlText w:val="o"/>
      <w:lvlJc w:val="left"/>
      <w:pPr>
        <w:ind w:left="3600" w:hanging="360"/>
      </w:pPr>
      <w:rPr>
        <w:rFonts w:ascii="Courier New" w:hAnsi="Courier New" w:hint="default"/>
      </w:rPr>
    </w:lvl>
    <w:lvl w:ilvl="5" w:tplc="8B8E46C2">
      <w:start w:val="1"/>
      <w:numFmt w:val="bullet"/>
      <w:lvlText w:val=""/>
      <w:lvlJc w:val="left"/>
      <w:pPr>
        <w:ind w:left="4320" w:hanging="360"/>
      </w:pPr>
      <w:rPr>
        <w:rFonts w:ascii="Wingdings" w:hAnsi="Wingdings" w:hint="default"/>
      </w:rPr>
    </w:lvl>
    <w:lvl w:ilvl="6" w:tplc="0C2C6F30">
      <w:start w:val="1"/>
      <w:numFmt w:val="bullet"/>
      <w:lvlText w:val=""/>
      <w:lvlJc w:val="left"/>
      <w:pPr>
        <w:ind w:left="5040" w:hanging="360"/>
      </w:pPr>
      <w:rPr>
        <w:rFonts w:ascii="Symbol" w:hAnsi="Symbol" w:hint="default"/>
      </w:rPr>
    </w:lvl>
    <w:lvl w:ilvl="7" w:tplc="E5021BB0">
      <w:start w:val="1"/>
      <w:numFmt w:val="bullet"/>
      <w:lvlText w:val="o"/>
      <w:lvlJc w:val="left"/>
      <w:pPr>
        <w:ind w:left="5760" w:hanging="360"/>
      </w:pPr>
      <w:rPr>
        <w:rFonts w:ascii="Courier New" w:hAnsi="Courier New" w:hint="default"/>
      </w:rPr>
    </w:lvl>
    <w:lvl w:ilvl="8" w:tplc="B2F871FE">
      <w:start w:val="1"/>
      <w:numFmt w:val="bullet"/>
      <w:lvlText w:val=""/>
      <w:lvlJc w:val="left"/>
      <w:pPr>
        <w:ind w:left="6480" w:hanging="360"/>
      </w:pPr>
      <w:rPr>
        <w:rFonts w:ascii="Wingdings" w:hAnsi="Wingdings" w:hint="default"/>
      </w:rPr>
    </w:lvl>
  </w:abstractNum>
  <w:abstractNum w:abstractNumId="330" w15:restartNumberingAfterBreak="0">
    <w:nsid w:val="6ED063DF"/>
    <w:multiLevelType w:val="hybridMultilevel"/>
    <w:tmpl w:val="D88ABD3A"/>
    <w:lvl w:ilvl="0" w:tplc="08EED532">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1" w15:restartNumberingAfterBreak="0">
    <w:nsid w:val="6F3CDBE5"/>
    <w:multiLevelType w:val="hybridMultilevel"/>
    <w:tmpl w:val="FFFFFFFF"/>
    <w:lvl w:ilvl="0" w:tplc="4C20E102">
      <w:start w:val="5"/>
      <w:numFmt w:val="lowerLetter"/>
      <w:lvlText w:val="%1)"/>
      <w:lvlJc w:val="left"/>
      <w:pPr>
        <w:ind w:left="720" w:hanging="360"/>
      </w:pPr>
    </w:lvl>
    <w:lvl w:ilvl="1" w:tplc="AF943654">
      <w:start w:val="1"/>
      <w:numFmt w:val="lowerLetter"/>
      <w:lvlText w:val="%2."/>
      <w:lvlJc w:val="left"/>
      <w:pPr>
        <w:ind w:left="1440" w:hanging="360"/>
      </w:pPr>
    </w:lvl>
    <w:lvl w:ilvl="2" w:tplc="C4AA2352">
      <w:start w:val="1"/>
      <w:numFmt w:val="lowerRoman"/>
      <w:lvlText w:val="%3."/>
      <w:lvlJc w:val="right"/>
      <w:pPr>
        <w:ind w:left="2160" w:hanging="180"/>
      </w:pPr>
    </w:lvl>
    <w:lvl w:ilvl="3" w:tplc="5C580C66">
      <w:start w:val="1"/>
      <w:numFmt w:val="decimal"/>
      <w:lvlText w:val="%4."/>
      <w:lvlJc w:val="left"/>
      <w:pPr>
        <w:ind w:left="2880" w:hanging="360"/>
      </w:pPr>
    </w:lvl>
    <w:lvl w:ilvl="4" w:tplc="150272E0">
      <w:start w:val="1"/>
      <w:numFmt w:val="lowerLetter"/>
      <w:lvlText w:val="%5."/>
      <w:lvlJc w:val="left"/>
      <w:pPr>
        <w:ind w:left="3600" w:hanging="360"/>
      </w:pPr>
    </w:lvl>
    <w:lvl w:ilvl="5" w:tplc="5518F800">
      <w:start w:val="1"/>
      <w:numFmt w:val="lowerRoman"/>
      <w:lvlText w:val="%6."/>
      <w:lvlJc w:val="right"/>
      <w:pPr>
        <w:ind w:left="4320" w:hanging="180"/>
      </w:pPr>
    </w:lvl>
    <w:lvl w:ilvl="6" w:tplc="C51E9002">
      <w:start w:val="1"/>
      <w:numFmt w:val="decimal"/>
      <w:lvlText w:val="%7."/>
      <w:lvlJc w:val="left"/>
      <w:pPr>
        <w:ind w:left="5040" w:hanging="360"/>
      </w:pPr>
    </w:lvl>
    <w:lvl w:ilvl="7" w:tplc="338E57CA">
      <w:start w:val="1"/>
      <w:numFmt w:val="lowerLetter"/>
      <w:lvlText w:val="%8."/>
      <w:lvlJc w:val="left"/>
      <w:pPr>
        <w:ind w:left="5760" w:hanging="360"/>
      </w:pPr>
    </w:lvl>
    <w:lvl w:ilvl="8" w:tplc="556C6F5E">
      <w:start w:val="1"/>
      <w:numFmt w:val="lowerRoman"/>
      <w:lvlText w:val="%9."/>
      <w:lvlJc w:val="right"/>
      <w:pPr>
        <w:ind w:left="6480" w:hanging="180"/>
      </w:pPr>
    </w:lvl>
  </w:abstractNum>
  <w:abstractNum w:abstractNumId="332" w15:restartNumberingAfterBreak="0">
    <w:nsid w:val="6F625F53"/>
    <w:multiLevelType w:val="hybridMultilevel"/>
    <w:tmpl w:val="6DEED73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33" w15:restartNumberingAfterBreak="0">
    <w:nsid w:val="703169D0"/>
    <w:multiLevelType w:val="hybridMultilevel"/>
    <w:tmpl w:val="32704F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4" w15:restartNumberingAfterBreak="0">
    <w:nsid w:val="709B8187"/>
    <w:multiLevelType w:val="hybridMultilevel"/>
    <w:tmpl w:val="FFFFFFFF"/>
    <w:lvl w:ilvl="0" w:tplc="00E6B9DA">
      <w:start w:val="3"/>
      <w:numFmt w:val="lowerLetter"/>
      <w:lvlText w:val="%1)"/>
      <w:lvlJc w:val="left"/>
      <w:pPr>
        <w:ind w:left="720" w:hanging="360"/>
      </w:pPr>
    </w:lvl>
    <w:lvl w:ilvl="1" w:tplc="699E488A">
      <w:start w:val="1"/>
      <w:numFmt w:val="lowerLetter"/>
      <w:lvlText w:val="%2."/>
      <w:lvlJc w:val="left"/>
      <w:pPr>
        <w:ind w:left="1440" w:hanging="360"/>
      </w:pPr>
    </w:lvl>
    <w:lvl w:ilvl="2" w:tplc="572EFE2C">
      <w:start w:val="1"/>
      <w:numFmt w:val="lowerRoman"/>
      <w:lvlText w:val="%3."/>
      <w:lvlJc w:val="right"/>
      <w:pPr>
        <w:ind w:left="2160" w:hanging="180"/>
      </w:pPr>
    </w:lvl>
    <w:lvl w:ilvl="3" w:tplc="6B4E23F6">
      <w:start w:val="1"/>
      <w:numFmt w:val="decimal"/>
      <w:lvlText w:val="%4."/>
      <w:lvlJc w:val="left"/>
      <w:pPr>
        <w:ind w:left="2880" w:hanging="360"/>
      </w:pPr>
    </w:lvl>
    <w:lvl w:ilvl="4" w:tplc="0BA8A1BA">
      <w:start w:val="1"/>
      <w:numFmt w:val="lowerLetter"/>
      <w:lvlText w:val="%5."/>
      <w:lvlJc w:val="left"/>
      <w:pPr>
        <w:ind w:left="3600" w:hanging="360"/>
      </w:pPr>
    </w:lvl>
    <w:lvl w:ilvl="5" w:tplc="0D98DC58">
      <w:start w:val="1"/>
      <w:numFmt w:val="lowerRoman"/>
      <w:lvlText w:val="%6."/>
      <w:lvlJc w:val="right"/>
      <w:pPr>
        <w:ind w:left="4320" w:hanging="180"/>
      </w:pPr>
    </w:lvl>
    <w:lvl w:ilvl="6" w:tplc="DDDA7AC8">
      <w:start w:val="1"/>
      <w:numFmt w:val="decimal"/>
      <w:lvlText w:val="%7."/>
      <w:lvlJc w:val="left"/>
      <w:pPr>
        <w:ind w:left="5040" w:hanging="360"/>
      </w:pPr>
    </w:lvl>
    <w:lvl w:ilvl="7" w:tplc="C74E96E2">
      <w:start w:val="1"/>
      <w:numFmt w:val="lowerLetter"/>
      <w:lvlText w:val="%8."/>
      <w:lvlJc w:val="left"/>
      <w:pPr>
        <w:ind w:left="5760" w:hanging="360"/>
      </w:pPr>
    </w:lvl>
    <w:lvl w:ilvl="8" w:tplc="BFB29F28">
      <w:start w:val="1"/>
      <w:numFmt w:val="lowerRoman"/>
      <w:lvlText w:val="%9."/>
      <w:lvlJc w:val="right"/>
      <w:pPr>
        <w:ind w:left="6480" w:hanging="180"/>
      </w:pPr>
    </w:lvl>
  </w:abstractNum>
  <w:abstractNum w:abstractNumId="335" w15:restartNumberingAfterBreak="0">
    <w:nsid w:val="70ABFC03"/>
    <w:multiLevelType w:val="hybridMultilevel"/>
    <w:tmpl w:val="FFFFFFFF"/>
    <w:lvl w:ilvl="0" w:tplc="DA907AFA">
      <w:start w:val="1"/>
      <w:numFmt w:val="decimal"/>
      <w:lvlText w:val="%1."/>
      <w:lvlJc w:val="left"/>
      <w:pPr>
        <w:ind w:left="720" w:hanging="360"/>
      </w:pPr>
    </w:lvl>
    <w:lvl w:ilvl="1" w:tplc="6CBABC94">
      <w:start w:val="1"/>
      <w:numFmt w:val="lowerRoman"/>
      <w:lvlText w:val="%2."/>
      <w:lvlJc w:val="right"/>
      <w:pPr>
        <w:ind w:left="1080" w:hanging="360"/>
      </w:pPr>
    </w:lvl>
    <w:lvl w:ilvl="2" w:tplc="F09667C4">
      <w:start w:val="1"/>
      <w:numFmt w:val="lowerRoman"/>
      <w:lvlText w:val="%3."/>
      <w:lvlJc w:val="right"/>
      <w:pPr>
        <w:ind w:left="2160" w:hanging="180"/>
      </w:pPr>
    </w:lvl>
    <w:lvl w:ilvl="3" w:tplc="343A234E">
      <w:start w:val="1"/>
      <w:numFmt w:val="decimal"/>
      <w:lvlText w:val="%4."/>
      <w:lvlJc w:val="left"/>
      <w:pPr>
        <w:ind w:left="2880" w:hanging="360"/>
      </w:pPr>
    </w:lvl>
    <w:lvl w:ilvl="4" w:tplc="D07A659C">
      <w:start w:val="1"/>
      <w:numFmt w:val="lowerLetter"/>
      <w:lvlText w:val="%5."/>
      <w:lvlJc w:val="left"/>
      <w:pPr>
        <w:ind w:left="3600" w:hanging="360"/>
      </w:pPr>
    </w:lvl>
    <w:lvl w:ilvl="5" w:tplc="6C2428A6">
      <w:start w:val="1"/>
      <w:numFmt w:val="lowerRoman"/>
      <w:lvlText w:val="%6."/>
      <w:lvlJc w:val="right"/>
      <w:pPr>
        <w:ind w:left="4320" w:hanging="180"/>
      </w:pPr>
    </w:lvl>
    <w:lvl w:ilvl="6" w:tplc="D99E3CF6">
      <w:start w:val="1"/>
      <w:numFmt w:val="decimal"/>
      <w:lvlText w:val="%7."/>
      <w:lvlJc w:val="left"/>
      <w:pPr>
        <w:ind w:left="5040" w:hanging="360"/>
      </w:pPr>
    </w:lvl>
    <w:lvl w:ilvl="7" w:tplc="0AC8E4EC">
      <w:start w:val="1"/>
      <w:numFmt w:val="lowerLetter"/>
      <w:lvlText w:val="%8."/>
      <w:lvlJc w:val="left"/>
      <w:pPr>
        <w:ind w:left="5760" w:hanging="360"/>
      </w:pPr>
    </w:lvl>
    <w:lvl w:ilvl="8" w:tplc="C70CB158">
      <w:start w:val="1"/>
      <w:numFmt w:val="lowerRoman"/>
      <w:lvlText w:val="%9."/>
      <w:lvlJc w:val="right"/>
      <w:pPr>
        <w:ind w:left="6480" w:hanging="180"/>
      </w:pPr>
    </w:lvl>
  </w:abstractNum>
  <w:abstractNum w:abstractNumId="336" w15:restartNumberingAfterBreak="0">
    <w:nsid w:val="70FF39A6"/>
    <w:multiLevelType w:val="hybridMultilevel"/>
    <w:tmpl w:val="FFFFFFFF"/>
    <w:lvl w:ilvl="0" w:tplc="FFFFFFFF">
      <w:start w:val="1"/>
      <w:numFmt w:val="lowerLetter"/>
      <w:lvlText w:val="%1."/>
      <w:lvlJc w:val="left"/>
      <w:pPr>
        <w:ind w:left="720" w:hanging="360"/>
      </w:pPr>
    </w:lvl>
    <w:lvl w:ilvl="1" w:tplc="A96E5A28">
      <w:start w:val="1"/>
      <w:numFmt w:val="lowerLetter"/>
      <w:lvlText w:val="%2."/>
      <w:lvlJc w:val="left"/>
      <w:pPr>
        <w:ind w:left="1440" w:hanging="360"/>
      </w:pPr>
    </w:lvl>
    <w:lvl w:ilvl="2" w:tplc="1004B92E">
      <w:start w:val="1"/>
      <w:numFmt w:val="lowerRoman"/>
      <w:lvlText w:val="%3."/>
      <w:lvlJc w:val="right"/>
      <w:pPr>
        <w:ind w:left="2160" w:hanging="180"/>
      </w:pPr>
    </w:lvl>
    <w:lvl w:ilvl="3" w:tplc="C7CEA4E4">
      <w:start w:val="1"/>
      <w:numFmt w:val="decimal"/>
      <w:lvlText w:val="%4."/>
      <w:lvlJc w:val="left"/>
      <w:pPr>
        <w:ind w:left="2880" w:hanging="360"/>
      </w:pPr>
    </w:lvl>
    <w:lvl w:ilvl="4" w:tplc="5E623A30">
      <w:start w:val="1"/>
      <w:numFmt w:val="lowerLetter"/>
      <w:lvlText w:val="%5."/>
      <w:lvlJc w:val="left"/>
      <w:pPr>
        <w:ind w:left="3600" w:hanging="360"/>
      </w:pPr>
    </w:lvl>
    <w:lvl w:ilvl="5" w:tplc="AFCCCBFC">
      <w:start w:val="1"/>
      <w:numFmt w:val="lowerRoman"/>
      <w:lvlText w:val="%6."/>
      <w:lvlJc w:val="right"/>
      <w:pPr>
        <w:ind w:left="4320" w:hanging="180"/>
      </w:pPr>
    </w:lvl>
    <w:lvl w:ilvl="6" w:tplc="2514EDCE">
      <w:start w:val="1"/>
      <w:numFmt w:val="decimal"/>
      <w:lvlText w:val="%7."/>
      <w:lvlJc w:val="left"/>
      <w:pPr>
        <w:ind w:left="5040" w:hanging="360"/>
      </w:pPr>
    </w:lvl>
    <w:lvl w:ilvl="7" w:tplc="7DDCC244">
      <w:start w:val="1"/>
      <w:numFmt w:val="lowerLetter"/>
      <w:lvlText w:val="%8."/>
      <w:lvlJc w:val="left"/>
      <w:pPr>
        <w:ind w:left="5760" w:hanging="360"/>
      </w:pPr>
    </w:lvl>
    <w:lvl w:ilvl="8" w:tplc="5A3E58C0">
      <w:start w:val="1"/>
      <w:numFmt w:val="lowerRoman"/>
      <w:lvlText w:val="%9."/>
      <w:lvlJc w:val="right"/>
      <w:pPr>
        <w:ind w:left="6480" w:hanging="180"/>
      </w:pPr>
    </w:lvl>
  </w:abstractNum>
  <w:abstractNum w:abstractNumId="337" w15:restartNumberingAfterBreak="0">
    <w:nsid w:val="7223FF7C"/>
    <w:multiLevelType w:val="hybridMultilevel"/>
    <w:tmpl w:val="FFFFFFFF"/>
    <w:lvl w:ilvl="0" w:tplc="841E0DDC">
      <w:start w:val="1"/>
      <w:numFmt w:val="decimal"/>
      <w:lvlText w:val="%1."/>
      <w:lvlJc w:val="left"/>
      <w:pPr>
        <w:ind w:left="720" w:hanging="360"/>
      </w:pPr>
    </w:lvl>
    <w:lvl w:ilvl="1" w:tplc="172C4A16">
      <w:start w:val="1"/>
      <w:numFmt w:val="lowerLetter"/>
      <w:lvlText w:val="%2."/>
      <w:lvlJc w:val="left"/>
      <w:pPr>
        <w:ind w:left="1440" w:hanging="360"/>
      </w:pPr>
    </w:lvl>
    <w:lvl w:ilvl="2" w:tplc="98BE3988">
      <w:start w:val="1"/>
      <w:numFmt w:val="lowerRoman"/>
      <w:lvlText w:val="%3."/>
      <w:lvlJc w:val="right"/>
      <w:pPr>
        <w:ind w:left="2160" w:hanging="180"/>
      </w:pPr>
    </w:lvl>
    <w:lvl w:ilvl="3" w:tplc="A4DAB4BA">
      <w:start w:val="1"/>
      <w:numFmt w:val="decimal"/>
      <w:lvlText w:val="%4."/>
      <w:lvlJc w:val="left"/>
      <w:pPr>
        <w:ind w:left="2880" w:hanging="360"/>
      </w:pPr>
    </w:lvl>
    <w:lvl w:ilvl="4" w:tplc="DA0241F6">
      <w:start w:val="1"/>
      <w:numFmt w:val="lowerLetter"/>
      <w:lvlText w:val="%5."/>
      <w:lvlJc w:val="left"/>
      <w:pPr>
        <w:ind w:left="3600" w:hanging="360"/>
      </w:pPr>
    </w:lvl>
    <w:lvl w:ilvl="5" w:tplc="DBCA59BE">
      <w:start w:val="1"/>
      <w:numFmt w:val="lowerRoman"/>
      <w:lvlText w:val="%6."/>
      <w:lvlJc w:val="right"/>
      <w:pPr>
        <w:ind w:left="4320" w:hanging="180"/>
      </w:pPr>
    </w:lvl>
    <w:lvl w:ilvl="6" w:tplc="5F189C32">
      <w:start w:val="1"/>
      <w:numFmt w:val="decimal"/>
      <w:lvlText w:val="%7."/>
      <w:lvlJc w:val="left"/>
      <w:pPr>
        <w:ind w:left="5040" w:hanging="360"/>
      </w:pPr>
    </w:lvl>
    <w:lvl w:ilvl="7" w:tplc="A928161E">
      <w:start w:val="1"/>
      <w:numFmt w:val="lowerLetter"/>
      <w:lvlText w:val="%8."/>
      <w:lvlJc w:val="left"/>
      <w:pPr>
        <w:ind w:left="5760" w:hanging="360"/>
      </w:pPr>
    </w:lvl>
    <w:lvl w:ilvl="8" w:tplc="DB5C0702">
      <w:start w:val="1"/>
      <w:numFmt w:val="lowerRoman"/>
      <w:lvlText w:val="%9."/>
      <w:lvlJc w:val="right"/>
      <w:pPr>
        <w:ind w:left="6480" w:hanging="180"/>
      </w:pPr>
    </w:lvl>
  </w:abstractNum>
  <w:abstractNum w:abstractNumId="338" w15:restartNumberingAfterBreak="0">
    <w:nsid w:val="72390835"/>
    <w:multiLevelType w:val="hybridMultilevel"/>
    <w:tmpl w:val="FFFFFFFF"/>
    <w:lvl w:ilvl="0" w:tplc="55087700">
      <w:start w:val="6"/>
      <w:numFmt w:val="decimal"/>
      <w:lvlText w:val="%1."/>
      <w:lvlJc w:val="left"/>
      <w:pPr>
        <w:ind w:left="720" w:hanging="360"/>
      </w:pPr>
    </w:lvl>
    <w:lvl w:ilvl="1" w:tplc="9E76A7D2">
      <w:start w:val="1"/>
      <w:numFmt w:val="lowerLetter"/>
      <w:lvlText w:val="%2."/>
      <w:lvlJc w:val="left"/>
      <w:pPr>
        <w:ind w:left="1440" w:hanging="360"/>
      </w:pPr>
    </w:lvl>
    <w:lvl w:ilvl="2" w:tplc="B13E4516">
      <w:start w:val="1"/>
      <w:numFmt w:val="lowerRoman"/>
      <w:lvlText w:val="%3."/>
      <w:lvlJc w:val="right"/>
      <w:pPr>
        <w:ind w:left="2160" w:hanging="180"/>
      </w:pPr>
    </w:lvl>
    <w:lvl w:ilvl="3" w:tplc="C1BE3EBE">
      <w:start w:val="1"/>
      <w:numFmt w:val="decimal"/>
      <w:lvlText w:val="%4."/>
      <w:lvlJc w:val="left"/>
      <w:pPr>
        <w:ind w:left="2880" w:hanging="360"/>
      </w:pPr>
    </w:lvl>
    <w:lvl w:ilvl="4" w:tplc="513CDC98">
      <w:start w:val="1"/>
      <w:numFmt w:val="lowerLetter"/>
      <w:lvlText w:val="%5."/>
      <w:lvlJc w:val="left"/>
      <w:pPr>
        <w:ind w:left="3600" w:hanging="360"/>
      </w:pPr>
    </w:lvl>
    <w:lvl w:ilvl="5" w:tplc="40AED19A">
      <w:start w:val="1"/>
      <w:numFmt w:val="lowerRoman"/>
      <w:lvlText w:val="%6."/>
      <w:lvlJc w:val="right"/>
      <w:pPr>
        <w:ind w:left="4320" w:hanging="180"/>
      </w:pPr>
    </w:lvl>
    <w:lvl w:ilvl="6" w:tplc="B62EA1C6">
      <w:start w:val="1"/>
      <w:numFmt w:val="decimal"/>
      <w:lvlText w:val="%7."/>
      <w:lvlJc w:val="left"/>
      <w:pPr>
        <w:ind w:left="5040" w:hanging="360"/>
      </w:pPr>
    </w:lvl>
    <w:lvl w:ilvl="7" w:tplc="AC1E87D0">
      <w:start w:val="1"/>
      <w:numFmt w:val="lowerLetter"/>
      <w:lvlText w:val="%8."/>
      <w:lvlJc w:val="left"/>
      <w:pPr>
        <w:ind w:left="5760" w:hanging="360"/>
      </w:pPr>
    </w:lvl>
    <w:lvl w:ilvl="8" w:tplc="B0DEE314">
      <w:start w:val="1"/>
      <w:numFmt w:val="lowerRoman"/>
      <w:lvlText w:val="%9."/>
      <w:lvlJc w:val="right"/>
      <w:pPr>
        <w:ind w:left="6480" w:hanging="180"/>
      </w:pPr>
    </w:lvl>
  </w:abstractNum>
  <w:abstractNum w:abstractNumId="339" w15:restartNumberingAfterBreak="0">
    <w:nsid w:val="726F8993"/>
    <w:multiLevelType w:val="hybridMultilevel"/>
    <w:tmpl w:val="FFFFFFFF"/>
    <w:lvl w:ilvl="0" w:tplc="471C7CAC">
      <w:start w:val="1"/>
      <w:numFmt w:val="lowerRoman"/>
      <w:lvlText w:val="%1."/>
      <w:lvlJc w:val="right"/>
      <w:pPr>
        <w:ind w:left="1080" w:hanging="360"/>
      </w:pPr>
    </w:lvl>
    <w:lvl w:ilvl="1" w:tplc="4D540FAE">
      <w:start w:val="1"/>
      <w:numFmt w:val="lowerLetter"/>
      <w:lvlText w:val="%2."/>
      <w:lvlJc w:val="left"/>
      <w:pPr>
        <w:ind w:left="1440" w:hanging="360"/>
      </w:pPr>
    </w:lvl>
    <w:lvl w:ilvl="2" w:tplc="EF3EBF86">
      <w:start w:val="1"/>
      <w:numFmt w:val="lowerRoman"/>
      <w:lvlText w:val="%3."/>
      <w:lvlJc w:val="right"/>
      <w:pPr>
        <w:ind w:left="2160" w:hanging="180"/>
      </w:pPr>
    </w:lvl>
    <w:lvl w:ilvl="3" w:tplc="F4840F70">
      <w:start w:val="1"/>
      <w:numFmt w:val="decimal"/>
      <w:lvlText w:val="%4."/>
      <w:lvlJc w:val="left"/>
      <w:pPr>
        <w:ind w:left="2880" w:hanging="360"/>
      </w:pPr>
    </w:lvl>
    <w:lvl w:ilvl="4" w:tplc="BDC81A62">
      <w:start w:val="1"/>
      <w:numFmt w:val="lowerLetter"/>
      <w:lvlText w:val="%5."/>
      <w:lvlJc w:val="left"/>
      <w:pPr>
        <w:ind w:left="3600" w:hanging="360"/>
      </w:pPr>
    </w:lvl>
    <w:lvl w:ilvl="5" w:tplc="997EF744">
      <w:start w:val="1"/>
      <w:numFmt w:val="lowerRoman"/>
      <w:lvlText w:val="%6."/>
      <w:lvlJc w:val="right"/>
      <w:pPr>
        <w:ind w:left="4320" w:hanging="180"/>
      </w:pPr>
    </w:lvl>
    <w:lvl w:ilvl="6" w:tplc="9B3A75C4">
      <w:start w:val="1"/>
      <w:numFmt w:val="decimal"/>
      <w:lvlText w:val="%7."/>
      <w:lvlJc w:val="left"/>
      <w:pPr>
        <w:ind w:left="5040" w:hanging="360"/>
      </w:pPr>
    </w:lvl>
    <w:lvl w:ilvl="7" w:tplc="50DC9998">
      <w:start w:val="1"/>
      <w:numFmt w:val="lowerLetter"/>
      <w:lvlText w:val="%8."/>
      <w:lvlJc w:val="left"/>
      <w:pPr>
        <w:ind w:left="5760" w:hanging="360"/>
      </w:pPr>
    </w:lvl>
    <w:lvl w:ilvl="8" w:tplc="F958339C">
      <w:start w:val="1"/>
      <w:numFmt w:val="lowerRoman"/>
      <w:lvlText w:val="%9."/>
      <w:lvlJc w:val="right"/>
      <w:pPr>
        <w:ind w:left="6480" w:hanging="180"/>
      </w:pPr>
    </w:lvl>
  </w:abstractNum>
  <w:abstractNum w:abstractNumId="340" w15:restartNumberingAfterBreak="0">
    <w:nsid w:val="72937A75"/>
    <w:multiLevelType w:val="hybridMultilevel"/>
    <w:tmpl w:val="FFFFFFFF"/>
    <w:lvl w:ilvl="0" w:tplc="6FB4A5CE">
      <w:start w:val="1"/>
      <w:numFmt w:val="bullet"/>
      <w:lvlText w:val="-"/>
      <w:lvlJc w:val="left"/>
      <w:pPr>
        <w:ind w:left="720" w:hanging="360"/>
      </w:pPr>
      <w:rPr>
        <w:rFonts w:ascii="Symbol" w:hAnsi="Symbol" w:hint="default"/>
      </w:rPr>
    </w:lvl>
    <w:lvl w:ilvl="1" w:tplc="79845406">
      <w:start w:val="1"/>
      <w:numFmt w:val="bullet"/>
      <w:lvlText w:val="o"/>
      <w:lvlJc w:val="left"/>
      <w:pPr>
        <w:ind w:left="1440" w:hanging="360"/>
      </w:pPr>
      <w:rPr>
        <w:rFonts w:ascii="Courier New" w:hAnsi="Courier New" w:hint="default"/>
      </w:rPr>
    </w:lvl>
    <w:lvl w:ilvl="2" w:tplc="C16600F4">
      <w:start w:val="1"/>
      <w:numFmt w:val="bullet"/>
      <w:lvlText w:val=""/>
      <w:lvlJc w:val="left"/>
      <w:pPr>
        <w:ind w:left="2160" w:hanging="360"/>
      </w:pPr>
      <w:rPr>
        <w:rFonts w:ascii="Wingdings" w:hAnsi="Wingdings" w:hint="default"/>
      </w:rPr>
    </w:lvl>
    <w:lvl w:ilvl="3" w:tplc="11A2C79A">
      <w:start w:val="1"/>
      <w:numFmt w:val="bullet"/>
      <w:lvlText w:val=""/>
      <w:lvlJc w:val="left"/>
      <w:pPr>
        <w:ind w:left="2880" w:hanging="360"/>
      </w:pPr>
      <w:rPr>
        <w:rFonts w:ascii="Symbol" w:hAnsi="Symbol" w:hint="default"/>
      </w:rPr>
    </w:lvl>
    <w:lvl w:ilvl="4" w:tplc="02BC1F52">
      <w:start w:val="1"/>
      <w:numFmt w:val="bullet"/>
      <w:lvlText w:val="o"/>
      <w:lvlJc w:val="left"/>
      <w:pPr>
        <w:ind w:left="3600" w:hanging="360"/>
      </w:pPr>
      <w:rPr>
        <w:rFonts w:ascii="Courier New" w:hAnsi="Courier New" w:hint="default"/>
      </w:rPr>
    </w:lvl>
    <w:lvl w:ilvl="5" w:tplc="EA0697E4">
      <w:start w:val="1"/>
      <w:numFmt w:val="bullet"/>
      <w:lvlText w:val=""/>
      <w:lvlJc w:val="left"/>
      <w:pPr>
        <w:ind w:left="4320" w:hanging="360"/>
      </w:pPr>
      <w:rPr>
        <w:rFonts w:ascii="Wingdings" w:hAnsi="Wingdings" w:hint="default"/>
      </w:rPr>
    </w:lvl>
    <w:lvl w:ilvl="6" w:tplc="81DC3BAE">
      <w:start w:val="1"/>
      <w:numFmt w:val="bullet"/>
      <w:lvlText w:val=""/>
      <w:lvlJc w:val="left"/>
      <w:pPr>
        <w:ind w:left="5040" w:hanging="360"/>
      </w:pPr>
      <w:rPr>
        <w:rFonts w:ascii="Symbol" w:hAnsi="Symbol" w:hint="default"/>
      </w:rPr>
    </w:lvl>
    <w:lvl w:ilvl="7" w:tplc="FC227110">
      <w:start w:val="1"/>
      <w:numFmt w:val="bullet"/>
      <w:lvlText w:val="o"/>
      <w:lvlJc w:val="left"/>
      <w:pPr>
        <w:ind w:left="5760" w:hanging="360"/>
      </w:pPr>
      <w:rPr>
        <w:rFonts w:ascii="Courier New" w:hAnsi="Courier New" w:hint="default"/>
      </w:rPr>
    </w:lvl>
    <w:lvl w:ilvl="8" w:tplc="11346036">
      <w:start w:val="1"/>
      <w:numFmt w:val="bullet"/>
      <w:lvlText w:val=""/>
      <w:lvlJc w:val="left"/>
      <w:pPr>
        <w:ind w:left="6480" w:hanging="360"/>
      </w:pPr>
      <w:rPr>
        <w:rFonts w:ascii="Wingdings" w:hAnsi="Wingdings" w:hint="default"/>
      </w:rPr>
    </w:lvl>
  </w:abstractNum>
  <w:abstractNum w:abstractNumId="341" w15:restartNumberingAfterBreak="0">
    <w:nsid w:val="734A237E"/>
    <w:multiLevelType w:val="multilevel"/>
    <w:tmpl w:val="B75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3EAD0BB"/>
    <w:multiLevelType w:val="hybridMultilevel"/>
    <w:tmpl w:val="FFFFFFFF"/>
    <w:lvl w:ilvl="0" w:tplc="5532F52C">
      <w:start w:val="5"/>
      <w:numFmt w:val="lowerRoman"/>
      <w:lvlText w:val="%1."/>
      <w:lvlJc w:val="right"/>
      <w:pPr>
        <w:ind w:left="1080" w:hanging="360"/>
      </w:pPr>
    </w:lvl>
    <w:lvl w:ilvl="1" w:tplc="1F50C214">
      <w:start w:val="1"/>
      <w:numFmt w:val="lowerLetter"/>
      <w:lvlText w:val="%2."/>
      <w:lvlJc w:val="left"/>
      <w:pPr>
        <w:ind w:left="1440" w:hanging="360"/>
      </w:pPr>
    </w:lvl>
    <w:lvl w:ilvl="2" w:tplc="EB90B098">
      <w:start w:val="1"/>
      <w:numFmt w:val="lowerRoman"/>
      <w:lvlText w:val="%3."/>
      <w:lvlJc w:val="right"/>
      <w:pPr>
        <w:ind w:left="2160" w:hanging="180"/>
      </w:pPr>
    </w:lvl>
    <w:lvl w:ilvl="3" w:tplc="58F2C22E">
      <w:start w:val="1"/>
      <w:numFmt w:val="decimal"/>
      <w:lvlText w:val="%4."/>
      <w:lvlJc w:val="left"/>
      <w:pPr>
        <w:ind w:left="2880" w:hanging="360"/>
      </w:pPr>
    </w:lvl>
    <w:lvl w:ilvl="4" w:tplc="1AE8BBA8">
      <w:start w:val="1"/>
      <w:numFmt w:val="lowerLetter"/>
      <w:lvlText w:val="%5."/>
      <w:lvlJc w:val="left"/>
      <w:pPr>
        <w:ind w:left="3600" w:hanging="360"/>
      </w:pPr>
    </w:lvl>
    <w:lvl w:ilvl="5" w:tplc="9306D7F0">
      <w:start w:val="1"/>
      <w:numFmt w:val="lowerRoman"/>
      <w:lvlText w:val="%6."/>
      <w:lvlJc w:val="right"/>
      <w:pPr>
        <w:ind w:left="4320" w:hanging="180"/>
      </w:pPr>
    </w:lvl>
    <w:lvl w:ilvl="6" w:tplc="AF3036FA">
      <w:start w:val="1"/>
      <w:numFmt w:val="decimal"/>
      <w:lvlText w:val="%7."/>
      <w:lvlJc w:val="left"/>
      <w:pPr>
        <w:ind w:left="5040" w:hanging="360"/>
      </w:pPr>
    </w:lvl>
    <w:lvl w:ilvl="7" w:tplc="7E4238EE">
      <w:start w:val="1"/>
      <w:numFmt w:val="lowerLetter"/>
      <w:lvlText w:val="%8."/>
      <w:lvlJc w:val="left"/>
      <w:pPr>
        <w:ind w:left="5760" w:hanging="360"/>
      </w:pPr>
    </w:lvl>
    <w:lvl w:ilvl="8" w:tplc="70169B1E">
      <w:start w:val="1"/>
      <w:numFmt w:val="lowerRoman"/>
      <w:lvlText w:val="%9."/>
      <w:lvlJc w:val="right"/>
      <w:pPr>
        <w:ind w:left="6480" w:hanging="180"/>
      </w:pPr>
    </w:lvl>
  </w:abstractNum>
  <w:abstractNum w:abstractNumId="343" w15:restartNumberingAfterBreak="0">
    <w:nsid w:val="7418F053"/>
    <w:multiLevelType w:val="hybridMultilevel"/>
    <w:tmpl w:val="FFFFFFFF"/>
    <w:lvl w:ilvl="0" w:tplc="324255A0">
      <w:start w:val="6"/>
      <w:numFmt w:val="lowerLetter"/>
      <w:lvlText w:val="%1)"/>
      <w:lvlJc w:val="left"/>
      <w:pPr>
        <w:ind w:left="720" w:hanging="360"/>
      </w:pPr>
    </w:lvl>
    <w:lvl w:ilvl="1" w:tplc="6ED424A6">
      <w:start w:val="1"/>
      <w:numFmt w:val="lowerLetter"/>
      <w:lvlText w:val="%2."/>
      <w:lvlJc w:val="left"/>
      <w:pPr>
        <w:ind w:left="1440" w:hanging="360"/>
      </w:pPr>
    </w:lvl>
    <w:lvl w:ilvl="2" w:tplc="5E78B99E">
      <w:start w:val="1"/>
      <w:numFmt w:val="lowerRoman"/>
      <w:lvlText w:val="%3."/>
      <w:lvlJc w:val="right"/>
      <w:pPr>
        <w:ind w:left="2160" w:hanging="180"/>
      </w:pPr>
    </w:lvl>
    <w:lvl w:ilvl="3" w:tplc="8BBE5F9C">
      <w:start w:val="1"/>
      <w:numFmt w:val="decimal"/>
      <w:lvlText w:val="%4."/>
      <w:lvlJc w:val="left"/>
      <w:pPr>
        <w:ind w:left="2880" w:hanging="360"/>
      </w:pPr>
    </w:lvl>
    <w:lvl w:ilvl="4" w:tplc="7730F3A0">
      <w:start w:val="1"/>
      <w:numFmt w:val="lowerLetter"/>
      <w:lvlText w:val="%5."/>
      <w:lvlJc w:val="left"/>
      <w:pPr>
        <w:ind w:left="3600" w:hanging="360"/>
      </w:pPr>
    </w:lvl>
    <w:lvl w:ilvl="5" w:tplc="F8B261F2">
      <w:start w:val="1"/>
      <w:numFmt w:val="lowerRoman"/>
      <w:lvlText w:val="%6."/>
      <w:lvlJc w:val="right"/>
      <w:pPr>
        <w:ind w:left="4320" w:hanging="180"/>
      </w:pPr>
    </w:lvl>
    <w:lvl w:ilvl="6" w:tplc="DB40AF08">
      <w:start w:val="1"/>
      <w:numFmt w:val="decimal"/>
      <w:lvlText w:val="%7."/>
      <w:lvlJc w:val="left"/>
      <w:pPr>
        <w:ind w:left="5040" w:hanging="360"/>
      </w:pPr>
    </w:lvl>
    <w:lvl w:ilvl="7" w:tplc="75B8AD0E">
      <w:start w:val="1"/>
      <w:numFmt w:val="lowerLetter"/>
      <w:lvlText w:val="%8."/>
      <w:lvlJc w:val="left"/>
      <w:pPr>
        <w:ind w:left="5760" w:hanging="360"/>
      </w:pPr>
    </w:lvl>
    <w:lvl w:ilvl="8" w:tplc="A31A9EF8">
      <w:start w:val="1"/>
      <w:numFmt w:val="lowerRoman"/>
      <w:lvlText w:val="%9."/>
      <w:lvlJc w:val="right"/>
      <w:pPr>
        <w:ind w:left="6480" w:hanging="180"/>
      </w:pPr>
    </w:lvl>
  </w:abstractNum>
  <w:abstractNum w:abstractNumId="344" w15:restartNumberingAfterBreak="0">
    <w:nsid w:val="74419238"/>
    <w:multiLevelType w:val="hybridMultilevel"/>
    <w:tmpl w:val="6CAEEFBA"/>
    <w:lvl w:ilvl="0" w:tplc="3E48AEE6">
      <w:start w:val="1"/>
      <w:numFmt w:val="bullet"/>
      <w:lvlText w:val="-"/>
      <w:lvlJc w:val="left"/>
      <w:pPr>
        <w:ind w:left="720" w:hanging="360"/>
      </w:pPr>
      <w:rPr>
        <w:rFonts w:ascii="Calibri" w:hAnsi="Calibri" w:hint="default"/>
      </w:rPr>
    </w:lvl>
    <w:lvl w:ilvl="1" w:tplc="2FC61D26">
      <w:start w:val="1"/>
      <w:numFmt w:val="bullet"/>
      <w:lvlText w:val="o"/>
      <w:lvlJc w:val="left"/>
      <w:pPr>
        <w:ind w:left="1440" w:hanging="360"/>
      </w:pPr>
      <w:rPr>
        <w:rFonts w:ascii="Courier New" w:hAnsi="Courier New" w:hint="default"/>
      </w:rPr>
    </w:lvl>
    <w:lvl w:ilvl="2" w:tplc="813EBE3C">
      <w:start w:val="1"/>
      <w:numFmt w:val="bullet"/>
      <w:lvlText w:val=""/>
      <w:lvlJc w:val="left"/>
      <w:pPr>
        <w:ind w:left="2160" w:hanging="360"/>
      </w:pPr>
      <w:rPr>
        <w:rFonts w:ascii="Wingdings" w:hAnsi="Wingdings" w:hint="default"/>
      </w:rPr>
    </w:lvl>
    <w:lvl w:ilvl="3" w:tplc="8740225C">
      <w:start w:val="1"/>
      <w:numFmt w:val="bullet"/>
      <w:lvlText w:val=""/>
      <w:lvlJc w:val="left"/>
      <w:pPr>
        <w:ind w:left="2880" w:hanging="360"/>
      </w:pPr>
      <w:rPr>
        <w:rFonts w:ascii="Symbol" w:hAnsi="Symbol" w:hint="default"/>
      </w:rPr>
    </w:lvl>
    <w:lvl w:ilvl="4" w:tplc="6C300A48">
      <w:start w:val="1"/>
      <w:numFmt w:val="bullet"/>
      <w:lvlText w:val="o"/>
      <w:lvlJc w:val="left"/>
      <w:pPr>
        <w:ind w:left="3600" w:hanging="360"/>
      </w:pPr>
      <w:rPr>
        <w:rFonts w:ascii="Courier New" w:hAnsi="Courier New" w:hint="default"/>
      </w:rPr>
    </w:lvl>
    <w:lvl w:ilvl="5" w:tplc="F0CA2100">
      <w:start w:val="1"/>
      <w:numFmt w:val="bullet"/>
      <w:lvlText w:val=""/>
      <w:lvlJc w:val="left"/>
      <w:pPr>
        <w:ind w:left="4320" w:hanging="360"/>
      </w:pPr>
      <w:rPr>
        <w:rFonts w:ascii="Wingdings" w:hAnsi="Wingdings" w:hint="default"/>
      </w:rPr>
    </w:lvl>
    <w:lvl w:ilvl="6" w:tplc="3DCAED72">
      <w:start w:val="1"/>
      <w:numFmt w:val="bullet"/>
      <w:lvlText w:val=""/>
      <w:lvlJc w:val="left"/>
      <w:pPr>
        <w:ind w:left="5040" w:hanging="360"/>
      </w:pPr>
      <w:rPr>
        <w:rFonts w:ascii="Symbol" w:hAnsi="Symbol" w:hint="default"/>
      </w:rPr>
    </w:lvl>
    <w:lvl w:ilvl="7" w:tplc="C900A70C">
      <w:start w:val="1"/>
      <w:numFmt w:val="bullet"/>
      <w:lvlText w:val="o"/>
      <w:lvlJc w:val="left"/>
      <w:pPr>
        <w:ind w:left="5760" w:hanging="360"/>
      </w:pPr>
      <w:rPr>
        <w:rFonts w:ascii="Courier New" w:hAnsi="Courier New" w:hint="default"/>
      </w:rPr>
    </w:lvl>
    <w:lvl w:ilvl="8" w:tplc="E1DC3FEE">
      <w:start w:val="1"/>
      <w:numFmt w:val="bullet"/>
      <w:lvlText w:val=""/>
      <w:lvlJc w:val="left"/>
      <w:pPr>
        <w:ind w:left="6480" w:hanging="360"/>
      </w:pPr>
      <w:rPr>
        <w:rFonts w:ascii="Wingdings" w:hAnsi="Wingdings" w:hint="default"/>
      </w:rPr>
    </w:lvl>
  </w:abstractNum>
  <w:abstractNum w:abstractNumId="345" w15:restartNumberingAfterBreak="0">
    <w:nsid w:val="74606597"/>
    <w:multiLevelType w:val="hybridMultilevel"/>
    <w:tmpl w:val="F1503F72"/>
    <w:lvl w:ilvl="0" w:tplc="42B8E8C2">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6" w15:restartNumberingAfterBreak="0">
    <w:nsid w:val="74785DB5"/>
    <w:multiLevelType w:val="hybridMultilevel"/>
    <w:tmpl w:val="FFFFFFFF"/>
    <w:lvl w:ilvl="0" w:tplc="7AEC5758">
      <w:start w:val="3"/>
      <w:numFmt w:val="decimal"/>
      <w:lvlText w:val="%1."/>
      <w:lvlJc w:val="left"/>
      <w:pPr>
        <w:ind w:left="720" w:hanging="360"/>
      </w:pPr>
    </w:lvl>
    <w:lvl w:ilvl="1" w:tplc="62F6D7A4">
      <w:start w:val="1"/>
      <w:numFmt w:val="lowerLetter"/>
      <w:lvlText w:val="%2."/>
      <w:lvlJc w:val="left"/>
      <w:pPr>
        <w:ind w:left="1440" w:hanging="360"/>
      </w:pPr>
    </w:lvl>
    <w:lvl w:ilvl="2" w:tplc="4030CE66">
      <w:start w:val="1"/>
      <w:numFmt w:val="lowerRoman"/>
      <w:lvlText w:val="%3."/>
      <w:lvlJc w:val="right"/>
      <w:pPr>
        <w:ind w:left="2160" w:hanging="180"/>
      </w:pPr>
    </w:lvl>
    <w:lvl w:ilvl="3" w:tplc="ADD2D572">
      <w:start w:val="1"/>
      <w:numFmt w:val="decimal"/>
      <w:lvlText w:val="%4."/>
      <w:lvlJc w:val="left"/>
      <w:pPr>
        <w:ind w:left="2880" w:hanging="360"/>
      </w:pPr>
    </w:lvl>
    <w:lvl w:ilvl="4" w:tplc="2BF24548">
      <w:start w:val="1"/>
      <w:numFmt w:val="lowerLetter"/>
      <w:lvlText w:val="%5."/>
      <w:lvlJc w:val="left"/>
      <w:pPr>
        <w:ind w:left="3600" w:hanging="360"/>
      </w:pPr>
    </w:lvl>
    <w:lvl w:ilvl="5" w:tplc="4D483490">
      <w:start w:val="1"/>
      <w:numFmt w:val="lowerRoman"/>
      <w:lvlText w:val="%6."/>
      <w:lvlJc w:val="right"/>
      <w:pPr>
        <w:ind w:left="4320" w:hanging="180"/>
      </w:pPr>
    </w:lvl>
    <w:lvl w:ilvl="6" w:tplc="0166FFDE">
      <w:start w:val="1"/>
      <w:numFmt w:val="decimal"/>
      <w:lvlText w:val="%7."/>
      <w:lvlJc w:val="left"/>
      <w:pPr>
        <w:ind w:left="5040" w:hanging="360"/>
      </w:pPr>
    </w:lvl>
    <w:lvl w:ilvl="7" w:tplc="9D44A704">
      <w:start w:val="1"/>
      <w:numFmt w:val="lowerLetter"/>
      <w:lvlText w:val="%8."/>
      <w:lvlJc w:val="left"/>
      <w:pPr>
        <w:ind w:left="5760" w:hanging="360"/>
      </w:pPr>
    </w:lvl>
    <w:lvl w:ilvl="8" w:tplc="BB66E4B0">
      <w:start w:val="1"/>
      <w:numFmt w:val="lowerRoman"/>
      <w:lvlText w:val="%9."/>
      <w:lvlJc w:val="right"/>
      <w:pPr>
        <w:ind w:left="6480" w:hanging="180"/>
      </w:pPr>
    </w:lvl>
  </w:abstractNum>
  <w:abstractNum w:abstractNumId="347" w15:restartNumberingAfterBreak="0">
    <w:nsid w:val="76C1C95E"/>
    <w:multiLevelType w:val="hybridMultilevel"/>
    <w:tmpl w:val="FFFFFFFF"/>
    <w:lvl w:ilvl="0" w:tplc="B6CAF5BA">
      <w:start w:val="1"/>
      <w:numFmt w:val="decimal"/>
      <w:lvlText w:val="%1."/>
      <w:lvlJc w:val="left"/>
      <w:pPr>
        <w:ind w:left="720" w:hanging="360"/>
      </w:pPr>
    </w:lvl>
    <w:lvl w:ilvl="1" w:tplc="6BF65B60">
      <w:start w:val="2"/>
      <w:numFmt w:val="lowerRoman"/>
      <w:lvlText w:val="%2."/>
      <w:lvlJc w:val="right"/>
      <w:pPr>
        <w:ind w:left="1080" w:hanging="360"/>
      </w:pPr>
    </w:lvl>
    <w:lvl w:ilvl="2" w:tplc="DCB83C0E">
      <w:start w:val="1"/>
      <w:numFmt w:val="lowerRoman"/>
      <w:lvlText w:val="%3."/>
      <w:lvlJc w:val="right"/>
      <w:pPr>
        <w:ind w:left="2160" w:hanging="180"/>
      </w:pPr>
    </w:lvl>
    <w:lvl w:ilvl="3" w:tplc="683676F2">
      <w:start w:val="1"/>
      <w:numFmt w:val="decimal"/>
      <w:lvlText w:val="%4."/>
      <w:lvlJc w:val="left"/>
      <w:pPr>
        <w:ind w:left="2880" w:hanging="360"/>
      </w:pPr>
    </w:lvl>
    <w:lvl w:ilvl="4" w:tplc="AB767EA2">
      <w:start w:val="1"/>
      <w:numFmt w:val="lowerLetter"/>
      <w:lvlText w:val="%5."/>
      <w:lvlJc w:val="left"/>
      <w:pPr>
        <w:ind w:left="3600" w:hanging="360"/>
      </w:pPr>
    </w:lvl>
    <w:lvl w:ilvl="5" w:tplc="691E026A">
      <w:start w:val="1"/>
      <w:numFmt w:val="lowerRoman"/>
      <w:lvlText w:val="%6."/>
      <w:lvlJc w:val="right"/>
      <w:pPr>
        <w:ind w:left="4320" w:hanging="180"/>
      </w:pPr>
    </w:lvl>
    <w:lvl w:ilvl="6" w:tplc="1CC2ADCE">
      <w:start w:val="1"/>
      <w:numFmt w:val="decimal"/>
      <w:lvlText w:val="%7."/>
      <w:lvlJc w:val="left"/>
      <w:pPr>
        <w:ind w:left="5040" w:hanging="360"/>
      </w:pPr>
    </w:lvl>
    <w:lvl w:ilvl="7" w:tplc="59A440C2">
      <w:start w:val="1"/>
      <w:numFmt w:val="lowerLetter"/>
      <w:lvlText w:val="%8."/>
      <w:lvlJc w:val="left"/>
      <w:pPr>
        <w:ind w:left="5760" w:hanging="360"/>
      </w:pPr>
    </w:lvl>
    <w:lvl w:ilvl="8" w:tplc="C8D09002">
      <w:start w:val="1"/>
      <w:numFmt w:val="lowerRoman"/>
      <w:lvlText w:val="%9."/>
      <w:lvlJc w:val="right"/>
      <w:pPr>
        <w:ind w:left="6480" w:hanging="180"/>
      </w:pPr>
    </w:lvl>
  </w:abstractNum>
  <w:abstractNum w:abstractNumId="348" w15:restartNumberingAfterBreak="0">
    <w:nsid w:val="76E971E5"/>
    <w:multiLevelType w:val="hybridMultilevel"/>
    <w:tmpl w:val="FFFFFFFF"/>
    <w:lvl w:ilvl="0" w:tplc="CF36D26E">
      <w:start w:val="1"/>
      <w:numFmt w:val="decimal"/>
      <w:lvlText w:val="%1."/>
      <w:lvlJc w:val="left"/>
      <w:pPr>
        <w:ind w:left="720" w:hanging="360"/>
      </w:pPr>
    </w:lvl>
    <w:lvl w:ilvl="1" w:tplc="3F724488">
      <w:start w:val="4"/>
      <w:numFmt w:val="lowerRoman"/>
      <w:lvlText w:val="%2."/>
      <w:lvlJc w:val="right"/>
      <w:pPr>
        <w:ind w:left="1080" w:hanging="360"/>
      </w:pPr>
    </w:lvl>
    <w:lvl w:ilvl="2" w:tplc="9128469C">
      <w:start w:val="1"/>
      <w:numFmt w:val="lowerRoman"/>
      <w:lvlText w:val="%3."/>
      <w:lvlJc w:val="right"/>
      <w:pPr>
        <w:ind w:left="2160" w:hanging="180"/>
      </w:pPr>
    </w:lvl>
    <w:lvl w:ilvl="3" w:tplc="1F1830FC">
      <w:start w:val="1"/>
      <w:numFmt w:val="decimal"/>
      <w:lvlText w:val="%4."/>
      <w:lvlJc w:val="left"/>
      <w:pPr>
        <w:ind w:left="2880" w:hanging="360"/>
      </w:pPr>
    </w:lvl>
    <w:lvl w:ilvl="4" w:tplc="B8EE287E">
      <w:start w:val="1"/>
      <w:numFmt w:val="lowerLetter"/>
      <w:lvlText w:val="%5."/>
      <w:lvlJc w:val="left"/>
      <w:pPr>
        <w:ind w:left="3600" w:hanging="360"/>
      </w:pPr>
    </w:lvl>
    <w:lvl w:ilvl="5" w:tplc="C1F8C128">
      <w:start w:val="1"/>
      <w:numFmt w:val="lowerRoman"/>
      <w:lvlText w:val="%6."/>
      <w:lvlJc w:val="right"/>
      <w:pPr>
        <w:ind w:left="4320" w:hanging="180"/>
      </w:pPr>
    </w:lvl>
    <w:lvl w:ilvl="6" w:tplc="B8760906">
      <w:start w:val="1"/>
      <w:numFmt w:val="decimal"/>
      <w:lvlText w:val="%7."/>
      <w:lvlJc w:val="left"/>
      <w:pPr>
        <w:ind w:left="5040" w:hanging="360"/>
      </w:pPr>
    </w:lvl>
    <w:lvl w:ilvl="7" w:tplc="8F6EE8F8">
      <w:start w:val="1"/>
      <w:numFmt w:val="lowerLetter"/>
      <w:lvlText w:val="%8."/>
      <w:lvlJc w:val="left"/>
      <w:pPr>
        <w:ind w:left="5760" w:hanging="360"/>
      </w:pPr>
    </w:lvl>
    <w:lvl w:ilvl="8" w:tplc="254EA9AE">
      <w:start w:val="1"/>
      <w:numFmt w:val="lowerRoman"/>
      <w:lvlText w:val="%9."/>
      <w:lvlJc w:val="right"/>
      <w:pPr>
        <w:ind w:left="6480" w:hanging="180"/>
      </w:pPr>
    </w:lvl>
  </w:abstractNum>
  <w:abstractNum w:abstractNumId="349" w15:restartNumberingAfterBreak="0">
    <w:nsid w:val="76F1B429"/>
    <w:multiLevelType w:val="hybridMultilevel"/>
    <w:tmpl w:val="625256E0"/>
    <w:lvl w:ilvl="0" w:tplc="64FCAB3A">
      <w:start w:val="1"/>
      <w:numFmt w:val="decimal"/>
      <w:lvlText w:val="%1."/>
      <w:lvlJc w:val="left"/>
      <w:pPr>
        <w:ind w:left="720" w:hanging="360"/>
      </w:pPr>
    </w:lvl>
    <w:lvl w:ilvl="1" w:tplc="6360E9AC">
      <w:start w:val="1"/>
      <w:numFmt w:val="lowerLetter"/>
      <w:lvlText w:val="%2."/>
      <w:lvlJc w:val="left"/>
      <w:pPr>
        <w:ind w:left="1440" w:hanging="360"/>
      </w:pPr>
    </w:lvl>
    <w:lvl w:ilvl="2" w:tplc="FF3EA83E">
      <w:start w:val="1"/>
      <w:numFmt w:val="lowerRoman"/>
      <w:lvlText w:val="%3."/>
      <w:lvlJc w:val="right"/>
      <w:pPr>
        <w:ind w:left="2160" w:hanging="180"/>
      </w:pPr>
    </w:lvl>
    <w:lvl w:ilvl="3" w:tplc="CD828D86">
      <w:start w:val="1"/>
      <w:numFmt w:val="decimal"/>
      <w:lvlText w:val="%4."/>
      <w:lvlJc w:val="left"/>
      <w:pPr>
        <w:ind w:left="2880" w:hanging="360"/>
      </w:pPr>
    </w:lvl>
    <w:lvl w:ilvl="4" w:tplc="BFAA806C">
      <w:start w:val="1"/>
      <w:numFmt w:val="lowerLetter"/>
      <w:lvlText w:val="%5."/>
      <w:lvlJc w:val="left"/>
      <w:pPr>
        <w:ind w:left="3600" w:hanging="360"/>
      </w:pPr>
    </w:lvl>
    <w:lvl w:ilvl="5" w:tplc="16BEFB38">
      <w:start w:val="1"/>
      <w:numFmt w:val="lowerRoman"/>
      <w:lvlText w:val="%6."/>
      <w:lvlJc w:val="right"/>
      <w:pPr>
        <w:ind w:left="4320" w:hanging="180"/>
      </w:pPr>
    </w:lvl>
    <w:lvl w:ilvl="6" w:tplc="48ECD474">
      <w:start w:val="1"/>
      <w:numFmt w:val="decimal"/>
      <w:lvlText w:val="%7."/>
      <w:lvlJc w:val="left"/>
      <w:pPr>
        <w:ind w:left="5040" w:hanging="360"/>
      </w:pPr>
    </w:lvl>
    <w:lvl w:ilvl="7" w:tplc="22043C24">
      <w:start w:val="1"/>
      <w:numFmt w:val="lowerLetter"/>
      <w:lvlText w:val="%8."/>
      <w:lvlJc w:val="left"/>
      <w:pPr>
        <w:ind w:left="5760" w:hanging="360"/>
      </w:pPr>
    </w:lvl>
    <w:lvl w:ilvl="8" w:tplc="A888EC34">
      <w:start w:val="1"/>
      <w:numFmt w:val="lowerRoman"/>
      <w:lvlText w:val="%9."/>
      <w:lvlJc w:val="right"/>
      <w:pPr>
        <w:ind w:left="6480" w:hanging="180"/>
      </w:pPr>
    </w:lvl>
  </w:abstractNum>
  <w:abstractNum w:abstractNumId="350" w15:restartNumberingAfterBreak="0">
    <w:nsid w:val="77181A2A"/>
    <w:multiLevelType w:val="hybridMultilevel"/>
    <w:tmpl w:val="AEB87440"/>
    <w:lvl w:ilvl="0" w:tplc="FFFFFFFF">
      <w:start w:val="1"/>
      <w:numFmt w:val="bullet"/>
      <w:lvlText w:val=""/>
      <w:lvlJc w:val="left"/>
      <w:pPr>
        <w:ind w:left="720" w:hanging="360"/>
      </w:pPr>
      <w:rPr>
        <w:rFonts w:ascii="Symbol" w:hAnsi="Symbol" w:hint="default"/>
        <w:b/>
        <w:bCs/>
      </w:rPr>
    </w:lvl>
    <w:lvl w:ilvl="1" w:tplc="1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7764CFFB"/>
    <w:multiLevelType w:val="hybridMultilevel"/>
    <w:tmpl w:val="FFFFFFFF"/>
    <w:lvl w:ilvl="0" w:tplc="9C366E6E">
      <w:start w:val="1"/>
      <w:numFmt w:val="decimal"/>
      <w:lvlText w:val="%1."/>
      <w:lvlJc w:val="left"/>
      <w:pPr>
        <w:ind w:left="720" w:hanging="360"/>
      </w:pPr>
    </w:lvl>
    <w:lvl w:ilvl="1" w:tplc="D8F23E48">
      <w:start w:val="1"/>
      <w:numFmt w:val="lowerLetter"/>
      <w:lvlText w:val="%2."/>
      <w:lvlJc w:val="left"/>
      <w:pPr>
        <w:ind w:left="1440" w:hanging="360"/>
      </w:pPr>
    </w:lvl>
    <w:lvl w:ilvl="2" w:tplc="B3DC986C">
      <w:start w:val="1"/>
      <w:numFmt w:val="lowerRoman"/>
      <w:lvlText w:val="%3."/>
      <w:lvlJc w:val="right"/>
      <w:pPr>
        <w:ind w:left="2160" w:hanging="180"/>
      </w:pPr>
    </w:lvl>
    <w:lvl w:ilvl="3" w:tplc="D6447AA0">
      <w:start w:val="1"/>
      <w:numFmt w:val="decimal"/>
      <w:lvlText w:val="%4."/>
      <w:lvlJc w:val="left"/>
      <w:pPr>
        <w:ind w:left="2880" w:hanging="360"/>
      </w:pPr>
    </w:lvl>
    <w:lvl w:ilvl="4" w:tplc="D6F28688">
      <w:start w:val="1"/>
      <w:numFmt w:val="lowerLetter"/>
      <w:lvlText w:val="%5."/>
      <w:lvlJc w:val="left"/>
      <w:pPr>
        <w:ind w:left="3600" w:hanging="360"/>
      </w:pPr>
    </w:lvl>
    <w:lvl w:ilvl="5" w:tplc="77A0D368">
      <w:start w:val="1"/>
      <w:numFmt w:val="lowerRoman"/>
      <w:lvlText w:val="%6."/>
      <w:lvlJc w:val="right"/>
      <w:pPr>
        <w:ind w:left="4320" w:hanging="180"/>
      </w:pPr>
    </w:lvl>
    <w:lvl w:ilvl="6" w:tplc="C04E0DE6">
      <w:start w:val="1"/>
      <w:numFmt w:val="decimal"/>
      <w:lvlText w:val="%7."/>
      <w:lvlJc w:val="left"/>
      <w:pPr>
        <w:ind w:left="5040" w:hanging="360"/>
      </w:pPr>
    </w:lvl>
    <w:lvl w:ilvl="7" w:tplc="87041FE6">
      <w:start w:val="1"/>
      <w:numFmt w:val="lowerLetter"/>
      <w:lvlText w:val="%8."/>
      <w:lvlJc w:val="left"/>
      <w:pPr>
        <w:ind w:left="5760" w:hanging="360"/>
      </w:pPr>
    </w:lvl>
    <w:lvl w:ilvl="8" w:tplc="1580505E">
      <w:start w:val="1"/>
      <w:numFmt w:val="lowerRoman"/>
      <w:lvlText w:val="%9."/>
      <w:lvlJc w:val="right"/>
      <w:pPr>
        <w:ind w:left="6480" w:hanging="180"/>
      </w:pPr>
    </w:lvl>
  </w:abstractNum>
  <w:abstractNum w:abstractNumId="352" w15:restartNumberingAfterBreak="0">
    <w:nsid w:val="77BCB891"/>
    <w:multiLevelType w:val="hybridMultilevel"/>
    <w:tmpl w:val="FFFFFFFF"/>
    <w:lvl w:ilvl="0" w:tplc="9DAEC050">
      <w:start w:val="1"/>
      <w:numFmt w:val="lowerLetter"/>
      <w:lvlText w:val="%1)"/>
      <w:lvlJc w:val="left"/>
      <w:pPr>
        <w:ind w:left="720" w:hanging="360"/>
      </w:pPr>
    </w:lvl>
    <w:lvl w:ilvl="1" w:tplc="2D00DF78">
      <w:start w:val="1"/>
      <w:numFmt w:val="lowerLetter"/>
      <w:lvlText w:val="%2."/>
      <w:lvlJc w:val="left"/>
      <w:pPr>
        <w:ind w:left="1440" w:hanging="360"/>
      </w:pPr>
    </w:lvl>
    <w:lvl w:ilvl="2" w:tplc="B23E7566">
      <w:start w:val="1"/>
      <w:numFmt w:val="lowerRoman"/>
      <w:lvlText w:val="%3."/>
      <w:lvlJc w:val="right"/>
      <w:pPr>
        <w:ind w:left="2160" w:hanging="180"/>
      </w:pPr>
    </w:lvl>
    <w:lvl w:ilvl="3" w:tplc="64C6771A">
      <w:start w:val="1"/>
      <w:numFmt w:val="decimal"/>
      <w:lvlText w:val="%4."/>
      <w:lvlJc w:val="left"/>
      <w:pPr>
        <w:ind w:left="2880" w:hanging="360"/>
      </w:pPr>
    </w:lvl>
    <w:lvl w:ilvl="4" w:tplc="8ABCEDCA">
      <w:start w:val="1"/>
      <w:numFmt w:val="lowerLetter"/>
      <w:lvlText w:val="%5."/>
      <w:lvlJc w:val="left"/>
      <w:pPr>
        <w:ind w:left="3600" w:hanging="360"/>
      </w:pPr>
    </w:lvl>
    <w:lvl w:ilvl="5" w:tplc="DEC275FE">
      <w:start w:val="1"/>
      <w:numFmt w:val="lowerRoman"/>
      <w:lvlText w:val="%6."/>
      <w:lvlJc w:val="right"/>
      <w:pPr>
        <w:ind w:left="4320" w:hanging="180"/>
      </w:pPr>
    </w:lvl>
    <w:lvl w:ilvl="6" w:tplc="F998FCE8">
      <w:start w:val="1"/>
      <w:numFmt w:val="decimal"/>
      <w:lvlText w:val="%7."/>
      <w:lvlJc w:val="left"/>
      <w:pPr>
        <w:ind w:left="5040" w:hanging="360"/>
      </w:pPr>
    </w:lvl>
    <w:lvl w:ilvl="7" w:tplc="E9E8F15C">
      <w:start w:val="1"/>
      <w:numFmt w:val="lowerLetter"/>
      <w:lvlText w:val="%8."/>
      <w:lvlJc w:val="left"/>
      <w:pPr>
        <w:ind w:left="5760" w:hanging="360"/>
      </w:pPr>
    </w:lvl>
    <w:lvl w:ilvl="8" w:tplc="F16070D0">
      <w:start w:val="1"/>
      <w:numFmt w:val="lowerRoman"/>
      <w:lvlText w:val="%9."/>
      <w:lvlJc w:val="right"/>
      <w:pPr>
        <w:ind w:left="6480" w:hanging="180"/>
      </w:pPr>
    </w:lvl>
  </w:abstractNum>
  <w:abstractNum w:abstractNumId="353" w15:restartNumberingAfterBreak="0">
    <w:nsid w:val="78602C90"/>
    <w:multiLevelType w:val="hybridMultilevel"/>
    <w:tmpl w:val="FFFFFFFF"/>
    <w:lvl w:ilvl="0" w:tplc="3120FD8E">
      <w:start w:val="6"/>
      <w:numFmt w:val="lowerRoman"/>
      <w:lvlText w:val="%1."/>
      <w:lvlJc w:val="right"/>
      <w:pPr>
        <w:ind w:left="1080" w:hanging="360"/>
      </w:pPr>
    </w:lvl>
    <w:lvl w:ilvl="1" w:tplc="E45AE08C">
      <w:start w:val="1"/>
      <w:numFmt w:val="lowerLetter"/>
      <w:lvlText w:val="%2."/>
      <w:lvlJc w:val="left"/>
      <w:pPr>
        <w:ind w:left="1440" w:hanging="360"/>
      </w:pPr>
    </w:lvl>
    <w:lvl w:ilvl="2" w:tplc="0A8A9146">
      <w:start w:val="1"/>
      <w:numFmt w:val="lowerRoman"/>
      <w:lvlText w:val="%3."/>
      <w:lvlJc w:val="right"/>
      <w:pPr>
        <w:ind w:left="2160" w:hanging="180"/>
      </w:pPr>
    </w:lvl>
    <w:lvl w:ilvl="3" w:tplc="CDE665A6">
      <w:start w:val="1"/>
      <w:numFmt w:val="decimal"/>
      <w:lvlText w:val="%4."/>
      <w:lvlJc w:val="left"/>
      <w:pPr>
        <w:ind w:left="2880" w:hanging="360"/>
      </w:pPr>
    </w:lvl>
    <w:lvl w:ilvl="4" w:tplc="1CBEEDC2">
      <w:start w:val="1"/>
      <w:numFmt w:val="lowerLetter"/>
      <w:lvlText w:val="%5."/>
      <w:lvlJc w:val="left"/>
      <w:pPr>
        <w:ind w:left="3600" w:hanging="360"/>
      </w:pPr>
    </w:lvl>
    <w:lvl w:ilvl="5" w:tplc="AFF60E16">
      <w:start w:val="1"/>
      <w:numFmt w:val="lowerRoman"/>
      <w:lvlText w:val="%6."/>
      <w:lvlJc w:val="right"/>
      <w:pPr>
        <w:ind w:left="4320" w:hanging="180"/>
      </w:pPr>
    </w:lvl>
    <w:lvl w:ilvl="6" w:tplc="E488DFEA">
      <w:start w:val="1"/>
      <w:numFmt w:val="decimal"/>
      <w:lvlText w:val="%7."/>
      <w:lvlJc w:val="left"/>
      <w:pPr>
        <w:ind w:left="5040" w:hanging="360"/>
      </w:pPr>
    </w:lvl>
    <w:lvl w:ilvl="7" w:tplc="955EADAE">
      <w:start w:val="1"/>
      <w:numFmt w:val="lowerLetter"/>
      <w:lvlText w:val="%8."/>
      <w:lvlJc w:val="left"/>
      <w:pPr>
        <w:ind w:left="5760" w:hanging="360"/>
      </w:pPr>
    </w:lvl>
    <w:lvl w:ilvl="8" w:tplc="8DC6742C">
      <w:start w:val="1"/>
      <w:numFmt w:val="lowerRoman"/>
      <w:lvlText w:val="%9."/>
      <w:lvlJc w:val="right"/>
      <w:pPr>
        <w:ind w:left="6480" w:hanging="180"/>
      </w:pPr>
    </w:lvl>
  </w:abstractNum>
  <w:abstractNum w:abstractNumId="354" w15:restartNumberingAfterBreak="0">
    <w:nsid w:val="78A5A11B"/>
    <w:multiLevelType w:val="hybridMultilevel"/>
    <w:tmpl w:val="FFFFFFFF"/>
    <w:lvl w:ilvl="0" w:tplc="E9E807AC">
      <w:start w:val="1"/>
      <w:numFmt w:val="bullet"/>
      <w:lvlText w:val="·"/>
      <w:lvlJc w:val="left"/>
      <w:pPr>
        <w:ind w:left="720" w:hanging="360"/>
      </w:pPr>
      <w:rPr>
        <w:rFonts w:ascii="Symbol" w:hAnsi="Symbol" w:hint="default"/>
      </w:rPr>
    </w:lvl>
    <w:lvl w:ilvl="1" w:tplc="B4BAEF82">
      <w:start w:val="1"/>
      <w:numFmt w:val="bullet"/>
      <w:lvlText w:val="o"/>
      <w:lvlJc w:val="left"/>
      <w:pPr>
        <w:ind w:left="1440" w:hanging="360"/>
      </w:pPr>
      <w:rPr>
        <w:rFonts w:ascii="Courier New" w:hAnsi="Courier New" w:hint="default"/>
      </w:rPr>
    </w:lvl>
    <w:lvl w:ilvl="2" w:tplc="16F051D4">
      <w:start w:val="1"/>
      <w:numFmt w:val="bullet"/>
      <w:lvlText w:val=""/>
      <w:lvlJc w:val="left"/>
      <w:pPr>
        <w:ind w:left="2160" w:hanging="360"/>
      </w:pPr>
      <w:rPr>
        <w:rFonts w:ascii="Wingdings" w:hAnsi="Wingdings" w:hint="default"/>
      </w:rPr>
    </w:lvl>
    <w:lvl w:ilvl="3" w:tplc="C58E68E6">
      <w:start w:val="1"/>
      <w:numFmt w:val="bullet"/>
      <w:lvlText w:val=""/>
      <w:lvlJc w:val="left"/>
      <w:pPr>
        <w:ind w:left="2880" w:hanging="360"/>
      </w:pPr>
      <w:rPr>
        <w:rFonts w:ascii="Symbol" w:hAnsi="Symbol" w:hint="default"/>
      </w:rPr>
    </w:lvl>
    <w:lvl w:ilvl="4" w:tplc="D9BA3ABE">
      <w:start w:val="1"/>
      <w:numFmt w:val="bullet"/>
      <w:lvlText w:val="o"/>
      <w:lvlJc w:val="left"/>
      <w:pPr>
        <w:ind w:left="3600" w:hanging="360"/>
      </w:pPr>
      <w:rPr>
        <w:rFonts w:ascii="Courier New" w:hAnsi="Courier New" w:hint="default"/>
      </w:rPr>
    </w:lvl>
    <w:lvl w:ilvl="5" w:tplc="072217C4">
      <w:start w:val="1"/>
      <w:numFmt w:val="bullet"/>
      <w:lvlText w:val=""/>
      <w:lvlJc w:val="left"/>
      <w:pPr>
        <w:ind w:left="4320" w:hanging="360"/>
      </w:pPr>
      <w:rPr>
        <w:rFonts w:ascii="Wingdings" w:hAnsi="Wingdings" w:hint="default"/>
      </w:rPr>
    </w:lvl>
    <w:lvl w:ilvl="6" w:tplc="1BCE1B38">
      <w:start w:val="1"/>
      <w:numFmt w:val="bullet"/>
      <w:lvlText w:val=""/>
      <w:lvlJc w:val="left"/>
      <w:pPr>
        <w:ind w:left="5040" w:hanging="360"/>
      </w:pPr>
      <w:rPr>
        <w:rFonts w:ascii="Symbol" w:hAnsi="Symbol" w:hint="default"/>
      </w:rPr>
    </w:lvl>
    <w:lvl w:ilvl="7" w:tplc="A5124CFE">
      <w:start w:val="1"/>
      <w:numFmt w:val="bullet"/>
      <w:lvlText w:val="o"/>
      <w:lvlJc w:val="left"/>
      <w:pPr>
        <w:ind w:left="5760" w:hanging="360"/>
      </w:pPr>
      <w:rPr>
        <w:rFonts w:ascii="Courier New" w:hAnsi="Courier New" w:hint="default"/>
      </w:rPr>
    </w:lvl>
    <w:lvl w:ilvl="8" w:tplc="19BED146">
      <w:start w:val="1"/>
      <w:numFmt w:val="bullet"/>
      <w:lvlText w:val=""/>
      <w:lvlJc w:val="left"/>
      <w:pPr>
        <w:ind w:left="6480" w:hanging="360"/>
      </w:pPr>
      <w:rPr>
        <w:rFonts w:ascii="Wingdings" w:hAnsi="Wingdings" w:hint="default"/>
      </w:rPr>
    </w:lvl>
  </w:abstractNum>
  <w:abstractNum w:abstractNumId="355" w15:restartNumberingAfterBreak="0">
    <w:nsid w:val="798445FD"/>
    <w:multiLevelType w:val="hybridMultilevel"/>
    <w:tmpl w:val="FFFFFFFF"/>
    <w:lvl w:ilvl="0" w:tplc="E6FE53F0">
      <w:start w:val="1"/>
      <w:numFmt w:val="lowerRoman"/>
      <w:lvlText w:val="%1."/>
      <w:lvlJc w:val="right"/>
      <w:pPr>
        <w:ind w:left="1080" w:hanging="360"/>
      </w:pPr>
    </w:lvl>
    <w:lvl w:ilvl="1" w:tplc="B0788A3A">
      <w:start w:val="1"/>
      <w:numFmt w:val="lowerLetter"/>
      <w:lvlText w:val="%2."/>
      <w:lvlJc w:val="left"/>
      <w:pPr>
        <w:ind w:left="1440" w:hanging="360"/>
      </w:pPr>
    </w:lvl>
    <w:lvl w:ilvl="2" w:tplc="687E41C8">
      <w:start w:val="1"/>
      <w:numFmt w:val="lowerRoman"/>
      <w:lvlText w:val="%3."/>
      <w:lvlJc w:val="right"/>
      <w:pPr>
        <w:ind w:left="2160" w:hanging="180"/>
      </w:pPr>
    </w:lvl>
    <w:lvl w:ilvl="3" w:tplc="E21E339C">
      <w:start w:val="1"/>
      <w:numFmt w:val="decimal"/>
      <w:lvlText w:val="%4."/>
      <w:lvlJc w:val="left"/>
      <w:pPr>
        <w:ind w:left="2880" w:hanging="360"/>
      </w:pPr>
    </w:lvl>
    <w:lvl w:ilvl="4" w:tplc="6E669FE2">
      <w:start w:val="1"/>
      <w:numFmt w:val="lowerLetter"/>
      <w:lvlText w:val="%5."/>
      <w:lvlJc w:val="left"/>
      <w:pPr>
        <w:ind w:left="3600" w:hanging="360"/>
      </w:pPr>
    </w:lvl>
    <w:lvl w:ilvl="5" w:tplc="4112A366">
      <w:start w:val="1"/>
      <w:numFmt w:val="lowerRoman"/>
      <w:lvlText w:val="%6."/>
      <w:lvlJc w:val="right"/>
      <w:pPr>
        <w:ind w:left="4320" w:hanging="180"/>
      </w:pPr>
    </w:lvl>
    <w:lvl w:ilvl="6" w:tplc="EE387CA6">
      <w:start w:val="1"/>
      <w:numFmt w:val="decimal"/>
      <w:lvlText w:val="%7."/>
      <w:lvlJc w:val="left"/>
      <w:pPr>
        <w:ind w:left="5040" w:hanging="360"/>
      </w:pPr>
    </w:lvl>
    <w:lvl w:ilvl="7" w:tplc="6A3C0952">
      <w:start w:val="1"/>
      <w:numFmt w:val="lowerLetter"/>
      <w:lvlText w:val="%8."/>
      <w:lvlJc w:val="left"/>
      <w:pPr>
        <w:ind w:left="5760" w:hanging="360"/>
      </w:pPr>
    </w:lvl>
    <w:lvl w:ilvl="8" w:tplc="0CA447E0">
      <w:start w:val="1"/>
      <w:numFmt w:val="lowerRoman"/>
      <w:lvlText w:val="%9."/>
      <w:lvlJc w:val="right"/>
      <w:pPr>
        <w:ind w:left="6480" w:hanging="180"/>
      </w:pPr>
    </w:lvl>
  </w:abstractNum>
  <w:abstractNum w:abstractNumId="356" w15:restartNumberingAfterBreak="0">
    <w:nsid w:val="79E0F9EE"/>
    <w:multiLevelType w:val="hybridMultilevel"/>
    <w:tmpl w:val="FFFFFFFF"/>
    <w:lvl w:ilvl="0" w:tplc="258CB564">
      <w:start w:val="5"/>
      <w:numFmt w:val="decimal"/>
      <w:lvlText w:val="%1."/>
      <w:lvlJc w:val="left"/>
      <w:pPr>
        <w:ind w:left="720" w:hanging="360"/>
      </w:pPr>
    </w:lvl>
    <w:lvl w:ilvl="1" w:tplc="3E886A12">
      <w:start w:val="1"/>
      <w:numFmt w:val="lowerLetter"/>
      <w:lvlText w:val="%2."/>
      <w:lvlJc w:val="left"/>
      <w:pPr>
        <w:ind w:left="1440" w:hanging="360"/>
      </w:pPr>
    </w:lvl>
    <w:lvl w:ilvl="2" w:tplc="9C5034CE">
      <w:start w:val="1"/>
      <w:numFmt w:val="lowerRoman"/>
      <w:lvlText w:val="%3."/>
      <w:lvlJc w:val="right"/>
      <w:pPr>
        <w:ind w:left="2160" w:hanging="180"/>
      </w:pPr>
    </w:lvl>
    <w:lvl w:ilvl="3" w:tplc="10922802">
      <w:start w:val="1"/>
      <w:numFmt w:val="decimal"/>
      <w:lvlText w:val="%4."/>
      <w:lvlJc w:val="left"/>
      <w:pPr>
        <w:ind w:left="2880" w:hanging="360"/>
      </w:pPr>
    </w:lvl>
    <w:lvl w:ilvl="4" w:tplc="1F5EE29C">
      <w:start w:val="1"/>
      <w:numFmt w:val="lowerLetter"/>
      <w:lvlText w:val="%5."/>
      <w:lvlJc w:val="left"/>
      <w:pPr>
        <w:ind w:left="3600" w:hanging="360"/>
      </w:pPr>
    </w:lvl>
    <w:lvl w:ilvl="5" w:tplc="04D8537C">
      <w:start w:val="1"/>
      <w:numFmt w:val="lowerRoman"/>
      <w:lvlText w:val="%6."/>
      <w:lvlJc w:val="right"/>
      <w:pPr>
        <w:ind w:left="4320" w:hanging="180"/>
      </w:pPr>
    </w:lvl>
    <w:lvl w:ilvl="6" w:tplc="517210BC">
      <w:start w:val="1"/>
      <w:numFmt w:val="decimal"/>
      <w:lvlText w:val="%7."/>
      <w:lvlJc w:val="left"/>
      <w:pPr>
        <w:ind w:left="5040" w:hanging="360"/>
      </w:pPr>
    </w:lvl>
    <w:lvl w:ilvl="7" w:tplc="779E5764">
      <w:start w:val="1"/>
      <w:numFmt w:val="lowerLetter"/>
      <w:lvlText w:val="%8."/>
      <w:lvlJc w:val="left"/>
      <w:pPr>
        <w:ind w:left="5760" w:hanging="360"/>
      </w:pPr>
    </w:lvl>
    <w:lvl w:ilvl="8" w:tplc="081467D2">
      <w:start w:val="1"/>
      <w:numFmt w:val="lowerRoman"/>
      <w:lvlText w:val="%9."/>
      <w:lvlJc w:val="right"/>
      <w:pPr>
        <w:ind w:left="6480" w:hanging="180"/>
      </w:pPr>
    </w:lvl>
  </w:abstractNum>
  <w:abstractNum w:abstractNumId="357" w15:restartNumberingAfterBreak="0">
    <w:nsid w:val="7A0CBA42"/>
    <w:multiLevelType w:val="hybridMultilevel"/>
    <w:tmpl w:val="FFFFFFFF"/>
    <w:lvl w:ilvl="0" w:tplc="0586597E">
      <w:start w:val="1"/>
      <w:numFmt w:val="bullet"/>
      <w:lvlText w:val="o"/>
      <w:lvlJc w:val="left"/>
      <w:pPr>
        <w:ind w:left="1080" w:hanging="360"/>
      </w:pPr>
      <w:rPr>
        <w:rFonts w:ascii="Courier New" w:hAnsi="Courier New" w:hint="default"/>
      </w:rPr>
    </w:lvl>
    <w:lvl w:ilvl="1" w:tplc="C2FA89CC">
      <w:start w:val="1"/>
      <w:numFmt w:val="bullet"/>
      <w:lvlText w:val="o"/>
      <w:lvlJc w:val="left"/>
      <w:pPr>
        <w:ind w:left="1440" w:hanging="360"/>
      </w:pPr>
      <w:rPr>
        <w:rFonts w:ascii="Courier New" w:hAnsi="Courier New" w:hint="default"/>
      </w:rPr>
    </w:lvl>
    <w:lvl w:ilvl="2" w:tplc="E620DF94">
      <w:start w:val="1"/>
      <w:numFmt w:val="bullet"/>
      <w:lvlText w:val=""/>
      <w:lvlJc w:val="left"/>
      <w:pPr>
        <w:ind w:left="2160" w:hanging="360"/>
      </w:pPr>
      <w:rPr>
        <w:rFonts w:ascii="Wingdings" w:hAnsi="Wingdings" w:hint="default"/>
      </w:rPr>
    </w:lvl>
    <w:lvl w:ilvl="3" w:tplc="B4A46E20">
      <w:start w:val="1"/>
      <w:numFmt w:val="bullet"/>
      <w:lvlText w:val=""/>
      <w:lvlJc w:val="left"/>
      <w:pPr>
        <w:ind w:left="2880" w:hanging="360"/>
      </w:pPr>
      <w:rPr>
        <w:rFonts w:ascii="Symbol" w:hAnsi="Symbol" w:hint="default"/>
      </w:rPr>
    </w:lvl>
    <w:lvl w:ilvl="4" w:tplc="6198605E">
      <w:start w:val="1"/>
      <w:numFmt w:val="bullet"/>
      <w:lvlText w:val="o"/>
      <w:lvlJc w:val="left"/>
      <w:pPr>
        <w:ind w:left="3600" w:hanging="360"/>
      </w:pPr>
      <w:rPr>
        <w:rFonts w:ascii="Courier New" w:hAnsi="Courier New" w:hint="default"/>
      </w:rPr>
    </w:lvl>
    <w:lvl w:ilvl="5" w:tplc="4C6C5144">
      <w:start w:val="1"/>
      <w:numFmt w:val="bullet"/>
      <w:lvlText w:val=""/>
      <w:lvlJc w:val="left"/>
      <w:pPr>
        <w:ind w:left="4320" w:hanging="360"/>
      </w:pPr>
      <w:rPr>
        <w:rFonts w:ascii="Wingdings" w:hAnsi="Wingdings" w:hint="default"/>
      </w:rPr>
    </w:lvl>
    <w:lvl w:ilvl="6" w:tplc="FD4E4422">
      <w:start w:val="1"/>
      <w:numFmt w:val="bullet"/>
      <w:lvlText w:val=""/>
      <w:lvlJc w:val="left"/>
      <w:pPr>
        <w:ind w:left="5040" w:hanging="360"/>
      </w:pPr>
      <w:rPr>
        <w:rFonts w:ascii="Symbol" w:hAnsi="Symbol" w:hint="default"/>
      </w:rPr>
    </w:lvl>
    <w:lvl w:ilvl="7" w:tplc="3272A2E2">
      <w:start w:val="1"/>
      <w:numFmt w:val="bullet"/>
      <w:lvlText w:val="o"/>
      <w:lvlJc w:val="left"/>
      <w:pPr>
        <w:ind w:left="5760" w:hanging="360"/>
      </w:pPr>
      <w:rPr>
        <w:rFonts w:ascii="Courier New" w:hAnsi="Courier New" w:hint="default"/>
      </w:rPr>
    </w:lvl>
    <w:lvl w:ilvl="8" w:tplc="655839D0">
      <w:start w:val="1"/>
      <w:numFmt w:val="bullet"/>
      <w:lvlText w:val=""/>
      <w:lvlJc w:val="left"/>
      <w:pPr>
        <w:ind w:left="6480" w:hanging="360"/>
      </w:pPr>
      <w:rPr>
        <w:rFonts w:ascii="Wingdings" w:hAnsi="Wingdings" w:hint="default"/>
      </w:rPr>
    </w:lvl>
  </w:abstractNum>
  <w:abstractNum w:abstractNumId="358" w15:restartNumberingAfterBreak="0">
    <w:nsid w:val="7A2B0634"/>
    <w:multiLevelType w:val="hybridMultilevel"/>
    <w:tmpl w:val="FFFFFFFF"/>
    <w:lvl w:ilvl="0" w:tplc="80526A1E">
      <w:start w:val="2"/>
      <w:numFmt w:val="decimal"/>
      <w:lvlText w:val="%1."/>
      <w:lvlJc w:val="left"/>
      <w:pPr>
        <w:ind w:left="720" w:hanging="360"/>
      </w:pPr>
    </w:lvl>
    <w:lvl w:ilvl="1" w:tplc="6F50AB94">
      <w:start w:val="1"/>
      <w:numFmt w:val="lowerLetter"/>
      <w:lvlText w:val="%2."/>
      <w:lvlJc w:val="left"/>
      <w:pPr>
        <w:ind w:left="1440" w:hanging="360"/>
      </w:pPr>
    </w:lvl>
    <w:lvl w:ilvl="2" w:tplc="C996272A">
      <w:start w:val="1"/>
      <w:numFmt w:val="lowerRoman"/>
      <w:lvlText w:val="%3."/>
      <w:lvlJc w:val="right"/>
      <w:pPr>
        <w:ind w:left="2160" w:hanging="180"/>
      </w:pPr>
    </w:lvl>
    <w:lvl w:ilvl="3" w:tplc="BD7E2ED8">
      <w:start w:val="1"/>
      <w:numFmt w:val="decimal"/>
      <w:lvlText w:val="%4."/>
      <w:lvlJc w:val="left"/>
      <w:pPr>
        <w:ind w:left="2880" w:hanging="360"/>
      </w:pPr>
    </w:lvl>
    <w:lvl w:ilvl="4" w:tplc="7CEAA90C">
      <w:start w:val="1"/>
      <w:numFmt w:val="lowerLetter"/>
      <w:lvlText w:val="%5."/>
      <w:lvlJc w:val="left"/>
      <w:pPr>
        <w:ind w:left="3600" w:hanging="360"/>
      </w:pPr>
    </w:lvl>
    <w:lvl w:ilvl="5" w:tplc="A04AB0F2">
      <w:start w:val="1"/>
      <w:numFmt w:val="lowerRoman"/>
      <w:lvlText w:val="%6."/>
      <w:lvlJc w:val="right"/>
      <w:pPr>
        <w:ind w:left="4320" w:hanging="180"/>
      </w:pPr>
    </w:lvl>
    <w:lvl w:ilvl="6" w:tplc="CF348C76">
      <w:start w:val="1"/>
      <w:numFmt w:val="decimal"/>
      <w:lvlText w:val="%7."/>
      <w:lvlJc w:val="left"/>
      <w:pPr>
        <w:ind w:left="5040" w:hanging="360"/>
      </w:pPr>
    </w:lvl>
    <w:lvl w:ilvl="7" w:tplc="2CDA2B2A">
      <w:start w:val="1"/>
      <w:numFmt w:val="lowerLetter"/>
      <w:lvlText w:val="%8."/>
      <w:lvlJc w:val="left"/>
      <w:pPr>
        <w:ind w:left="5760" w:hanging="360"/>
      </w:pPr>
    </w:lvl>
    <w:lvl w:ilvl="8" w:tplc="30FE0294">
      <w:start w:val="1"/>
      <w:numFmt w:val="lowerRoman"/>
      <w:lvlText w:val="%9."/>
      <w:lvlJc w:val="right"/>
      <w:pPr>
        <w:ind w:left="6480" w:hanging="180"/>
      </w:pPr>
    </w:lvl>
  </w:abstractNum>
  <w:abstractNum w:abstractNumId="359" w15:restartNumberingAfterBreak="0">
    <w:nsid w:val="7ABE1AA0"/>
    <w:multiLevelType w:val="hybridMultilevel"/>
    <w:tmpl w:val="20E0B4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0" w15:restartNumberingAfterBreak="0">
    <w:nsid w:val="7AE359E7"/>
    <w:multiLevelType w:val="hybridMultilevel"/>
    <w:tmpl w:val="FFFFFFFF"/>
    <w:lvl w:ilvl="0" w:tplc="60167FE8">
      <w:start w:val="2"/>
      <w:numFmt w:val="decimal"/>
      <w:lvlText w:val="%1."/>
      <w:lvlJc w:val="left"/>
      <w:pPr>
        <w:ind w:left="720" w:hanging="360"/>
      </w:pPr>
    </w:lvl>
    <w:lvl w:ilvl="1" w:tplc="52E811EA">
      <w:start w:val="1"/>
      <w:numFmt w:val="lowerLetter"/>
      <w:lvlText w:val="%2."/>
      <w:lvlJc w:val="left"/>
      <w:pPr>
        <w:ind w:left="1440" w:hanging="360"/>
      </w:pPr>
    </w:lvl>
    <w:lvl w:ilvl="2" w:tplc="A9CA4A2E">
      <w:start w:val="1"/>
      <w:numFmt w:val="lowerRoman"/>
      <w:lvlText w:val="%3."/>
      <w:lvlJc w:val="right"/>
      <w:pPr>
        <w:ind w:left="2160" w:hanging="180"/>
      </w:pPr>
    </w:lvl>
    <w:lvl w:ilvl="3" w:tplc="138C46D0">
      <w:start w:val="1"/>
      <w:numFmt w:val="decimal"/>
      <w:lvlText w:val="%4."/>
      <w:lvlJc w:val="left"/>
      <w:pPr>
        <w:ind w:left="2880" w:hanging="360"/>
      </w:pPr>
    </w:lvl>
    <w:lvl w:ilvl="4" w:tplc="1F427270">
      <w:start w:val="1"/>
      <w:numFmt w:val="lowerLetter"/>
      <w:lvlText w:val="%5."/>
      <w:lvlJc w:val="left"/>
      <w:pPr>
        <w:ind w:left="3600" w:hanging="360"/>
      </w:pPr>
    </w:lvl>
    <w:lvl w:ilvl="5" w:tplc="944A4B86">
      <w:start w:val="1"/>
      <w:numFmt w:val="lowerRoman"/>
      <w:lvlText w:val="%6."/>
      <w:lvlJc w:val="right"/>
      <w:pPr>
        <w:ind w:left="4320" w:hanging="180"/>
      </w:pPr>
    </w:lvl>
    <w:lvl w:ilvl="6" w:tplc="B63243DC">
      <w:start w:val="1"/>
      <w:numFmt w:val="decimal"/>
      <w:lvlText w:val="%7."/>
      <w:lvlJc w:val="left"/>
      <w:pPr>
        <w:ind w:left="5040" w:hanging="360"/>
      </w:pPr>
    </w:lvl>
    <w:lvl w:ilvl="7" w:tplc="DD2C6FEA">
      <w:start w:val="1"/>
      <w:numFmt w:val="lowerLetter"/>
      <w:lvlText w:val="%8."/>
      <w:lvlJc w:val="left"/>
      <w:pPr>
        <w:ind w:left="5760" w:hanging="360"/>
      </w:pPr>
    </w:lvl>
    <w:lvl w:ilvl="8" w:tplc="007ACAA4">
      <w:start w:val="1"/>
      <w:numFmt w:val="lowerRoman"/>
      <w:lvlText w:val="%9."/>
      <w:lvlJc w:val="right"/>
      <w:pPr>
        <w:ind w:left="6480" w:hanging="180"/>
      </w:pPr>
    </w:lvl>
  </w:abstractNum>
  <w:abstractNum w:abstractNumId="361" w15:restartNumberingAfterBreak="0">
    <w:nsid w:val="7C1AF896"/>
    <w:multiLevelType w:val="hybridMultilevel"/>
    <w:tmpl w:val="FFFFFFFF"/>
    <w:lvl w:ilvl="0" w:tplc="FFFFFFFF">
      <w:start w:val="1"/>
      <w:numFmt w:val="lowerLetter"/>
      <w:lvlText w:val="%1)"/>
      <w:lvlJc w:val="left"/>
      <w:pPr>
        <w:ind w:left="720" w:hanging="360"/>
      </w:pPr>
    </w:lvl>
    <w:lvl w:ilvl="1" w:tplc="C8A889F0">
      <w:start w:val="1"/>
      <w:numFmt w:val="lowerLetter"/>
      <w:lvlText w:val="%2."/>
      <w:lvlJc w:val="left"/>
      <w:pPr>
        <w:ind w:left="1440" w:hanging="360"/>
      </w:pPr>
    </w:lvl>
    <w:lvl w:ilvl="2" w:tplc="399EC8B2">
      <w:start w:val="1"/>
      <w:numFmt w:val="lowerRoman"/>
      <w:lvlText w:val="%3."/>
      <w:lvlJc w:val="right"/>
      <w:pPr>
        <w:ind w:left="2160" w:hanging="180"/>
      </w:pPr>
    </w:lvl>
    <w:lvl w:ilvl="3" w:tplc="DC92581A">
      <w:start w:val="1"/>
      <w:numFmt w:val="decimal"/>
      <w:lvlText w:val="%4."/>
      <w:lvlJc w:val="left"/>
      <w:pPr>
        <w:ind w:left="2880" w:hanging="360"/>
      </w:pPr>
    </w:lvl>
    <w:lvl w:ilvl="4" w:tplc="3482B5BE">
      <w:start w:val="1"/>
      <w:numFmt w:val="lowerLetter"/>
      <w:lvlText w:val="%5."/>
      <w:lvlJc w:val="left"/>
      <w:pPr>
        <w:ind w:left="3600" w:hanging="360"/>
      </w:pPr>
    </w:lvl>
    <w:lvl w:ilvl="5" w:tplc="C9100724">
      <w:start w:val="1"/>
      <w:numFmt w:val="lowerRoman"/>
      <w:lvlText w:val="%6."/>
      <w:lvlJc w:val="right"/>
      <w:pPr>
        <w:ind w:left="4320" w:hanging="180"/>
      </w:pPr>
    </w:lvl>
    <w:lvl w:ilvl="6" w:tplc="52DE718A">
      <w:start w:val="1"/>
      <w:numFmt w:val="decimal"/>
      <w:lvlText w:val="%7."/>
      <w:lvlJc w:val="left"/>
      <w:pPr>
        <w:ind w:left="5040" w:hanging="360"/>
      </w:pPr>
    </w:lvl>
    <w:lvl w:ilvl="7" w:tplc="24066710">
      <w:start w:val="1"/>
      <w:numFmt w:val="lowerLetter"/>
      <w:lvlText w:val="%8."/>
      <w:lvlJc w:val="left"/>
      <w:pPr>
        <w:ind w:left="5760" w:hanging="360"/>
      </w:pPr>
    </w:lvl>
    <w:lvl w:ilvl="8" w:tplc="61D0EC70">
      <w:start w:val="1"/>
      <w:numFmt w:val="lowerRoman"/>
      <w:lvlText w:val="%9."/>
      <w:lvlJc w:val="right"/>
      <w:pPr>
        <w:ind w:left="6480" w:hanging="180"/>
      </w:pPr>
    </w:lvl>
  </w:abstractNum>
  <w:abstractNum w:abstractNumId="362" w15:restartNumberingAfterBreak="0">
    <w:nsid w:val="7C438A15"/>
    <w:multiLevelType w:val="hybridMultilevel"/>
    <w:tmpl w:val="FFFFFFFF"/>
    <w:lvl w:ilvl="0" w:tplc="0F58142C">
      <w:start w:val="1"/>
      <w:numFmt w:val="decimal"/>
      <w:lvlText w:val="%1."/>
      <w:lvlJc w:val="left"/>
      <w:pPr>
        <w:ind w:left="720" w:hanging="360"/>
      </w:pPr>
    </w:lvl>
    <w:lvl w:ilvl="1" w:tplc="5E6487BE">
      <w:start w:val="1"/>
      <w:numFmt w:val="lowerLetter"/>
      <w:lvlText w:val="%2."/>
      <w:lvlJc w:val="left"/>
      <w:pPr>
        <w:ind w:left="1440" w:hanging="360"/>
      </w:pPr>
    </w:lvl>
    <w:lvl w:ilvl="2" w:tplc="F3D4A6C6">
      <w:start w:val="1"/>
      <w:numFmt w:val="lowerRoman"/>
      <w:lvlText w:val="%3."/>
      <w:lvlJc w:val="right"/>
      <w:pPr>
        <w:ind w:left="2160" w:hanging="180"/>
      </w:pPr>
    </w:lvl>
    <w:lvl w:ilvl="3" w:tplc="74DA3C3A">
      <w:start w:val="1"/>
      <w:numFmt w:val="decimal"/>
      <w:lvlText w:val="%4."/>
      <w:lvlJc w:val="left"/>
      <w:pPr>
        <w:ind w:left="2880" w:hanging="360"/>
      </w:pPr>
    </w:lvl>
    <w:lvl w:ilvl="4" w:tplc="E000F678">
      <w:start w:val="1"/>
      <w:numFmt w:val="lowerLetter"/>
      <w:lvlText w:val="%5."/>
      <w:lvlJc w:val="left"/>
      <w:pPr>
        <w:ind w:left="3600" w:hanging="360"/>
      </w:pPr>
    </w:lvl>
    <w:lvl w:ilvl="5" w:tplc="240C630C">
      <w:start w:val="1"/>
      <w:numFmt w:val="lowerRoman"/>
      <w:lvlText w:val="%6."/>
      <w:lvlJc w:val="right"/>
      <w:pPr>
        <w:ind w:left="4320" w:hanging="180"/>
      </w:pPr>
    </w:lvl>
    <w:lvl w:ilvl="6" w:tplc="43822FD6">
      <w:start w:val="1"/>
      <w:numFmt w:val="decimal"/>
      <w:lvlText w:val="%7."/>
      <w:lvlJc w:val="left"/>
      <w:pPr>
        <w:ind w:left="5040" w:hanging="360"/>
      </w:pPr>
    </w:lvl>
    <w:lvl w:ilvl="7" w:tplc="9D3C8A74">
      <w:start w:val="1"/>
      <w:numFmt w:val="lowerLetter"/>
      <w:lvlText w:val="%8."/>
      <w:lvlJc w:val="left"/>
      <w:pPr>
        <w:ind w:left="5760" w:hanging="360"/>
      </w:pPr>
    </w:lvl>
    <w:lvl w:ilvl="8" w:tplc="18FCDA00">
      <w:start w:val="1"/>
      <w:numFmt w:val="lowerRoman"/>
      <w:lvlText w:val="%9."/>
      <w:lvlJc w:val="right"/>
      <w:pPr>
        <w:ind w:left="6480" w:hanging="180"/>
      </w:pPr>
    </w:lvl>
  </w:abstractNum>
  <w:abstractNum w:abstractNumId="363" w15:restartNumberingAfterBreak="0">
    <w:nsid w:val="7C646E26"/>
    <w:multiLevelType w:val="hybridMultilevel"/>
    <w:tmpl w:val="0A3A8FC8"/>
    <w:lvl w:ilvl="0" w:tplc="5002CCC6">
      <w:start w:val="1"/>
      <w:numFmt w:val="bullet"/>
      <w:lvlText w:val=""/>
      <w:lvlJc w:val="left"/>
      <w:pPr>
        <w:ind w:left="720" w:hanging="360"/>
      </w:pPr>
      <w:rPr>
        <w:rFonts w:ascii="Symbol" w:hAnsi="Symbol" w:hint="default"/>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4" w15:restartNumberingAfterBreak="0">
    <w:nsid w:val="7C7052CE"/>
    <w:multiLevelType w:val="hybridMultilevel"/>
    <w:tmpl w:val="FFFFFFFF"/>
    <w:lvl w:ilvl="0" w:tplc="210E9B78">
      <w:start w:val="2"/>
      <w:numFmt w:val="lowerRoman"/>
      <w:lvlText w:val="%1."/>
      <w:lvlJc w:val="right"/>
      <w:pPr>
        <w:ind w:left="1080" w:hanging="360"/>
      </w:pPr>
    </w:lvl>
    <w:lvl w:ilvl="1" w:tplc="F3905E62">
      <w:start w:val="1"/>
      <w:numFmt w:val="lowerLetter"/>
      <w:lvlText w:val="%2."/>
      <w:lvlJc w:val="left"/>
      <w:pPr>
        <w:ind w:left="1440" w:hanging="360"/>
      </w:pPr>
    </w:lvl>
    <w:lvl w:ilvl="2" w:tplc="5DF6F9C6">
      <w:start w:val="1"/>
      <w:numFmt w:val="lowerRoman"/>
      <w:lvlText w:val="%3."/>
      <w:lvlJc w:val="right"/>
      <w:pPr>
        <w:ind w:left="2160" w:hanging="180"/>
      </w:pPr>
    </w:lvl>
    <w:lvl w:ilvl="3" w:tplc="EC88D356">
      <w:start w:val="1"/>
      <w:numFmt w:val="decimal"/>
      <w:lvlText w:val="%4."/>
      <w:lvlJc w:val="left"/>
      <w:pPr>
        <w:ind w:left="2880" w:hanging="360"/>
      </w:pPr>
    </w:lvl>
    <w:lvl w:ilvl="4" w:tplc="00E0FB56">
      <w:start w:val="1"/>
      <w:numFmt w:val="lowerLetter"/>
      <w:lvlText w:val="%5."/>
      <w:lvlJc w:val="left"/>
      <w:pPr>
        <w:ind w:left="3600" w:hanging="360"/>
      </w:pPr>
    </w:lvl>
    <w:lvl w:ilvl="5" w:tplc="B97C62C8">
      <w:start w:val="1"/>
      <w:numFmt w:val="lowerRoman"/>
      <w:lvlText w:val="%6."/>
      <w:lvlJc w:val="right"/>
      <w:pPr>
        <w:ind w:left="4320" w:hanging="180"/>
      </w:pPr>
    </w:lvl>
    <w:lvl w:ilvl="6" w:tplc="1B3E8E40">
      <w:start w:val="1"/>
      <w:numFmt w:val="decimal"/>
      <w:lvlText w:val="%7."/>
      <w:lvlJc w:val="left"/>
      <w:pPr>
        <w:ind w:left="5040" w:hanging="360"/>
      </w:pPr>
    </w:lvl>
    <w:lvl w:ilvl="7" w:tplc="D7FEA738">
      <w:start w:val="1"/>
      <w:numFmt w:val="lowerLetter"/>
      <w:lvlText w:val="%8."/>
      <w:lvlJc w:val="left"/>
      <w:pPr>
        <w:ind w:left="5760" w:hanging="360"/>
      </w:pPr>
    </w:lvl>
    <w:lvl w:ilvl="8" w:tplc="968013D2">
      <w:start w:val="1"/>
      <w:numFmt w:val="lowerRoman"/>
      <w:lvlText w:val="%9."/>
      <w:lvlJc w:val="right"/>
      <w:pPr>
        <w:ind w:left="6480" w:hanging="180"/>
      </w:pPr>
    </w:lvl>
  </w:abstractNum>
  <w:abstractNum w:abstractNumId="365" w15:restartNumberingAfterBreak="0">
    <w:nsid w:val="7CB04BFE"/>
    <w:multiLevelType w:val="multilevel"/>
    <w:tmpl w:val="1BA4D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6" w15:restartNumberingAfterBreak="0">
    <w:nsid w:val="7CBE4812"/>
    <w:multiLevelType w:val="singleLevel"/>
    <w:tmpl w:val="23C821E4"/>
    <w:name w:val="Considérant"/>
    <w:lvl w:ilvl="0">
      <w:start w:val="1"/>
      <w:numFmt w:val="decimal"/>
      <w:lvlRestart w:val="0"/>
      <w:lvlText w:val="(%1)"/>
      <w:lvlJc w:val="left"/>
      <w:pPr>
        <w:tabs>
          <w:tab w:val="num" w:pos="709"/>
        </w:tabs>
        <w:ind w:left="709" w:hanging="709"/>
      </w:pPr>
    </w:lvl>
  </w:abstractNum>
  <w:abstractNum w:abstractNumId="367" w15:restartNumberingAfterBreak="0">
    <w:nsid w:val="7CC26E77"/>
    <w:multiLevelType w:val="multilevel"/>
    <w:tmpl w:val="1436D01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8" w15:restartNumberingAfterBreak="0">
    <w:nsid w:val="7CDFDFCB"/>
    <w:multiLevelType w:val="hybridMultilevel"/>
    <w:tmpl w:val="FFFFFFFF"/>
    <w:lvl w:ilvl="0" w:tplc="D592C080">
      <w:start w:val="1"/>
      <w:numFmt w:val="bullet"/>
      <w:lvlText w:val=""/>
      <w:lvlJc w:val="left"/>
      <w:pPr>
        <w:ind w:left="720" w:hanging="360"/>
      </w:pPr>
      <w:rPr>
        <w:rFonts w:ascii="Symbol" w:hAnsi="Symbol" w:hint="default"/>
      </w:rPr>
    </w:lvl>
    <w:lvl w:ilvl="1" w:tplc="9B82581E">
      <w:start w:val="1"/>
      <w:numFmt w:val="bullet"/>
      <w:lvlText w:val="o"/>
      <w:lvlJc w:val="left"/>
      <w:pPr>
        <w:ind w:left="1440" w:hanging="360"/>
      </w:pPr>
      <w:rPr>
        <w:rFonts w:ascii="Courier New" w:hAnsi="Courier New" w:hint="default"/>
      </w:rPr>
    </w:lvl>
    <w:lvl w:ilvl="2" w:tplc="D2882556">
      <w:start w:val="1"/>
      <w:numFmt w:val="bullet"/>
      <w:lvlText w:val=""/>
      <w:lvlJc w:val="left"/>
      <w:pPr>
        <w:ind w:left="2160" w:hanging="360"/>
      </w:pPr>
      <w:rPr>
        <w:rFonts w:ascii="Wingdings" w:hAnsi="Wingdings" w:hint="default"/>
      </w:rPr>
    </w:lvl>
    <w:lvl w:ilvl="3" w:tplc="BCA0DD4C">
      <w:start w:val="1"/>
      <w:numFmt w:val="bullet"/>
      <w:lvlText w:val=""/>
      <w:lvlJc w:val="left"/>
      <w:pPr>
        <w:ind w:left="2880" w:hanging="360"/>
      </w:pPr>
      <w:rPr>
        <w:rFonts w:ascii="Symbol" w:hAnsi="Symbol" w:hint="default"/>
      </w:rPr>
    </w:lvl>
    <w:lvl w:ilvl="4" w:tplc="298A21AA">
      <w:start w:val="1"/>
      <w:numFmt w:val="bullet"/>
      <w:lvlText w:val="o"/>
      <w:lvlJc w:val="left"/>
      <w:pPr>
        <w:ind w:left="3600" w:hanging="360"/>
      </w:pPr>
      <w:rPr>
        <w:rFonts w:ascii="Courier New" w:hAnsi="Courier New" w:hint="default"/>
      </w:rPr>
    </w:lvl>
    <w:lvl w:ilvl="5" w:tplc="D33C4ACA">
      <w:start w:val="1"/>
      <w:numFmt w:val="bullet"/>
      <w:lvlText w:val=""/>
      <w:lvlJc w:val="left"/>
      <w:pPr>
        <w:ind w:left="4320" w:hanging="360"/>
      </w:pPr>
      <w:rPr>
        <w:rFonts w:ascii="Wingdings" w:hAnsi="Wingdings" w:hint="default"/>
      </w:rPr>
    </w:lvl>
    <w:lvl w:ilvl="6" w:tplc="A120E912">
      <w:start w:val="1"/>
      <w:numFmt w:val="bullet"/>
      <w:lvlText w:val=""/>
      <w:lvlJc w:val="left"/>
      <w:pPr>
        <w:ind w:left="5040" w:hanging="360"/>
      </w:pPr>
      <w:rPr>
        <w:rFonts w:ascii="Symbol" w:hAnsi="Symbol" w:hint="default"/>
      </w:rPr>
    </w:lvl>
    <w:lvl w:ilvl="7" w:tplc="E8046A86">
      <w:start w:val="1"/>
      <w:numFmt w:val="bullet"/>
      <w:lvlText w:val="o"/>
      <w:lvlJc w:val="left"/>
      <w:pPr>
        <w:ind w:left="5760" w:hanging="360"/>
      </w:pPr>
      <w:rPr>
        <w:rFonts w:ascii="Courier New" w:hAnsi="Courier New" w:hint="default"/>
      </w:rPr>
    </w:lvl>
    <w:lvl w:ilvl="8" w:tplc="0ABC3634">
      <w:start w:val="1"/>
      <w:numFmt w:val="bullet"/>
      <w:lvlText w:val=""/>
      <w:lvlJc w:val="left"/>
      <w:pPr>
        <w:ind w:left="6480" w:hanging="360"/>
      </w:pPr>
      <w:rPr>
        <w:rFonts w:ascii="Wingdings" w:hAnsi="Wingdings" w:hint="default"/>
      </w:rPr>
    </w:lvl>
  </w:abstractNum>
  <w:abstractNum w:abstractNumId="369" w15:restartNumberingAfterBreak="0">
    <w:nsid w:val="7D38EE84"/>
    <w:multiLevelType w:val="hybridMultilevel"/>
    <w:tmpl w:val="FFFFFFFF"/>
    <w:lvl w:ilvl="0" w:tplc="A3CC45FC">
      <w:start w:val="2"/>
      <w:numFmt w:val="lowerLetter"/>
      <w:lvlText w:val="%1)"/>
      <w:lvlJc w:val="left"/>
      <w:pPr>
        <w:ind w:left="720" w:hanging="360"/>
      </w:pPr>
    </w:lvl>
    <w:lvl w:ilvl="1" w:tplc="5D72414C">
      <w:start w:val="1"/>
      <w:numFmt w:val="lowerLetter"/>
      <w:lvlText w:val="%2."/>
      <w:lvlJc w:val="left"/>
      <w:pPr>
        <w:ind w:left="1440" w:hanging="360"/>
      </w:pPr>
    </w:lvl>
    <w:lvl w:ilvl="2" w:tplc="4A6EEB70">
      <w:start w:val="1"/>
      <w:numFmt w:val="lowerRoman"/>
      <w:lvlText w:val="%3."/>
      <w:lvlJc w:val="right"/>
      <w:pPr>
        <w:ind w:left="2160" w:hanging="180"/>
      </w:pPr>
    </w:lvl>
    <w:lvl w:ilvl="3" w:tplc="E2E4D7E8">
      <w:start w:val="1"/>
      <w:numFmt w:val="decimal"/>
      <w:lvlText w:val="%4."/>
      <w:lvlJc w:val="left"/>
      <w:pPr>
        <w:ind w:left="2880" w:hanging="360"/>
      </w:pPr>
    </w:lvl>
    <w:lvl w:ilvl="4" w:tplc="61486A2C">
      <w:start w:val="1"/>
      <w:numFmt w:val="lowerLetter"/>
      <w:lvlText w:val="%5."/>
      <w:lvlJc w:val="left"/>
      <w:pPr>
        <w:ind w:left="3600" w:hanging="360"/>
      </w:pPr>
    </w:lvl>
    <w:lvl w:ilvl="5" w:tplc="8E1675C2">
      <w:start w:val="1"/>
      <w:numFmt w:val="lowerRoman"/>
      <w:lvlText w:val="%6."/>
      <w:lvlJc w:val="right"/>
      <w:pPr>
        <w:ind w:left="4320" w:hanging="180"/>
      </w:pPr>
    </w:lvl>
    <w:lvl w:ilvl="6" w:tplc="3398BF64">
      <w:start w:val="1"/>
      <w:numFmt w:val="decimal"/>
      <w:lvlText w:val="%7."/>
      <w:lvlJc w:val="left"/>
      <w:pPr>
        <w:ind w:left="5040" w:hanging="360"/>
      </w:pPr>
    </w:lvl>
    <w:lvl w:ilvl="7" w:tplc="14347F52">
      <w:start w:val="1"/>
      <w:numFmt w:val="lowerLetter"/>
      <w:lvlText w:val="%8."/>
      <w:lvlJc w:val="left"/>
      <w:pPr>
        <w:ind w:left="5760" w:hanging="360"/>
      </w:pPr>
    </w:lvl>
    <w:lvl w:ilvl="8" w:tplc="121AE538">
      <w:start w:val="1"/>
      <w:numFmt w:val="lowerRoman"/>
      <w:lvlText w:val="%9."/>
      <w:lvlJc w:val="right"/>
      <w:pPr>
        <w:ind w:left="6480" w:hanging="180"/>
      </w:pPr>
    </w:lvl>
  </w:abstractNum>
  <w:abstractNum w:abstractNumId="370" w15:restartNumberingAfterBreak="0">
    <w:nsid w:val="7D906003"/>
    <w:multiLevelType w:val="hybridMultilevel"/>
    <w:tmpl w:val="210AFE5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1" w15:restartNumberingAfterBreak="0">
    <w:nsid w:val="7F18012B"/>
    <w:multiLevelType w:val="hybridMultilevel"/>
    <w:tmpl w:val="64EA0186"/>
    <w:lvl w:ilvl="0" w:tplc="CBFC3D0A">
      <w:start w:val="1"/>
      <w:numFmt w:val="decimal"/>
      <w:lvlText w:val="%1."/>
      <w:lvlJc w:val="left"/>
      <w:pPr>
        <w:ind w:left="720" w:hanging="360"/>
      </w:pPr>
    </w:lvl>
    <w:lvl w:ilvl="1" w:tplc="2B3E6A08">
      <w:start w:val="1"/>
      <w:numFmt w:val="lowerLetter"/>
      <w:lvlText w:val="%2."/>
      <w:lvlJc w:val="left"/>
      <w:pPr>
        <w:ind w:left="1440" w:hanging="360"/>
      </w:pPr>
    </w:lvl>
    <w:lvl w:ilvl="2" w:tplc="12AA4A74">
      <w:start w:val="1"/>
      <w:numFmt w:val="lowerRoman"/>
      <w:lvlText w:val="%3."/>
      <w:lvlJc w:val="right"/>
      <w:pPr>
        <w:ind w:left="2160" w:hanging="180"/>
      </w:pPr>
    </w:lvl>
    <w:lvl w:ilvl="3" w:tplc="CDA6F6C6">
      <w:start w:val="1"/>
      <w:numFmt w:val="decimal"/>
      <w:lvlText w:val="%4."/>
      <w:lvlJc w:val="left"/>
      <w:pPr>
        <w:ind w:left="2880" w:hanging="360"/>
      </w:pPr>
    </w:lvl>
    <w:lvl w:ilvl="4" w:tplc="A4A4B092">
      <w:start w:val="1"/>
      <w:numFmt w:val="lowerLetter"/>
      <w:lvlText w:val="%5."/>
      <w:lvlJc w:val="left"/>
      <w:pPr>
        <w:ind w:left="3600" w:hanging="360"/>
      </w:pPr>
    </w:lvl>
    <w:lvl w:ilvl="5" w:tplc="4AB473E4">
      <w:start w:val="1"/>
      <w:numFmt w:val="lowerRoman"/>
      <w:lvlText w:val="%6."/>
      <w:lvlJc w:val="right"/>
      <w:pPr>
        <w:ind w:left="4320" w:hanging="180"/>
      </w:pPr>
    </w:lvl>
    <w:lvl w:ilvl="6" w:tplc="57408610">
      <w:start w:val="1"/>
      <w:numFmt w:val="decimal"/>
      <w:lvlText w:val="%7."/>
      <w:lvlJc w:val="left"/>
      <w:pPr>
        <w:ind w:left="5040" w:hanging="360"/>
      </w:pPr>
    </w:lvl>
    <w:lvl w:ilvl="7" w:tplc="94006C1A">
      <w:start w:val="1"/>
      <w:numFmt w:val="lowerLetter"/>
      <w:lvlText w:val="%8."/>
      <w:lvlJc w:val="left"/>
      <w:pPr>
        <w:ind w:left="5760" w:hanging="360"/>
      </w:pPr>
    </w:lvl>
    <w:lvl w:ilvl="8" w:tplc="827C5F28">
      <w:start w:val="1"/>
      <w:numFmt w:val="lowerRoman"/>
      <w:lvlText w:val="%9."/>
      <w:lvlJc w:val="right"/>
      <w:pPr>
        <w:ind w:left="6480" w:hanging="180"/>
      </w:pPr>
    </w:lvl>
  </w:abstractNum>
  <w:abstractNum w:abstractNumId="372" w15:restartNumberingAfterBreak="0">
    <w:nsid w:val="7F6D59BA"/>
    <w:multiLevelType w:val="hybridMultilevel"/>
    <w:tmpl w:val="FFFFFFFF"/>
    <w:lvl w:ilvl="0" w:tplc="3E8A7FAC">
      <w:start w:val="2"/>
      <w:numFmt w:val="decimal"/>
      <w:lvlText w:val="%1."/>
      <w:lvlJc w:val="left"/>
      <w:pPr>
        <w:ind w:left="720" w:hanging="360"/>
      </w:pPr>
    </w:lvl>
    <w:lvl w:ilvl="1" w:tplc="81C4CA60">
      <w:start w:val="1"/>
      <w:numFmt w:val="lowerLetter"/>
      <w:lvlText w:val="%2."/>
      <w:lvlJc w:val="left"/>
      <w:pPr>
        <w:ind w:left="1440" w:hanging="360"/>
      </w:pPr>
    </w:lvl>
    <w:lvl w:ilvl="2" w:tplc="4B686D54">
      <w:start w:val="1"/>
      <w:numFmt w:val="lowerRoman"/>
      <w:lvlText w:val="%3."/>
      <w:lvlJc w:val="right"/>
      <w:pPr>
        <w:ind w:left="2160" w:hanging="180"/>
      </w:pPr>
    </w:lvl>
    <w:lvl w:ilvl="3" w:tplc="B45CAC5C">
      <w:start w:val="1"/>
      <w:numFmt w:val="decimal"/>
      <w:lvlText w:val="%4."/>
      <w:lvlJc w:val="left"/>
      <w:pPr>
        <w:ind w:left="2880" w:hanging="360"/>
      </w:pPr>
    </w:lvl>
    <w:lvl w:ilvl="4" w:tplc="D516446C">
      <w:start w:val="1"/>
      <w:numFmt w:val="lowerLetter"/>
      <w:lvlText w:val="%5."/>
      <w:lvlJc w:val="left"/>
      <w:pPr>
        <w:ind w:left="3600" w:hanging="360"/>
      </w:pPr>
    </w:lvl>
    <w:lvl w:ilvl="5" w:tplc="5B8C6A0E">
      <w:start w:val="1"/>
      <w:numFmt w:val="lowerRoman"/>
      <w:lvlText w:val="%6."/>
      <w:lvlJc w:val="right"/>
      <w:pPr>
        <w:ind w:left="4320" w:hanging="180"/>
      </w:pPr>
    </w:lvl>
    <w:lvl w:ilvl="6" w:tplc="12D48CAA">
      <w:start w:val="1"/>
      <w:numFmt w:val="decimal"/>
      <w:lvlText w:val="%7."/>
      <w:lvlJc w:val="left"/>
      <w:pPr>
        <w:ind w:left="5040" w:hanging="360"/>
      </w:pPr>
    </w:lvl>
    <w:lvl w:ilvl="7" w:tplc="F5C06024">
      <w:start w:val="1"/>
      <w:numFmt w:val="lowerLetter"/>
      <w:lvlText w:val="%8."/>
      <w:lvlJc w:val="left"/>
      <w:pPr>
        <w:ind w:left="5760" w:hanging="360"/>
      </w:pPr>
    </w:lvl>
    <w:lvl w:ilvl="8" w:tplc="B3DA24D4">
      <w:start w:val="1"/>
      <w:numFmt w:val="lowerRoman"/>
      <w:lvlText w:val="%9."/>
      <w:lvlJc w:val="right"/>
      <w:pPr>
        <w:ind w:left="6480" w:hanging="180"/>
      </w:pPr>
    </w:lvl>
  </w:abstractNum>
  <w:abstractNum w:abstractNumId="373" w15:restartNumberingAfterBreak="0">
    <w:nsid w:val="7FF10D26"/>
    <w:multiLevelType w:val="hybridMultilevel"/>
    <w:tmpl w:val="FFFFFFFF"/>
    <w:lvl w:ilvl="0" w:tplc="5EC4FF2A">
      <w:start w:val="2"/>
      <w:numFmt w:val="decimal"/>
      <w:lvlText w:val="%1."/>
      <w:lvlJc w:val="left"/>
      <w:pPr>
        <w:ind w:left="720" w:hanging="360"/>
      </w:pPr>
    </w:lvl>
    <w:lvl w:ilvl="1" w:tplc="7D04685C">
      <w:start w:val="1"/>
      <w:numFmt w:val="lowerLetter"/>
      <w:lvlText w:val="%2."/>
      <w:lvlJc w:val="left"/>
      <w:pPr>
        <w:ind w:left="1440" w:hanging="360"/>
      </w:pPr>
    </w:lvl>
    <w:lvl w:ilvl="2" w:tplc="F31AEA1C">
      <w:start w:val="1"/>
      <w:numFmt w:val="lowerRoman"/>
      <w:lvlText w:val="%3."/>
      <w:lvlJc w:val="right"/>
      <w:pPr>
        <w:ind w:left="2160" w:hanging="180"/>
      </w:pPr>
    </w:lvl>
    <w:lvl w:ilvl="3" w:tplc="BD9CB432">
      <w:start w:val="1"/>
      <w:numFmt w:val="decimal"/>
      <w:lvlText w:val="%4."/>
      <w:lvlJc w:val="left"/>
      <w:pPr>
        <w:ind w:left="2880" w:hanging="360"/>
      </w:pPr>
    </w:lvl>
    <w:lvl w:ilvl="4" w:tplc="8F542B30">
      <w:start w:val="1"/>
      <w:numFmt w:val="lowerLetter"/>
      <w:lvlText w:val="%5."/>
      <w:lvlJc w:val="left"/>
      <w:pPr>
        <w:ind w:left="3600" w:hanging="360"/>
      </w:pPr>
    </w:lvl>
    <w:lvl w:ilvl="5" w:tplc="4B881648">
      <w:start w:val="1"/>
      <w:numFmt w:val="lowerRoman"/>
      <w:lvlText w:val="%6."/>
      <w:lvlJc w:val="right"/>
      <w:pPr>
        <w:ind w:left="4320" w:hanging="180"/>
      </w:pPr>
    </w:lvl>
    <w:lvl w:ilvl="6" w:tplc="2792991C">
      <w:start w:val="1"/>
      <w:numFmt w:val="decimal"/>
      <w:lvlText w:val="%7."/>
      <w:lvlJc w:val="left"/>
      <w:pPr>
        <w:ind w:left="5040" w:hanging="360"/>
      </w:pPr>
    </w:lvl>
    <w:lvl w:ilvl="7" w:tplc="478C2EC2">
      <w:start w:val="1"/>
      <w:numFmt w:val="lowerLetter"/>
      <w:lvlText w:val="%8."/>
      <w:lvlJc w:val="left"/>
      <w:pPr>
        <w:ind w:left="5760" w:hanging="360"/>
      </w:pPr>
    </w:lvl>
    <w:lvl w:ilvl="8" w:tplc="295C0944">
      <w:start w:val="1"/>
      <w:numFmt w:val="lowerRoman"/>
      <w:lvlText w:val="%9."/>
      <w:lvlJc w:val="right"/>
      <w:pPr>
        <w:ind w:left="6480" w:hanging="180"/>
      </w:pPr>
    </w:lvl>
  </w:abstractNum>
  <w:num w:numId="1">
    <w:abstractNumId w:val="30"/>
  </w:num>
  <w:num w:numId="2">
    <w:abstractNumId w:val="241"/>
  </w:num>
  <w:num w:numId="3">
    <w:abstractNumId w:val="106"/>
  </w:num>
  <w:num w:numId="4">
    <w:abstractNumId w:val="314"/>
  </w:num>
  <w:num w:numId="5">
    <w:abstractNumId w:val="245"/>
  </w:num>
  <w:num w:numId="6">
    <w:abstractNumId w:val="313"/>
  </w:num>
  <w:num w:numId="7">
    <w:abstractNumId w:val="129"/>
  </w:num>
  <w:num w:numId="8">
    <w:abstractNumId w:val="262"/>
  </w:num>
  <w:num w:numId="9">
    <w:abstractNumId w:val="25"/>
  </w:num>
  <w:num w:numId="10">
    <w:abstractNumId w:val="174"/>
  </w:num>
  <w:num w:numId="11">
    <w:abstractNumId w:val="151"/>
  </w:num>
  <w:num w:numId="12">
    <w:abstractNumId w:val="340"/>
  </w:num>
  <w:num w:numId="13">
    <w:abstractNumId w:val="297"/>
  </w:num>
  <w:num w:numId="14">
    <w:abstractNumId w:val="130"/>
  </w:num>
  <w:num w:numId="15">
    <w:abstractNumId w:val="278"/>
  </w:num>
  <w:num w:numId="16">
    <w:abstractNumId w:val="271"/>
  </w:num>
  <w:num w:numId="17">
    <w:abstractNumId w:val="19"/>
  </w:num>
  <w:num w:numId="18">
    <w:abstractNumId w:val="132"/>
  </w:num>
  <w:num w:numId="19">
    <w:abstractNumId w:val="200"/>
  </w:num>
  <w:num w:numId="20">
    <w:abstractNumId w:val="300"/>
  </w:num>
  <w:num w:numId="21">
    <w:abstractNumId w:val="305"/>
  </w:num>
  <w:num w:numId="22">
    <w:abstractNumId w:val="66"/>
  </w:num>
  <w:num w:numId="23">
    <w:abstractNumId w:val="119"/>
  </w:num>
  <w:num w:numId="24">
    <w:abstractNumId w:val="65"/>
  </w:num>
  <w:num w:numId="25">
    <w:abstractNumId w:val="12"/>
  </w:num>
  <w:num w:numId="26">
    <w:abstractNumId w:val="102"/>
  </w:num>
  <w:num w:numId="27">
    <w:abstractNumId w:val="334"/>
  </w:num>
  <w:num w:numId="28">
    <w:abstractNumId w:val="39"/>
  </w:num>
  <w:num w:numId="29">
    <w:abstractNumId w:val="198"/>
  </w:num>
  <w:num w:numId="30">
    <w:abstractNumId w:val="111"/>
  </w:num>
  <w:num w:numId="31">
    <w:abstractNumId w:val="348"/>
  </w:num>
  <w:num w:numId="32">
    <w:abstractNumId w:val="237"/>
  </w:num>
  <w:num w:numId="33">
    <w:abstractNumId w:val="240"/>
  </w:num>
  <w:num w:numId="34">
    <w:abstractNumId w:val="335"/>
  </w:num>
  <w:num w:numId="35">
    <w:abstractNumId w:val="199"/>
  </w:num>
  <w:num w:numId="36">
    <w:abstractNumId w:val="136"/>
  </w:num>
  <w:num w:numId="37">
    <w:abstractNumId w:val="120"/>
  </w:num>
  <w:num w:numId="38">
    <w:abstractNumId w:val="201"/>
  </w:num>
  <w:num w:numId="39">
    <w:abstractNumId w:val="295"/>
  </w:num>
  <w:num w:numId="40">
    <w:abstractNumId w:val="18"/>
  </w:num>
  <w:num w:numId="41">
    <w:abstractNumId w:val="280"/>
  </w:num>
  <w:num w:numId="42">
    <w:abstractNumId w:val="299"/>
  </w:num>
  <w:num w:numId="43">
    <w:abstractNumId w:val="165"/>
  </w:num>
  <w:num w:numId="44">
    <w:abstractNumId w:val="139"/>
  </w:num>
  <w:num w:numId="45">
    <w:abstractNumId w:val="180"/>
  </w:num>
  <w:num w:numId="46">
    <w:abstractNumId w:val="160"/>
  </w:num>
  <w:num w:numId="47">
    <w:abstractNumId w:val="163"/>
  </w:num>
  <w:num w:numId="48">
    <w:abstractNumId w:val="287"/>
  </w:num>
  <w:num w:numId="49">
    <w:abstractNumId w:val="347"/>
  </w:num>
  <w:num w:numId="50">
    <w:abstractNumId w:val="59"/>
  </w:num>
  <w:num w:numId="51">
    <w:abstractNumId w:val="369"/>
  </w:num>
  <w:num w:numId="52">
    <w:abstractNumId w:val="267"/>
  </w:num>
  <w:num w:numId="53">
    <w:abstractNumId w:val="343"/>
  </w:num>
  <w:num w:numId="54">
    <w:abstractNumId w:val="72"/>
  </w:num>
  <w:num w:numId="55">
    <w:abstractNumId w:val="255"/>
  </w:num>
  <w:num w:numId="56">
    <w:abstractNumId w:val="357"/>
  </w:num>
  <w:num w:numId="57">
    <w:abstractNumId w:val="238"/>
  </w:num>
  <w:num w:numId="58">
    <w:abstractNumId w:val="21"/>
  </w:num>
  <w:num w:numId="59">
    <w:abstractNumId w:val="316"/>
  </w:num>
  <w:num w:numId="60">
    <w:abstractNumId w:val="122"/>
  </w:num>
  <w:num w:numId="61">
    <w:abstractNumId w:val="232"/>
  </w:num>
  <w:num w:numId="62">
    <w:abstractNumId w:val="34"/>
  </w:num>
  <w:num w:numId="63">
    <w:abstractNumId w:val="211"/>
  </w:num>
  <w:num w:numId="64">
    <w:abstractNumId w:val="95"/>
  </w:num>
  <w:num w:numId="65">
    <w:abstractNumId w:val="147"/>
  </w:num>
  <w:num w:numId="66">
    <w:abstractNumId w:val="156"/>
  </w:num>
  <w:num w:numId="67">
    <w:abstractNumId w:val="185"/>
  </w:num>
  <w:num w:numId="68">
    <w:abstractNumId w:val="159"/>
  </w:num>
  <w:num w:numId="69">
    <w:abstractNumId w:val="352"/>
  </w:num>
  <w:num w:numId="70">
    <w:abstractNumId w:val="70"/>
  </w:num>
  <w:num w:numId="71">
    <w:abstractNumId w:val="239"/>
  </w:num>
  <w:num w:numId="72">
    <w:abstractNumId w:val="100"/>
  </w:num>
  <w:num w:numId="73">
    <w:abstractNumId w:val="41"/>
  </w:num>
  <w:num w:numId="74">
    <w:abstractNumId w:val="331"/>
  </w:num>
  <w:num w:numId="75">
    <w:abstractNumId w:val="222"/>
  </w:num>
  <w:num w:numId="76">
    <w:abstractNumId w:val="235"/>
  </w:num>
  <w:num w:numId="77">
    <w:abstractNumId w:val="115"/>
  </w:num>
  <w:num w:numId="78">
    <w:abstractNumId w:val="44"/>
  </w:num>
  <w:num w:numId="79">
    <w:abstractNumId w:val="307"/>
  </w:num>
  <w:num w:numId="80">
    <w:abstractNumId w:val="161"/>
  </w:num>
  <w:num w:numId="81">
    <w:abstractNumId w:val="158"/>
  </w:num>
  <w:num w:numId="82">
    <w:abstractNumId w:val="353"/>
  </w:num>
  <w:num w:numId="83">
    <w:abstractNumId w:val="342"/>
  </w:num>
  <w:num w:numId="84">
    <w:abstractNumId w:val="326"/>
  </w:num>
  <w:num w:numId="85">
    <w:abstractNumId w:val="179"/>
  </w:num>
  <w:num w:numId="86">
    <w:abstractNumId w:val="209"/>
  </w:num>
  <w:num w:numId="87">
    <w:abstractNumId w:val="355"/>
  </w:num>
  <w:num w:numId="88">
    <w:abstractNumId w:val="48"/>
  </w:num>
  <w:num w:numId="89">
    <w:abstractNumId w:val="148"/>
  </w:num>
  <w:num w:numId="90">
    <w:abstractNumId w:val="85"/>
  </w:num>
  <w:num w:numId="91">
    <w:abstractNumId w:val="368"/>
  </w:num>
  <w:num w:numId="92">
    <w:abstractNumId w:val="247"/>
  </w:num>
  <w:num w:numId="93">
    <w:abstractNumId w:val="164"/>
  </w:num>
  <w:num w:numId="94">
    <w:abstractNumId w:val="133"/>
  </w:num>
  <w:num w:numId="95">
    <w:abstractNumId w:val="217"/>
  </w:num>
  <w:num w:numId="96">
    <w:abstractNumId w:val="226"/>
  </w:num>
  <w:num w:numId="97">
    <w:abstractNumId w:val="61"/>
  </w:num>
  <w:num w:numId="98">
    <w:abstractNumId w:val="288"/>
  </w:num>
  <w:num w:numId="99">
    <w:abstractNumId w:val="141"/>
  </w:num>
  <w:num w:numId="100">
    <w:abstractNumId w:val="73"/>
  </w:num>
  <w:num w:numId="101">
    <w:abstractNumId w:val="181"/>
  </w:num>
  <w:num w:numId="102">
    <w:abstractNumId w:val="137"/>
  </w:num>
  <w:num w:numId="103">
    <w:abstractNumId w:val="362"/>
  </w:num>
  <w:num w:numId="104">
    <w:abstractNumId w:val="281"/>
  </w:num>
  <w:num w:numId="105">
    <w:abstractNumId w:val="135"/>
  </w:num>
  <w:num w:numId="106">
    <w:abstractNumId w:val="126"/>
  </w:num>
  <w:num w:numId="107">
    <w:abstractNumId w:val="162"/>
  </w:num>
  <w:num w:numId="108">
    <w:abstractNumId w:val="311"/>
  </w:num>
  <w:num w:numId="109">
    <w:abstractNumId w:val="54"/>
  </w:num>
  <w:num w:numId="110">
    <w:abstractNumId w:val="224"/>
  </w:num>
  <w:num w:numId="111">
    <w:abstractNumId w:val="337"/>
  </w:num>
  <w:num w:numId="112">
    <w:abstractNumId w:val="306"/>
  </w:num>
  <w:num w:numId="113">
    <w:abstractNumId w:val="103"/>
  </w:num>
  <w:num w:numId="114">
    <w:abstractNumId w:val="96"/>
  </w:num>
  <w:num w:numId="115">
    <w:abstractNumId w:val="361"/>
  </w:num>
  <w:num w:numId="116">
    <w:abstractNumId w:val="234"/>
  </w:num>
  <w:num w:numId="117">
    <w:abstractNumId w:val="37"/>
  </w:num>
  <w:num w:numId="118">
    <w:abstractNumId w:val="56"/>
  </w:num>
  <w:num w:numId="119">
    <w:abstractNumId w:val="15"/>
  </w:num>
  <w:num w:numId="120">
    <w:abstractNumId w:val="344"/>
  </w:num>
  <w:num w:numId="121">
    <w:abstractNumId w:val="218"/>
  </w:num>
  <w:num w:numId="122">
    <w:abstractNumId w:val="27"/>
  </w:num>
  <w:num w:numId="123">
    <w:abstractNumId w:val="92"/>
  </w:num>
  <w:num w:numId="124">
    <w:abstractNumId w:val="243"/>
  </w:num>
  <w:num w:numId="125">
    <w:abstractNumId w:val="318"/>
  </w:num>
  <w:num w:numId="126">
    <w:abstractNumId w:val="145"/>
  </w:num>
  <w:num w:numId="127">
    <w:abstractNumId w:val="196"/>
  </w:num>
  <w:num w:numId="128">
    <w:abstractNumId w:val="80"/>
  </w:num>
  <w:num w:numId="129">
    <w:abstractNumId w:val="109"/>
  </w:num>
  <w:num w:numId="130">
    <w:abstractNumId w:val="87"/>
  </w:num>
  <w:num w:numId="131">
    <w:abstractNumId w:val="7"/>
  </w:num>
  <w:num w:numId="132">
    <w:abstractNumId w:val="5"/>
  </w:num>
  <w:num w:numId="133">
    <w:abstractNumId w:val="4"/>
  </w:num>
  <w:num w:numId="134">
    <w:abstractNumId w:val="3"/>
  </w:num>
  <w:num w:numId="13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
  </w:num>
  <w:num w:numId="137">
    <w:abstractNumId w:val="2"/>
  </w:num>
  <w:num w:numId="138">
    <w:abstractNumId w:val="1"/>
  </w:num>
  <w:num w:numId="139">
    <w:abstractNumId w:val="0"/>
  </w:num>
  <w:num w:numId="140">
    <w:abstractNumId w:val="275"/>
  </w:num>
  <w:num w:numId="141">
    <w:abstractNumId w:val="195"/>
  </w:num>
  <w:num w:numId="142">
    <w:abstractNumId w:val="312"/>
  </w:num>
  <w:num w:numId="143">
    <w:abstractNumId w:val="127"/>
  </w:num>
  <w:num w:numId="144">
    <w:abstractNumId w:val="197"/>
  </w:num>
  <w:num w:numId="145">
    <w:abstractNumId w:val="302"/>
  </w:num>
  <w:num w:numId="146">
    <w:abstractNumId w:val="79"/>
  </w:num>
  <w:num w:numId="147">
    <w:abstractNumId w:val="203"/>
  </w:num>
  <w:num w:numId="148">
    <w:abstractNumId w:val="266"/>
  </w:num>
  <w:num w:numId="149">
    <w:abstractNumId w:val="269"/>
  </w:num>
  <w:num w:numId="150">
    <w:abstractNumId w:val="125"/>
  </w:num>
  <w:num w:numId="151">
    <w:abstractNumId w:val="250"/>
  </w:num>
  <w:num w:numId="152">
    <w:abstractNumId w:val="365"/>
  </w:num>
  <w:num w:numId="153">
    <w:abstractNumId w:val="60"/>
  </w:num>
  <w:num w:numId="154">
    <w:abstractNumId w:val="273"/>
  </w:num>
  <w:num w:numId="155">
    <w:abstractNumId w:val="204"/>
  </w:num>
  <w:num w:numId="156">
    <w:abstractNumId w:val="317"/>
  </w:num>
  <w:num w:numId="157">
    <w:abstractNumId w:val="188"/>
  </w:num>
  <w:num w:numId="158">
    <w:abstractNumId w:val="26"/>
  </w:num>
  <w:num w:numId="159">
    <w:abstractNumId w:val="97"/>
  </w:num>
  <w:num w:numId="160">
    <w:abstractNumId w:val="31"/>
  </w:num>
  <w:num w:numId="161">
    <w:abstractNumId w:val="69"/>
  </w:num>
  <w:num w:numId="162">
    <w:abstractNumId w:val="134"/>
  </w:num>
  <w:num w:numId="163">
    <w:abstractNumId w:val="249"/>
  </w:num>
  <w:num w:numId="164">
    <w:abstractNumId w:val="320"/>
  </w:num>
  <w:num w:numId="165">
    <w:abstractNumId w:val="32"/>
  </w:num>
  <w:num w:numId="166">
    <w:abstractNumId w:val="225"/>
  </w:num>
  <w:num w:numId="167">
    <w:abstractNumId w:val="332"/>
  </w:num>
  <w:num w:numId="168">
    <w:abstractNumId w:val="153"/>
  </w:num>
  <w:num w:numId="169">
    <w:abstractNumId w:val="177"/>
  </w:num>
  <w:num w:numId="170">
    <w:abstractNumId w:val="303"/>
  </w:num>
  <w:num w:numId="171">
    <w:abstractNumId w:val="33"/>
  </w:num>
  <w:num w:numId="172">
    <w:abstractNumId w:val="114"/>
  </w:num>
  <w:num w:numId="173">
    <w:abstractNumId w:val="187"/>
  </w:num>
  <w:num w:numId="174">
    <w:abstractNumId w:val="38"/>
  </w:num>
  <w:num w:numId="175">
    <w:abstractNumId w:val="131"/>
  </w:num>
  <w:num w:numId="176">
    <w:abstractNumId w:val="291"/>
  </w:num>
  <w:num w:numId="177">
    <w:abstractNumId w:val="301"/>
  </w:num>
  <w:num w:numId="178">
    <w:abstractNumId w:val="254"/>
  </w:num>
  <w:num w:numId="179">
    <w:abstractNumId w:val="169"/>
  </w:num>
  <w:num w:numId="180">
    <w:abstractNumId w:val="128"/>
  </w:num>
  <w:num w:numId="181">
    <w:abstractNumId w:val="328"/>
  </w:num>
  <w:num w:numId="182">
    <w:abstractNumId w:val="157"/>
  </w:num>
  <w:num w:numId="183">
    <w:abstractNumId w:val="274"/>
  </w:num>
  <w:num w:numId="184">
    <w:abstractNumId w:val="49"/>
  </w:num>
  <w:num w:numId="185">
    <w:abstractNumId w:val="268"/>
  </w:num>
  <w:num w:numId="186">
    <w:abstractNumId w:val="138"/>
  </w:num>
  <w:num w:numId="187">
    <w:abstractNumId w:val="345"/>
  </w:num>
  <w:num w:numId="188">
    <w:abstractNumId w:val="67"/>
  </w:num>
  <w:num w:numId="189">
    <w:abstractNumId w:val="99"/>
  </w:num>
  <w:num w:numId="190">
    <w:abstractNumId w:val="28"/>
  </w:num>
  <w:num w:numId="191">
    <w:abstractNumId w:val="330"/>
  </w:num>
  <w:num w:numId="192">
    <w:abstractNumId w:val="205"/>
  </w:num>
  <w:num w:numId="193">
    <w:abstractNumId w:val="46"/>
  </w:num>
  <w:num w:numId="194">
    <w:abstractNumId w:val="363"/>
  </w:num>
  <w:num w:numId="195">
    <w:abstractNumId w:val="183"/>
  </w:num>
  <w:num w:numId="196">
    <w:abstractNumId w:val="108"/>
  </w:num>
  <w:num w:numId="197">
    <w:abstractNumId w:val="23"/>
  </w:num>
  <w:num w:numId="198">
    <w:abstractNumId w:val="101"/>
  </w:num>
  <w:num w:numId="199">
    <w:abstractNumId w:val="321"/>
  </w:num>
  <w:num w:numId="200">
    <w:abstractNumId w:val="215"/>
  </w:num>
  <w:num w:numId="201">
    <w:abstractNumId w:val="22"/>
  </w:num>
  <w:num w:numId="202">
    <w:abstractNumId w:val="190"/>
  </w:num>
  <w:num w:numId="20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02"/>
  </w:num>
  <w:num w:numId="205">
    <w:abstractNumId w:val="258"/>
  </w:num>
  <w:num w:numId="206">
    <w:abstractNumId w:val="10"/>
  </w:num>
  <w:num w:numId="207">
    <w:abstractNumId w:val="257"/>
  </w:num>
  <w:num w:numId="208">
    <w:abstractNumId w:val="323"/>
  </w:num>
  <w:num w:numId="209">
    <w:abstractNumId w:val="354"/>
  </w:num>
  <w:num w:numId="210">
    <w:abstractNumId w:val="294"/>
  </w:num>
  <w:num w:numId="211">
    <w:abstractNumId w:val="309"/>
  </w:num>
  <w:num w:numId="212">
    <w:abstractNumId w:val="286"/>
  </w:num>
  <w:num w:numId="213">
    <w:abstractNumId w:val="90"/>
  </w:num>
  <w:num w:numId="214">
    <w:abstractNumId w:val="53"/>
  </w:num>
  <w:num w:numId="215">
    <w:abstractNumId w:val="166"/>
  </w:num>
  <w:num w:numId="216">
    <w:abstractNumId w:val="324"/>
  </w:num>
  <w:num w:numId="217">
    <w:abstractNumId w:val="284"/>
  </w:num>
  <w:num w:numId="218">
    <w:abstractNumId w:val="360"/>
  </w:num>
  <w:num w:numId="219">
    <w:abstractNumId w:val="63"/>
  </w:num>
  <w:num w:numId="220">
    <w:abstractNumId w:val="358"/>
  </w:num>
  <w:num w:numId="221">
    <w:abstractNumId w:val="89"/>
  </w:num>
  <w:num w:numId="222">
    <w:abstractNumId w:val="253"/>
  </w:num>
  <w:num w:numId="223">
    <w:abstractNumId w:val="24"/>
  </w:num>
  <w:num w:numId="224">
    <w:abstractNumId w:val="91"/>
  </w:num>
  <w:num w:numId="225">
    <w:abstractNumId w:val="223"/>
  </w:num>
  <w:num w:numId="226">
    <w:abstractNumId w:val="189"/>
  </w:num>
  <w:num w:numId="227">
    <w:abstractNumId w:val="261"/>
  </w:num>
  <w:num w:numId="228">
    <w:abstractNumId w:val="276"/>
  </w:num>
  <w:num w:numId="229">
    <w:abstractNumId w:val="86"/>
  </w:num>
  <w:num w:numId="230">
    <w:abstractNumId w:val="29"/>
  </w:num>
  <w:num w:numId="231">
    <w:abstractNumId w:val="155"/>
  </w:num>
  <w:num w:numId="232">
    <w:abstractNumId w:val="214"/>
  </w:num>
  <w:num w:numId="233">
    <w:abstractNumId w:val="270"/>
  </w:num>
  <w:num w:numId="234">
    <w:abstractNumId w:val="68"/>
  </w:num>
  <w:num w:numId="235">
    <w:abstractNumId w:val="264"/>
  </w:num>
  <w:num w:numId="236">
    <w:abstractNumId w:val="88"/>
  </w:num>
  <w:num w:numId="237">
    <w:abstractNumId w:val="167"/>
  </w:num>
  <w:num w:numId="238">
    <w:abstractNumId w:val="272"/>
  </w:num>
  <w:num w:numId="239">
    <w:abstractNumId w:val="259"/>
  </w:num>
  <w:num w:numId="240">
    <w:abstractNumId w:val="233"/>
  </w:num>
  <w:num w:numId="241">
    <w:abstractNumId w:val="154"/>
  </w:num>
  <w:num w:numId="242">
    <w:abstractNumId w:val="40"/>
  </w:num>
  <w:num w:numId="243">
    <w:abstractNumId w:val="146"/>
  </w:num>
  <w:num w:numId="244">
    <w:abstractNumId w:val="364"/>
  </w:num>
  <w:num w:numId="245">
    <w:abstractNumId w:val="339"/>
  </w:num>
  <w:num w:numId="246">
    <w:abstractNumId w:val="82"/>
  </w:num>
  <w:num w:numId="247">
    <w:abstractNumId w:val="336"/>
  </w:num>
  <w:num w:numId="248">
    <w:abstractNumId w:val="325"/>
  </w:num>
  <w:num w:numId="249">
    <w:abstractNumId w:val="308"/>
  </w:num>
  <w:num w:numId="250">
    <w:abstractNumId w:val="9"/>
  </w:num>
  <w:num w:numId="251">
    <w:abstractNumId w:val="124"/>
  </w:num>
  <w:num w:numId="252">
    <w:abstractNumId w:val="150"/>
  </w:num>
  <w:num w:numId="253">
    <w:abstractNumId w:val="256"/>
  </w:num>
  <w:num w:numId="254">
    <w:abstractNumId w:val="172"/>
  </w:num>
  <w:num w:numId="255">
    <w:abstractNumId w:val="84"/>
  </w:num>
  <w:num w:numId="256">
    <w:abstractNumId w:val="8"/>
  </w:num>
  <w:num w:numId="257">
    <w:abstractNumId w:val="304"/>
  </w:num>
  <w:num w:numId="258">
    <w:abstractNumId w:val="11"/>
  </w:num>
  <w:num w:numId="259">
    <w:abstractNumId w:val="116"/>
  </w:num>
  <w:num w:numId="260">
    <w:abstractNumId w:val="75"/>
  </w:num>
  <w:num w:numId="261">
    <w:abstractNumId w:val="356"/>
  </w:num>
  <w:num w:numId="262">
    <w:abstractNumId w:val="315"/>
  </w:num>
  <w:num w:numId="263">
    <w:abstractNumId w:val="170"/>
  </w:num>
  <w:num w:numId="264">
    <w:abstractNumId w:val="62"/>
  </w:num>
  <w:num w:numId="265">
    <w:abstractNumId w:val="221"/>
  </w:num>
  <w:num w:numId="266">
    <w:abstractNumId w:val="333"/>
  </w:num>
  <w:num w:numId="267">
    <w:abstractNumId w:val="123"/>
  </w:num>
  <w:num w:numId="268">
    <w:abstractNumId w:val="263"/>
  </w:num>
  <w:num w:numId="269">
    <w:abstractNumId w:val="371"/>
  </w:num>
  <w:num w:numId="270">
    <w:abstractNumId w:val="329"/>
  </w:num>
  <w:num w:numId="271">
    <w:abstractNumId w:val="50"/>
  </w:num>
  <w:num w:numId="272">
    <w:abstractNumId w:val="349"/>
  </w:num>
  <w:num w:numId="273">
    <w:abstractNumId w:val="13"/>
  </w:num>
  <w:num w:numId="274">
    <w:abstractNumId w:val="230"/>
  </w:num>
  <w:num w:numId="275">
    <w:abstractNumId w:val="35"/>
  </w:num>
  <w:num w:numId="276">
    <w:abstractNumId w:val="76"/>
  </w:num>
  <w:num w:numId="277">
    <w:abstractNumId w:val="219"/>
  </w:num>
  <w:num w:numId="278">
    <w:abstractNumId w:val="105"/>
  </w:num>
  <w:num w:numId="279">
    <w:abstractNumId w:val="246"/>
  </w:num>
  <w:num w:numId="280">
    <w:abstractNumId w:val="36"/>
  </w:num>
  <w:num w:numId="281">
    <w:abstractNumId w:val="292"/>
  </w:num>
  <w:num w:numId="282">
    <w:abstractNumId w:val="298"/>
  </w:num>
  <w:num w:numId="283">
    <w:abstractNumId w:val="110"/>
  </w:num>
  <w:num w:numId="284">
    <w:abstractNumId w:val="93"/>
  </w:num>
  <w:num w:numId="285">
    <w:abstractNumId w:val="45"/>
  </w:num>
  <w:num w:numId="286">
    <w:abstractNumId w:val="55"/>
  </w:num>
  <w:num w:numId="287">
    <w:abstractNumId w:val="143"/>
  </w:num>
  <w:num w:numId="288">
    <w:abstractNumId w:val="186"/>
  </w:num>
  <w:num w:numId="289">
    <w:abstractNumId w:val="81"/>
  </w:num>
  <w:num w:numId="290">
    <w:abstractNumId w:val="113"/>
  </w:num>
  <w:num w:numId="291">
    <w:abstractNumId w:val="77"/>
  </w:num>
  <w:num w:numId="292">
    <w:abstractNumId w:val="182"/>
  </w:num>
  <w:num w:numId="293">
    <w:abstractNumId w:val="210"/>
  </w:num>
  <w:num w:numId="294">
    <w:abstractNumId w:val="277"/>
  </w:num>
  <w:num w:numId="295">
    <w:abstractNumId w:val="213"/>
  </w:num>
  <w:num w:numId="296">
    <w:abstractNumId w:val="64"/>
  </w:num>
  <w:num w:numId="297">
    <w:abstractNumId w:val="338"/>
  </w:num>
  <w:num w:numId="298">
    <w:abstractNumId w:val="229"/>
  </w:num>
  <w:num w:numId="299">
    <w:abstractNumId w:val="178"/>
  </w:num>
  <w:num w:numId="300">
    <w:abstractNumId w:val="208"/>
  </w:num>
  <w:num w:numId="301">
    <w:abstractNumId w:val="227"/>
  </w:num>
  <w:num w:numId="302">
    <w:abstractNumId w:val="118"/>
  </w:num>
  <w:num w:numId="303">
    <w:abstractNumId w:val="322"/>
  </w:num>
  <w:num w:numId="304">
    <w:abstractNumId w:val="373"/>
  </w:num>
  <w:num w:numId="305">
    <w:abstractNumId w:val="231"/>
  </w:num>
  <w:num w:numId="306">
    <w:abstractNumId w:val="351"/>
  </w:num>
  <w:num w:numId="307">
    <w:abstractNumId w:val="285"/>
  </w:num>
  <w:num w:numId="308">
    <w:abstractNumId w:val="168"/>
  </w:num>
  <w:num w:numId="309">
    <w:abstractNumId w:val="372"/>
  </w:num>
  <w:num w:numId="310">
    <w:abstractNumId w:val="175"/>
  </w:num>
  <w:num w:numId="311">
    <w:abstractNumId w:val="192"/>
  </w:num>
  <w:num w:numId="312">
    <w:abstractNumId w:val="212"/>
  </w:num>
  <w:num w:numId="313">
    <w:abstractNumId w:val="191"/>
  </w:num>
  <w:num w:numId="314">
    <w:abstractNumId w:val="220"/>
  </w:num>
  <w:num w:numId="315">
    <w:abstractNumId w:val="228"/>
  </w:num>
  <w:num w:numId="316">
    <w:abstractNumId w:val="346"/>
  </w:num>
  <w:num w:numId="317">
    <w:abstractNumId w:val="282"/>
  </w:num>
  <w:num w:numId="318">
    <w:abstractNumId w:val="244"/>
  </w:num>
  <w:num w:numId="319">
    <w:abstractNumId w:val="236"/>
  </w:num>
  <w:num w:numId="320">
    <w:abstractNumId w:val="296"/>
  </w:num>
  <w:num w:numId="321">
    <w:abstractNumId w:val="279"/>
  </w:num>
  <w:num w:numId="322">
    <w:abstractNumId w:val="319"/>
  </w:num>
  <w:num w:numId="323">
    <w:abstractNumId w:val="289"/>
  </w:num>
  <w:num w:numId="324">
    <w:abstractNumId w:val="104"/>
  </w:num>
  <w:num w:numId="325">
    <w:abstractNumId w:val="149"/>
  </w:num>
  <w:num w:numId="326">
    <w:abstractNumId w:val="194"/>
  </w:num>
  <w:num w:numId="327">
    <w:abstractNumId w:val="252"/>
  </w:num>
  <w:num w:numId="328">
    <w:abstractNumId w:val="121"/>
  </w:num>
  <w:num w:numId="329">
    <w:abstractNumId w:val="17"/>
  </w:num>
  <w:num w:numId="330">
    <w:abstractNumId w:val="216"/>
  </w:num>
  <w:num w:numId="331">
    <w:abstractNumId w:val="51"/>
  </w:num>
  <w:num w:numId="332">
    <w:abstractNumId w:val="265"/>
  </w:num>
  <w:num w:numId="333">
    <w:abstractNumId w:val="142"/>
  </w:num>
  <w:num w:numId="334">
    <w:abstractNumId w:val="290"/>
  </w:num>
  <w:num w:numId="335">
    <w:abstractNumId w:val="94"/>
  </w:num>
  <w:num w:numId="336">
    <w:abstractNumId w:val="341"/>
  </w:num>
  <w:num w:numId="337">
    <w:abstractNumId w:val="78"/>
  </w:num>
  <w:num w:numId="338">
    <w:abstractNumId w:val="47"/>
  </w:num>
  <w:num w:numId="339">
    <w:abstractNumId w:val="370"/>
  </w:num>
  <w:num w:numId="340">
    <w:abstractNumId w:val="173"/>
  </w:num>
  <w:num w:numId="341">
    <w:abstractNumId w:val="74"/>
  </w:num>
  <w:num w:numId="342">
    <w:abstractNumId w:val="193"/>
  </w:num>
  <w:num w:numId="343">
    <w:abstractNumId w:val="43"/>
  </w:num>
  <w:num w:numId="344">
    <w:abstractNumId w:val="42"/>
  </w:num>
  <w:num w:numId="345">
    <w:abstractNumId w:val="260"/>
  </w:num>
  <w:num w:numId="346">
    <w:abstractNumId w:val="140"/>
  </w:num>
  <w:num w:numId="347">
    <w:abstractNumId w:val="310"/>
  </w:num>
  <w:num w:numId="348">
    <w:abstractNumId w:val="283"/>
  </w:num>
  <w:num w:numId="349">
    <w:abstractNumId w:val="248"/>
  </w:num>
  <w:num w:numId="350">
    <w:abstractNumId w:val="359"/>
  </w:num>
  <w:num w:numId="351">
    <w:abstractNumId w:val="251"/>
  </w:num>
  <w:num w:numId="352">
    <w:abstractNumId w:val="117"/>
  </w:num>
  <w:num w:numId="353">
    <w:abstractNumId w:val="367"/>
  </w:num>
  <w:num w:numId="354">
    <w:abstractNumId w:val="107"/>
  </w:num>
  <w:num w:numId="355">
    <w:abstractNumId w:val="242"/>
  </w:num>
  <w:num w:numId="356">
    <w:abstractNumId w:val="176"/>
  </w:num>
  <w:num w:numId="357">
    <w:abstractNumId w:val="20"/>
  </w:num>
  <w:num w:numId="358">
    <w:abstractNumId w:val="14"/>
  </w:num>
  <w:num w:numId="359">
    <w:abstractNumId w:val="327"/>
  </w:num>
  <w:num w:numId="360">
    <w:abstractNumId w:val="171"/>
  </w:num>
  <w:num w:numId="361">
    <w:abstractNumId w:val="152"/>
  </w:num>
  <w:num w:numId="362">
    <w:abstractNumId w:val="184"/>
  </w:num>
  <w:num w:numId="363">
    <w:abstractNumId w:val="52"/>
  </w:num>
  <w:num w:numId="364">
    <w:abstractNumId w:val="144"/>
  </w:num>
  <w:num w:numId="365">
    <w:abstractNumId w:val="350"/>
  </w:num>
  <w:num w:numId="366">
    <w:abstractNumId w:val="71"/>
  </w:num>
  <w:num w:numId="367">
    <w:abstractNumId w:val="83"/>
  </w:num>
  <w:num w:numId="368">
    <w:abstractNumId w:val="207"/>
  </w:num>
  <w:num w:numId="369">
    <w:abstractNumId w:val="206"/>
  </w:num>
  <w:num w:numId="370">
    <w:abstractNumId w:val="16"/>
  </w:num>
  <w:num w:numId="371">
    <w:abstractNumId w:val="58"/>
  </w:num>
  <w:num w:numId="372">
    <w:abstractNumId w:val="98"/>
  </w:num>
  <w:num w:numId="373">
    <w:abstractNumId w:val="293"/>
  </w:num>
  <w:num w:numId="374">
    <w:abstractNumId w:val="57"/>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6" w:nlCheck="1" w:checkStyle="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Template"/>
    <w:docVar w:name="Council" w:val="true"/>
    <w:docVar w:name="DocStatus" w:val="Green"/>
    <w:docVar w:name="DocuWriteMetaData" w:val="&lt;metadataset docuwriteversion=&quot;4.6.7&quot; technicalblockguid=&quot;5710894743792309450&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 /&gt;_x000d__x000a_  &lt;/metadata&gt;_x000d__x000a_  &lt;metadata key=&quot;md_UniqueHeading&quot;&gt;_x000d__x000a_    &lt;basicdatatype&gt;_x000d__x000a_      &lt;heading key=&quot;uh_26&quot; text=&quot;LEGISLATIVE ACTS AND OTHER INSTRUMENTS: CORRIGENDUM/RECTIFICATIF&quot; /&gt;_x000d__x000a_    &lt;/basicdatatype&gt;_x000d__x000a_  &lt;/metadata&gt;_x000d__x000a_  &lt;metadata key=&quot;md_HeadingText&quot;&gt;_x000d__x000a_    &lt;headingtext text=&quot;LEGISLATIVE ACTS AND OTHER INSTRUMENTS: CORRIGENDUM/RECTIFICATIF&quot;&gt;_x000d__x000a_      &lt;formattedtext&gt;_x000d__x000a_        &lt;xaml text=&quot;LEGISLATIVE ACTS AND OTHER INSTRUMENTS: CORRIGENDUM/RECTIFICATIF&quot;&gt;&amp;lt;FlowDocument xmlns=&quot;http://schemas.microsoft.com/winfx/2006/xaml/presentation&quot;&amp;gt;&amp;lt;Paragraph&amp;gt;LEGISLATIVE ACTS AND OTHER INSTRUMENTS: CORRIGENDUM/RECTIFICATIF&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 /&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6-09&lt;/text&gt;_x000d__x000a_  &lt;/metadata&gt;_x000d__x000a_  &lt;metadata key=&quot;md_Prefix&quot;&gt;_x000d__x000a_    &lt;text&gt;&lt;/text&gt;_x000d__x000a_  &lt;/metadata&gt;_x000d__x000a_  &lt;metadata key=&quot;md_DocumentNumber&quot;&gt;_x000d__x000a_    &lt;text&gt;8391&lt;/text&gt;_x000d__x000a_  &lt;/metadata&gt;_x000d__x000a_  &lt;metadata key=&quot;md_YearDocumentNumber&quot;&gt;_x000d__x000a_    &lt;text&gt;2022&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JUR 253&lt;/text&gt;_x000d__x000a_      &lt;text&gt;ECOFIN 367&lt;/text&gt;_x000d__x000a_      &lt;text&gt;CADREFIN 57&lt;/text&gt;_x000d__x000a_      &lt;text&gt;UEM 79&lt;/text&gt;_x000d__x000a_      &lt;text&gt;FIN 460&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1/0245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Council Implementing Decision on the approval of the assessment of the recovery and resilience plan for Czechia&quot;&gt;&amp;lt;FlowDocument FontFamily=&quot;Segoe UI&quot; FontSize=&quot;12&quot; LineHeight=&quot;6&quot; PageWidth=&quot;329&quot; PagePadding=&quot;5,0,5,0&quot; AllowDrop=&quot;False&quot; xmlns=&quot;http://schemas.microsoft.com/winfx/2006/xaml/presentation&quot;&amp;gt;&amp;lt;Paragraph LineHeight=&quot;6&quot; FontFamily=&quot;Arial Unicode MS&quot; FontSize=&quot;12&quot;&amp;gt;A&amp;lt;Run xml:lang=&quot;fr-be&quot;&amp;gt;nnex&amp;lt;/Run&amp;gt; to the Council Implementing Decision on the approval of the assessment of the recovery and resilience plan for Czechia&amp;lt;/Paragraph&amp;gt;&amp;lt;/FlowDocument&amp;gt;&lt;/xaml&gt;_x000d__x000a_  &lt;/metadata&gt;_x000d__x000a_  &lt;metadata key=&quot;md_SubjectFootnote&quot; /&gt;_x000d__x000a_  &lt;metadata key=&quot;md_DG&quot;&gt;_x000d__x000a_    &lt;text&gt;JUR.7&lt;/text&gt;_x000d__x000a_  &lt;/metadata&gt;_x000d__x000a_  &lt;metadata key=&quot;md_Initials&quot;&gt;_x000d__x000a_    &lt;text&gt;&lt;/text&gt;_x000d__x000a_  &lt;/metadata&gt;_x000d__x000a_  &lt;metadata key=&quot;md_RectifProcedureType&quot;&gt;_x000d__x000a_    &lt;basicdatatype&gt;_x000d__x000a_      &lt;rectifprocedure key=&quot;rect_proc_2c&quot; text=&quot;Procedure 2c)&quot; /&gt;_x000d__x000a_    &lt;/basicdatatype&gt;_x000d__x000a_  &lt;/metadata&gt;_x000d__x000a_  &lt;metadata key=&quot;md_RectifLanguagesBase&quot;&gt;_x000d__x000a_    &lt;text&gt;24&lt;/text&gt;_x000d__x000a_  &lt;/metadata&gt;_x000d__x000a_  &lt;metadata key=&quot;md_RectifLanguagesConcerned&quot;&gt;_x000d__x000a_    &lt;text&gt;;BG;ES;CS;DA;DE;ET;EL;EN;FR;HR;IT;LV;LT;HU;MT;NL;PL;PT;RO;SK;SL;FI;SV;&lt;/text&gt;_x000d__x000a_  &lt;/metadata&gt;_x000d__x000a_  &lt;metadata key=&quot;md_RectifIsLangSpec&quot;&gt;_x000d__x000a_    &lt;text&gt;true&lt;/text&gt;_x000d__x000a_  &lt;/metadata&gt;_x000d__x000a_  &lt;metadata key=&quot;md_RectifLangSpecValue&quot;&gt;_x000d__x000a_    &lt;text&gt;EN&lt;/text&gt;_x000d__x000a_  &lt;/metadata&gt;_x000d__x000a_  &lt;metadata key=&quot;md_RectifNumberOfMistakes&quot;&gt;_x000d__x000a_    &lt;text&gt;Num_More&lt;/text&gt;_x000d__x000a_  &lt;/metadata&gt;_x000d__x000a_  &lt;metadata key=&quot;md_RectifHasRemarks&quot;&gt;_x000d__x000a_    &lt;text&gt;False&lt;/text&gt;_x000d__x000a_  &lt;/metadata&gt;_x000d__x000a_  &lt;metadata key=&quot;md_RectifUseDocRef&quot;&gt;_x000d__x000a_    &lt;text&gt;True&lt;/text&gt;_x000d__x000a_  &lt;/metadata&gt;_x000d__x000a_  &lt;metadata key=&quot;md_RectifDocRefNumber&quot;&gt;_x000d__x000a_    &lt;text&gt;ST 11047/21 ADD 1&lt;/text&gt;_x000d__x000a_  &lt;/metadata&gt;_x000d__x000a_  &lt;metadata key=&quot;md_RectifDocRefDate&quot;&gt;_x000d__x000a_    &lt;text&gt;2021-08-31T00:00:00&lt;/text&gt;_x000d__x000a_  &lt;/metadata&gt;_x000d__x000a_  &lt;metadata key=&quot;md_RectifUseOJRef&quot;&gt;_x000d__x000a_    &lt;text&gt;False&lt;/text&gt;_x000d__x000a_  &lt;/metadata&gt;_x000d__x000a_  &lt;metadata key=&quot;md_RectifOJRefType&quot;&gt;_x000d__x000a_    &lt;text&gt;&lt;/text&gt;_x000d__x000a_  &lt;/metadata&gt;_x000d__x000a_  &lt;metadata key=&quot;md_RectifOJLRefNumber&quot; /&gt;_x000d__x000a_  &lt;metadata key=&quot;md_RectifOJCRefNumber&quot;&gt;_x000d__x000a_    &lt;text&gt;&lt;/text&gt;_x000d__x000a_  &lt;/metadata&gt;_x000d__x000a_  &lt;metadata key=&quot;md_RectifOJLRefDate&quot; /&gt;_x000d__x000a_  &lt;metadata key=&quot;md_RectifOJCRefDate&quot;&gt;_x000d__x000a_    &lt;text&gt;&lt;/text&gt;_x000d__x000a_  &lt;/metadata&gt;_x000d__x000a_  &lt;metadata key=&quot;md_RectifOJLRefPage&quot; /&gt;_x000d__x000a_  &lt;metadata key=&quot;md_RectifOJCRefPage&quot;&gt;_x000d__x000a_    &lt;text&gt;&lt;/text&gt;_x000d__x000a_  &lt;/metadata&gt;_x000d__x000a_  &lt;metadata key=&quot;md_RectifUseOJCorRef&quot;&gt;_x000d__x000a_    &lt;text&gt;False&lt;/text&gt;_x000d__x000a_  &lt;/metadata&gt;_x000d__x000a_  &lt;metadata key=&quot;md_RectifOJCorRefNumber&quot;&gt;_x000d__x000a_    &lt;text&gt;&lt;/text&gt;_x000d__x000a_  &lt;/metadata&gt;_x000d__x000a_  &lt;metadata key=&quot;md_RectifOJCorRefDate&quot;&gt;_x000d__x000a_    &lt;text&gt;&lt;/text&gt;_x000d__x000a_  &lt;/metadata&gt;_x000d__x000a_  &lt;metadata key=&quot;md_RectifOJCorRefPage&quot;&gt;_x000d__x000a_    &lt;text&gt;&lt;/text&gt;_x000d__x000a_  &lt;/metadata&gt;_x000d__x000a_  &lt;metadata key=&quot;md_RectifTimeLimit&quot;&gt;_x000d__x000a_    &lt;text&gt;8&lt;/text&gt;_x000d__x000a_  &lt;/metadata&gt;_x000d__x000a_  &lt;metadata key=&quot;md_RectifCodecision&quot;&gt;_x000d__x000a_    &lt;text&gt;False&lt;/text&gt;_x000d__x000a_  &lt;/metadata&gt;_x000d__x000a_  &lt;metadata key=&quot;md_RectifCorrectionNewLang&quot;&gt;_x000d__x000a_    &lt;text&gt;False&lt;/text&gt;_x000d__x000a_  &lt;/metadata&gt;_x000d__x000a_  &lt;metadata key=&quot;md_RectifAgreement&quot;&gt;_x000d__x000a_    &lt;text&gt;False&lt;/text&gt;_x000d__x000a_  &lt;/metadata&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2&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RECTIF"/>
    <w:docVar w:name="LW_ACCOMPAGNANT.CP" w:val=" "/>
    <w:docVar w:name="LW_ANNEX_NBR_FIRST" w:val="1"/>
    <w:docVar w:name="LW_ANNEX_NBR_LAST" w:val="1"/>
    <w:docVar w:name="LW_ANNEX_UNIQUE" w:val="1"/>
    <w:docVar w:name="LW_CORRIGENDUM" w:val="&lt;UNUSED&gt;"/>
    <w:docVar w:name="LW_COVERPAGE_EXISTS" w:val="True"/>
    <w:docVar w:name="LW_COVERPAGE_GUID" w:val="255F05CA-F977-4484-8804-BFE47A4DDDC2"/>
    <w:docVar w:name="LW_COVERPAGE_TYPE" w:val="1"/>
    <w:docVar w:name="LW_CROSSREFERENCE" w:val="{SWD(2023) 319 final}"/>
    <w:docVar w:name="LW_DocType" w:val="NORMAL"/>
    <w:docVar w:name="LW_EMISSION" w:val="26.9.2023."/>
    <w:docVar w:name="LW_EMISSION_ISODATE" w:val="2023-09-26"/>
    <w:docVar w:name="LW_EMISSION_LOCATION" w:val="BRX"/>
    <w:docVar w:name="LW_EMISSION_PREFIX" w:val="Bruxelles, "/>
    <w:docVar w:name="LW_EMISSION_SUFFIX" w:val="&lt;EMPTY&gt;"/>
    <w:docVar w:name="LW_ID_DOCTYPE_NONLW" w:val="CP-036"/>
    <w:docVar w:name="LW_LANGUE" w:val="HR"/>
    <w:docVar w:name="LW_LEVEL_OF_SENSITIVITY" w:val="Standard treatment"/>
    <w:docVar w:name="LW_NOM.INST" w:val="EUROPSKA KOMISIJA"/>
    <w:docVar w:name="LW_NOM.INST_JOINTDOC" w:val="&lt;EMPTY&gt;"/>
    <w:docVar w:name="LW_OBJETACTEPRINCIPAL.CP" w:val="o izmjeni Provedbene odluke (EU) (ST 11047 21 INIT; ST 11047/21 ADD 1; ST 11047/21 COR 1) od 8. rujna 2021. o odobrenju ocjene plana za oporavak i otpornost Češke_x000d__x000d__x000d__x000d__x000d__x000b_"/>
    <w:docVar w:name="LW_PART_NBR" w:val="1"/>
    <w:docVar w:name="LW_PART_NBR_TOTAL" w:val="1"/>
    <w:docVar w:name="LW_REF.INST.NEW" w:val="COM"/>
    <w:docVar w:name="LW_REF.INST.NEW_ADOPTED" w:val="final"/>
    <w:docVar w:name="LW_REF.INST.NEW_TEXT" w:val="(2023) 5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_x000b_"/>
    <w:docVar w:name="LW_TYPEACTEPRINCIPAL.CP" w:val="Prijedlogu PROVEDBENE ODLUKE VIJEĆA_x000b_"/>
    <w:docVar w:name="LwApiVersions" w:val="LW4CoDe 1.23.2.0; LW 8.0, Build 20211117"/>
    <w:docVar w:name="VSSDB_IniPath" w:val="\\at100\user\wovo\SEILEG\vss\srcsafe.ini"/>
    <w:docVar w:name="VSSDB_ProjectPath" w:val="$/DocuWrite/DOT/DW_RECTIF"/>
  </w:docVars>
  <w:rsids>
    <w:rsidRoot w:val="00121F22"/>
    <w:rsid w:val="0000014D"/>
    <w:rsid w:val="00000247"/>
    <w:rsid w:val="00001085"/>
    <w:rsid w:val="000016BB"/>
    <w:rsid w:val="0000208B"/>
    <w:rsid w:val="000023F9"/>
    <w:rsid w:val="000025C7"/>
    <w:rsid w:val="00002B93"/>
    <w:rsid w:val="00002C3D"/>
    <w:rsid w:val="00002EBE"/>
    <w:rsid w:val="00002FD3"/>
    <w:rsid w:val="000035F1"/>
    <w:rsid w:val="0000362F"/>
    <w:rsid w:val="00003754"/>
    <w:rsid w:val="00003964"/>
    <w:rsid w:val="00004497"/>
    <w:rsid w:val="0000451F"/>
    <w:rsid w:val="00004606"/>
    <w:rsid w:val="000046C7"/>
    <w:rsid w:val="00004874"/>
    <w:rsid w:val="00004B28"/>
    <w:rsid w:val="00004E35"/>
    <w:rsid w:val="000050AD"/>
    <w:rsid w:val="00005353"/>
    <w:rsid w:val="0000542D"/>
    <w:rsid w:val="00005545"/>
    <w:rsid w:val="0000569D"/>
    <w:rsid w:val="00005AA7"/>
    <w:rsid w:val="00005B63"/>
    <w:rsid w:val="00005C86"/>
    <w:rsid w:val="00005CAF"/>
    <w:rsid w:val="00005EE8"/>
    <w:rsid w:val="00005F02"/>
    <w:rsid w:val="000060BC"/>
    <w:rsid w:val="00006269"/>
    <w:rsid w:val="00006327"/>
    <w:rsid w:val="00006433"/>
    <w:rsid w:val="000064B2"/>
    <w:rsid w:val="00006579"/>
    <w:rsid w:val="000068AD"/>
    <w:rsid w:val="000070BF"/>
    <w:rsid w:val="0000780C"/>
    <w:rsid w:val="0000E2A8"/>
    <w:rsid w:val="000107A0"/>
    <w:rsid w:val="0001178E"/>
    <w:rsid w:val="0001209F"/>
    <w:rsid w:val="0001235D"/>
    <w:rsid w:val="00012490"/>
    <w:rsid w:val="000126B2"/>
    <w:rsid w:val="000127F3"/>
    <w:rsid w:val="00012B1E"/>
    <w:rsid w:val="00012EBA"/>
    <w:rsid w:val="00012ECF"/>
    <w:rsid w:val="00013011"/>
    <w:rsid w:val="00013164"/>
    <w:rsid w:val="000139E8"/>
    <w:rsid w:val="0001407A"/>
    <w:rsid w:val="00014122"/>
    <w:rsid w:val="000143F7"/>
    <w:rsid w:val="000145B6"/>
    <w:rsid w:val="00014623"/>
    <w:rsid w:val="000147EC"/>
    <w:rsid w:val="000149A5"/>
    <w:rsid w:val="00014A8F"/>
    <w:rsid w:val="00014AEC"/>
    <w:rsid w:val="00014B90"/>
    <w:rsid w:val="00014C06"/>
    <w:rsid w:val="0001502E"/>
    <w:rsid w:val="000150A6"/>
    <w:rsid w:val="000151BC"/>
    <w:rsid w:val="00015994"/>
    <w:rsid w:val="00015DD6"/>
    <w:rsid w:val="0001615B"/>
    <w:rsid w:val="000165F1"/>
    <w:rsid w:val="00016A48"/>
    <w:rsid w:val="00016B79"/>
    <w:rsid w:val="00016D12"/>
    <w:rsid w:val="00016D30"/>
    <w:rsid w:val="000170E0"/>
    <w:rsid w:val="00017316"/>
    <w:rsid w:val="0001739D"/>
    <w:rsid w:val="000173C5"/>
    <w:rsid w:val="00017862"/>
    <w:rsid w:val="000179E4"/>
    <w:rsid w:val="00017C8E"/>
    <w:rsid w:val="00020216"/>
    <w:rsid w:val="000207B5"/>
    <w:rsid w:val="0002080A"/>
    <w:rsid w:val="00020CA6"/>
    <w:rsid w:val="00020D23"/>
    <w:rsid w:val="00020D7F"/>
    <w:rsid w:val="00021077"/>
    <w:rsid w:val="00021178"/>
    <w:rsid w:val="000212E2"/>
    <w:rsid w:val="0002188F"/>
    <w:rsid w:val="00021A6C"/>
    <w:rsid w:val="00021B99"/>
    <w:rsid w:val="00021FCA"/>
    <w:rsid w:val="00022523"/>
    <w:rsid w:val="00022789"/>
    <w:rsid w:val="000227C2"/>
    <w:rsid w:val="00022D6E"/>
    <w:rsid w:val="00022F54"/>
    <w:rsid w:val="00022F56"/>
    <w:rsid w:val="00022FA7"/>
    <w:rsid w:val="00022FE5"/>
    <w:rsid w:val="000230A9"/>
    <w:rsid w:val="0002369F"/>
    <w:rsid w:val="00023809"/>
    <w:rsid w:val="00023A77"/>
    <w:rsid w:val="00023A85"/>
    <w:rsid w:val="00023E0A"/>
    <w:rsid w:val="00023F80"/>
    <w:rsid w:val="000242A1"/>
    <w:rsid w:val="000245CE"/>
    <w:rsid w:val="00024615"/>
    <w:rsid w:val="00024B3A"/>
    <w:rsid w:val="00024C3D"/>
    <w:rsid w:val="00024EF3"/>
    <w:rsid w:val="00024F05"/>
    <w:rsid w:val="00024FB2"/>
    <w:rsid w:val="00025414"/>
    <w:rsid w:val="000254C9"/>
    <w:rsid w:val="000256E1"/>
    <w:rsid w:val="00025D66"/>
    <w:rsid w:val="00025F49"/>
    <w:rsid w:val="00025F72"/>
    <w:rsid w:val="0002600F"/>
    <w:rsid w:val="00026101"/>
    <w:rsid w:val="000261BA"/>
    <w:rsid w:val="00026674"/>
    <w:rsid w:val="000266B3"/>
    <w:rsid w:val="00026746"/>
    <w:rsid w:val="000267DF"/>
    <w:rsid w:val="00026AF7"/>
    <w:rsid w:val="00026BFE"/>
    <w:rsid w:val="00026FF7"/>
    <w:rsid w:val="000272CE"/>
    <w:rsid w:val="00027908"/>
    <w:rsid w:val="000307CF"/>
    <w:rsid w:val="00030816"/>
    <w:rsid w:val="00030AAD"/>
    <w:rsid w:val="00030AF7"/>
    <w:rsid w:val="00030CFA"/>
    <w:rsid w:val="000310FE"/>
    <w:rsid w:val="000312AE"/>
    <w:rsid w:val="000313B2"/>
    <w:rsid w:val="00031AEE"/>
    <w:rsid w:val="00031D15"/>
    <w:rsid w:val="00032215"/>
    <w:rsid w:val="00032291"/>
    <w:rsid w:val="000325A0"/>
    <w:rsid w:val="0003274E"/>
    <w:rsid w:val="000328FC"/>
    <w:rsid w:val="00032C56"/>
    <w:rsid w:val="0003300E"/>
    <w:rsid w:val="000330EF"/>
    <w:rsid w:val="00033594"/>
    <w:rsid w:val="000337AC"/>
    <w:rsid w:val="00033981"/>
    <w:rsid w:val="00033BDC"/>
    <w:rsid w:val="00033D05"/>
    <w:rsid w:val="00033E10"/>
    <w:rsid w:val="00033F33"/>
    <w:rsid w:val="000341C7"/>
    <w:rsid w:val="000342B5"/>
    <w:rsid w:val="00034447"/>
    <w:rsid w:val="00034526"/>
    <w:rsid w:val="0003455C"/>
    <w:rsid w:val="00034D47"/>
    <w:rsid w:val="00034FA0"/>
    <w:rsid w:val="00034FA2"/>
    <w:rsid w:val="000354EC"/>
    <w:rsid w:val="000355DE"/>
    <w:rsid w:val="000357B1"/>
    <w:rsid w:val="00035A89"/>
    <w:rsid w:val="00036063"/>
    <w:rsid w:val="00036066"/>
    <w:rsid w:val="000366F2"/>
    <w:rsid w:val="000367AA"/>
    <w:rsid w:val="00036889"/>
    <w:rsid w:val="000368DA"/>
    <w:rsid w:val="00036C3B"/>
    <w:rsid w:val="00036F58"/>
    <w:rsid w:val="00036FC6"/>
    <w:rsid w:val="00037544"/>
    <w:rsid w:val="00037BD7"/>
    <w:rsid w:val="00037D00"/>
    <w:rsid w:val="00037D07"/>
    <w:rsid w:val="00037ED5"/>
    <w:rsid w:val="00040084"/>
    <w:rsid w:val="00040248"/>
    <w:rsid w:val="000403D2"/>
    <w:rsid w:val="00040503"/>
    <w:rsid w:val="00040525"/>
    <w:rsid w:val="000405CE"/>
    <w:rsid w:val="00040AF6"/>
    <w:rsid w:val="00040B33"/>
    <w:rsid w:val="00041399"/>
    <w:rsid w:val="0004144E"/>
    <w:rsid w:val="000415DD"/>
    <w:rsid w:val="00041701"/>
    <w:rsid w:val="0004175B"/>
    <w:rsid w:val="0004191B"/>
    <w:rsid w:val="00041BDF"/>
    <w:rsid w:val="000421DE"/>
    <w:rsid w:val="0004236C"/>
    <w:rsid w:val="000423C9"/>
    <w:rsid w:val="00042CE5"/>
    <w:rsid w:val="00043134"/>
    <w:rsid w:val="000432E6"/>
    <w:rsid w:val="000436FC"/>
    <w:rsid w:val="0004374D"/>
    <w:rsid w:val="000438E4"/>
    <w:rsid w:val="00043B29"/>
    <w:rsid w:val="00043B91"/>
    <w:rsid w:val="0004421E"/>
    <w:rsid w:val="000442BD"/>
    <w:rsid w:val="000445E9"/>
    <w:rsid w:val="000449E8"/>
    <w:rsid w:val="00044A6B"/>
    <w:rsid w:val="00044C0B"/>
    <w:rsid w:val="00044CE3"/>
    <w:rsid w:val="00044E62"/>
    <w:rsid w:val="00044F9D"/>
    <w:rsid w:val="00045443"/>
    <w:rsid w:val="00045881"/>
    <w:rsid w:val="00045F60"/>
    <w:rsid w:val="00046082"/>
    <w:rsid w:val="00046150"/>
    <w:rsid w:val="0004656B"/>
    <w:rsid w:val="0004668D"/>
    <w:rsid w:val="000466F3"/>
    <w:rsid w:val="00046766"/>
    <w:rsid w:val="00046A98"/>
    <w:rsid w:val="00046AC9"/>
    <w:rsid w:val="000472B3"/>
    <w:rsid w:val="000472C6"/>
    <w:rsid w:val="0004732F"/>
    <w:rsid w:val="000473F3"/>
    <w:rsid w:val="0004743E"/>
    <w:rsid w:val="00047558"/>
    <w:rsid w:val="000477DF"/>
    <w:rsid w:val="00047FF3"/>
    <w:rsid w:val="000501D3"/>
    <w:rsid w:val="000504A4"/>
    <w:rsid w:val="000506B5"/>
    <w:rsid w:val="0005089A"/>
    <w:rsid w:val="00050BE6"/>
    <w:rsid w:val="00050EAE"/>
    <w:rsid w:val="00051341"/>
    <w:rsid w:val="00051486"/>
    <w:rsid w:val="00051501"/>
    <w:rsid w:val="000518CC"/>
    <w:rsid w:val="00051F7D"/>
    <w:rsid w:val="00052422"/>
    <w:rsid w:val="00052690"/>
    <w:rsid w:val="00052831"/>
    <w:rsid w:val="0005288A"/>
    <w:rsid w:val="000528E8"/>
    <w:rsid w:val="00052A2C"/>
    <w:rsid w:val="00052AB5"/>
    <w:rsid w:val="00052B9B"/>
    <w:rsid w:val="00052D27"/>
    <w:rsid w:val="000531ED"/>
    <w:rsid w:val="00053588"/>
    <w:rsid w:val="000535EF"/>
    <w:rsid w:val="00053BAC"/>
    <w:rsid w:val="000542CC"/>
    <w:rsid w:val="000543E1"/>
    <w:rsid w:val="00054496"/>
    <w:rsid w:val="00054709"/>
    <w:rsid w:val="000548E4"/>
    <w:rsid w:val="00054B5E"/>
    <w:rsid w:val="00054C3D"/>
    <w:rsid w:val="00054C3E"/>
    <w:rsid w:val="0005503F"/>
    <w:rsid w:val="00055218"/>
    <w:rsid w:val="00055271"/>
    <w:rsid w:val="000554EA"/>
    <w:rsid w:val="000557AF"/>
    <w:rsid w:val="000558A4"/>
    <w:rsid w:val="000558D1"/>
    <w:rsid w:val="000560A0"/>
    <w:rsid w:val="00056190"/>
    <w:rsid w:val="000561F0"/>
    <w:rsid w:val="000562A6"/>
    <w:rsid w:val="00056BF1"/>
    <w:rsid w:val="00056E60"/>
    <w:rsid w:val="00056EAE"/>
    <w:rsid w:val="00056F5B"/>
    <w:rsid w:val="000570A7"/>
    <w:rsid w:val="00057309"/>
    <w:rsid w:val="00057380"/>
    <w:rsid w:val="000575FD"/>
    <w:rsid w:val="000579BE"/>
    <w:rsid w:val="00057CEC"/>
    <w:rsid w:val="00057D4D"/>
    <w:rsid w:val="00060137"/>
    <w:rsid w:val="000604EB"/>
    <w:rsid w:val="00060651"/>
    <w:rsid w:val="00060B30"/>
    <w:rsid w:val="00060B94"/>
    <w:rsid w:val="00060CBF"/>
    <w:rsid w:val="00061108"/>
    <w:rsid w:val="00061124"/>
    <w:rsid w:val="000612C9"/>
    <w:rsid w:val="000612EE"/>
    <w:rsid w:val="0006132C"/>
    <w:rsid w:val="000613C4"/>
    <w:rsid w:val="00061454"/>
    <w:rsid w:val="00061815"/>
    <w:rsid w:val="00061833"/>
    <w:rsid w:val="00061B99"/>
    <w:rsid w:val="000621FB"/>
    <w:rsid w:val="00062385"/>
    <w:rsid w:val="0006260A"/>
    <w:rsid w:val="00062734"/>
    <w:rsid w:val="00062D40"/>
    <w:rsid w:val="00062F38"/>
    <w:rsid w:val="00062F74"/>
    <w:rsid w:val="000634DD"/>
    <w:rsid w:val="0006390C"/>
    <w:rsid w:val="00063A0A"/>
    <w:rsid w:val="00063A1D"/>
    <w:rsid w:val="00063DDA"/>
    <w:rsid w:val="000640CD"/>
    <w:rsid w:val="00064331"/>
    <w:rsid w:val="00064595"/>
    <w:rsid w:val="000645B4"/>
    <w:rsid w:val="000647A6"/>
    <w:rsid w:val="000648FA"/>
    <w:rsid w:val="000649B6"/>
    <w:rsid w:val="00064AD2"/>
    <w:rsid w:val="00064BDF"/>
    <w:rsid w:val="00064BF1"/>
    <w:rsid w:val="0006518D"/>
    <w:rsid w:val="000652E5"/>
    <w:rsid w:val="000655EE"/>
    <w:rsid w:val="0006569F"/>
    <w:rsid w:val="00065728"/>
    <w:rsid w:val="000658C3"/>
    <w:rsid w:val="00065928"/>
    <w:rsid w:val="00065AC7"/>
    <w:rsid w:val="00065ACC"/>
    <w:rsid w:val="00065BCD"/>
    <w:rsid w:val="00065C0E"/>
    <w:rsid w:val="00065D12"/>
    <w:rsid w:val="00066579"/>
    <w:rsid w:val="00066653"/>
    <w:rsid w:val="000666E4"/>
    <w:rsid w:val="0006687C"/>
    <w:rsid w:val="000669D7"/>
    <w:rsid w:val="00066A45"/>
    <w:rsid w:val="00066CD5"/>
    <w:rsid w:val="0006706A"/>
    <w:rsid w:val="0006740B"/>
    <w:rsid w:val="00067711"/>
    <w:rsid w:val="00067954"/>
    <w:rsid w:val="00067B05"/>
    <w:rsid w:val="00067E29"/>
    <w:rsid w:val="00067EFE"/>
    <w:rsid w:val="000704DA"/>
    <w:rsid w:val="00070692"/>
    <w:rsid w:val="00070C09"/>
    <w:rsid w:val="0007104D"/>
    <w:rsid w:val="00071147"/>
    <w:rsid w:val="000711E6"/>
    <w:rsid w:val="0007132C"/>
    <w:rsid w:val="00071346"/>
    <w:rsid w:val="0007152B"/>
    <w:rsid w:val="000716C6"/>
    <w:rsid w:val="00071B83"/>
    <w:rsid w:val="00071CAD"/>
    <w:rsid w:val="00071E14"/>
    <w:rsid w:val="00072123"/>
    <w:rsid w:val="000723F8"/>
    <w:rsid w:val="00072999"/>
    <w:rsid w:val="00072DB7"/>
    <w:rsid w:val="000731CE"/>
    <w:rsid w:val="00073241"/>
    <w:rsid w:val="000732A6"/>
    <w:rsid w:val="000732D4"/>
    <w:rsid w:val="00073550"/>
    <w:rsid w:val="000737B6"/>
    <w:rsid w:val="000738CE"/>
    <w:rsid w:val="000739E7"/>
    <w:rsid w:val="00073A93"/>
    <w:rsid w:val="00073E27"/>
    <w:rsid w:val="000741E3"/>
    <w:rsid w:val="00074362"/>
    <w:rsid w:val="0007438B"/>
    <w:rsid w:val="00075B1A"/>
    <w:rsid w:val="00075B43"/>
    <w:rsid w:val="00075F93"/>
    <w:rsid w:val="00076245"/>
    <w:rsid w:val="00076278"/>
    <w:rsid w:val="0007628F"/>
    <w:rsid w:val="00076310"/>
    <w:rsid w:val="00076394"/>
    <w:rsid w:val="0007660D"/>
    <w:rsid w:val="000766F1"/>
    <w:rsid w:val="00076ADD"/>
    <w:rsid w:val="00076D05"/>
    <w:rsid w:val="0007731B"/>
    <w:rsid w:val="00077856"/>
    <w:rsid w:val="00077B20"/>
    <w:rsid w:val="00080448"/>
    <w:rsid w:val="000805A8"/>
    <w:rsid w:val="00080709"/>
    <w:rsid w:val="0008096E"/>
    <w:rsid w:val="0008096F"/>
    <w:rsid w:val="00080A91"/>
    <w:rsid w:val="00080D7B"/>
    <w:rsid w:val="00081020"/>
    <w:rsid w:val="0008114C"/>
    <w:rsid w:val="000818AA"/>
    <w:rsid w:val="00081902"/>
    <w:rsid w:val="000819FF"/>
    <w:rsid w:val="00081B17"/>
    <w:rsid w:val="00081C7C"/>
    <w:rsid w:val="000821FF"/>
    <w:rsid w:val="000824B0"/>
    <w:rsid w:val="000824E1"/>
    <w:rsid w:val="00082763"/>
    <w:rsid w:val="000828E5"/>
    <w:rsid w:val="0008297F"/>
    <w:rsid w:val="00082CF1"/>
    <w:rsid w:val="00082D24"/>
    <w:rsid w:val="00082E75"/>
    <w:rsid w:val="00082F6D"/>
    <w:rsid w:val="000832E4"/>
    <w:rsid w:val="00083674"/>
    <w:rsid w:val="000839ED"/>
    <w:rsid w:val="00083A0A"/>
    <w:rsid w:val="00083C22"/>
    <w:rsid w:val="0008430C"/>
    <w:rsid w:val="00084460"/>
    <w:rsid w:val="00084732"/>
    <w:rsid w:val="000849CD"/>
    <w:rsid w:val="00084B37"/>
    <w:rsid w:val="00084F7D"/>
    <w:rsid w:val="00084F96"/>
    <w:rsid w:val="0008509F"/>
    <w:rsid w:val="000853E4"/>
    <w:rsid w:val="00085AC8"/>
    <w:rsid w:val="00085CD8"/>
    <w:rsid w:val="00085DC7"/>
    <w:rsid w:val="00085E23"/>
    <w:rsid w:val="00085E80"/>
    <w:rsid w:val="000861C1"/>
    <w:rsid w:val="00086A02"/>
    <w:rsid w:val="00086AEA"/>
    <w:rsid w:val="00086AF0"/>
    <w:rsid w:val="00086CB9"/>
    <w:rsid w:val="00086EFB"/>
    <w:rsid w:val="00087549"/>
    <w:rsid w:val="00087B64"/>
    <w:rsid w:val="0009000D"/>
    <w:rsid w:val="0009033F"/>
    <w:rsid w:val="000903FC"/>
    <w:rsid w:val="00090B03"/>
    <w:rsid w:val="00090C01"/>
    <w:rsid w:val="00090E5B"/>
    <w:rsid w:val="000911E4"/>
    <w:rsid w:val="0009129D"/>
    <w:rsid w:val="00091305"/>
    <w:rsid w:val="00091677"/>
    <w:rsid w:val="00091CD3"/>
    <w:rsid w:val="00091D29"/>
    <w:rsid w:val="00091E19"/>
    <w:rsid w:val="00092007"/>
    <w:rsid w:val="00092128"/>
    <w:rsid w:val="0009233C"/>
    <w:rsid w:val="000923E4"/>
    <w:rsid w:val="00092B63"/>
    <w:rsid w:val="00092D08"/>
    <w:rsid w:val="00092D80"/>
    <w:rsid w:val="00092DF9"/>
    <w:rsid w:val="00092E99"/>
    <w:rsid w:val="00093534"/>
    <w:rsid w:val="0009386F"/>
    <w:rsid w:val="000938AD"/>
    <w:rsid w:val="000940D6"/>
    <w:rsid w:val="000943F0"/>
    <w:rsid w:val="000949E6"/>
    <w:rsid w:val="00094A18"/>
    <w:rsid w:val="00094CEB"/>
    <w:rsid w:val="00094F64"/>
    <w:rsid w:val="0009500D"/>
    <w:rsid w:val="000952B5"/>
    <w:rsid w:val="00095900"/>
    <w:rsid w:val="00095DA6"/>
    <w:rsid w:val="00095F88"/>
    <w:rsid w:val="00096403"/>
    <w:rsid w:val="00096A4F"/>
    <w:rsid w:val="00096AA7"/>
    <w:rsid w:val="00096CF5"/>
    <w:rsid w:val="00096D8D"/>
    <w:rsid w:val="00096E98"/>
    <w:rsid w:val="00096EE8"/>
    <w:rsid w:val="00096F0F"/>
    <w:rsid w:val="000972C3"/>
    <w:rsid w:val="000972EA"/>
    <w:rsid w:val="000974AB"/>
    <w:rsid w:val="00097653"/>
    <w:rsid w:val="00097A53"/>
    <w:rsid w:val="00097E96"/>
    <w:rsid w:val="000A0425"/>
    <w:rsid w:val="000A04D0"/>
    <w:rsid w:val="000A0BEC"/>
    <w:rsid w:val="000A0C73"/>
    <w:rsid w:val="000A0D34"/>
    <w:rsid w:val="000A0DA3"/>
    <w:rsid w:val="000A0E66"/>
    <w:rsid w:val="000A12CE"/>
    <w:rsid w:val="000A152A"/>
    <w:rsid w:val="000A164D"/>
    <w:rsid w:val="000A17AD"/>
    <w:rsid w:val="000A1872"/>
    <w:rsid w:val="000A1B2A"/>
    <w:rsid w:val="000A1CE3"/>
    <w:rsid w:val="000A1E82"/>
    <w:rsid w:val="000A239E"/>
    <w:rsid w:val="000A2F34"/>
    <w:rsid w:val="000A3373"/>
    <w:rsid w:val="000A338F"/>
    <w:rsid w:val="000A37EE"/>
    <w:rsid w:val="000A3918"/>
    <w:rsid w:val="000A3CAA"/>
    <w:rsid w:val="000A4092"/>
    <w:rsid w:val="000A43E7"/>
    <w:rsid w:val="000A4904"/>
    <w:rsid w:val="000A493C"/>
    <w:rsid w:val="000A4B7F"/>
    <w:rsid w:val="000A4CBB"/>
    <w:rsid w:val="000A4EE8"/>
    <w:rsid w:val="000A4F1D"/>
    <w:rsid w:val="000A51FA"/>
    <w:rsid w:val="000A537E"/>
    <w:rsid w:val="000A53B8"/>
    <w:rsid w:val="000A55A5"/>
    <w:rsid w:val="000A55E6"/>
    <w:rsid w:val="000A56B3"/>
    <w:rsid w:val="000A5752"/>
    <w:rsid w:val="000A58F7"/>
    <w:rsid w:val="000A5FB8"/>
    <w:rsid w:val="000A61C9"/>
    <w:rsid w:val="000A62B3"/>
    <w:rsid w:val="000A6497"/>
    <w:rsid w:val="000A67C9"/>
    <w:rsid w:val="000A6A91"/>
    <w:rsid w:val="000A6AB0"/>
    <w:rsid w:val="000A701C"/>
    <w:rsid w:val="000A70C2"/>
    <w:rsid w:val="000A754F"/>
    <w:rsid w:val="000A7F96"/>
    <w:rsid w:val="000B0ACE"/>
    <w:rsid w:val="000B0CBA"/>
    <w:rsid w:val="000B0D6F"/>
    <w:rsid w:val="000B187A"/>
    <w:rsid w:val="000B1C62"/>
    <w:rsid w:val="000B1DA2"/>
    <w:rsid w:val="000B209A"/>
    <w:rsid w:val="000B2341"/>
    <w:rsid w:val="000B2469"/>
    <w:rsid w:val="000B27C2"/>
    <w:rsid w:val="000B2CA1"/>
    <w:rsid w:val="000B2D15"/>
    <w:rsid w:val="000B2E01"/>
    <w:rsid w:val="000B322F"/>
    <w:rsid w:val="000B328D"/>
    <w:rsid w:val="000B383F"/>
    <w:rsid w:val="000B391F"/>
    <w:rsid w:val="000B3AC9"/>
    <w:rsid w:val="000B3AEA"/>
    <w:rsid w:val="000B3AF7"/>
    <w:rsid w:val="000B3B9C"/>
    <w:rsid w:val="000B41AC"/>
    <w:rsid w:val="000B434B"/>
    <w:rsid w:val="000B4833"/>
    <w:rsid w:val="000B4CF4"/>
    <w:rsid w:val="000B4F89"/>
    <w:rsid w:val="000B51AC"/>
    <w:rsid w:val="000B57C8"/>
    <w:rsid w:val="000B58BA"/>
    <w:rsid w:val="000B59FA"/>
    <w:rsid w:val="000B5D37"/>
    <w:rsid w:val="000B5DBE"/>
    <w:rsid w:val="000B5E53"/>
    <w:rsid w:val="000B5F72"/>
    <w:rsid w:val="000B5F90"/>
    <w:rsid w:val="000B60D0"/>
    <w:rsid w:val="000B6195"/>
    <w:rsid w:val="000B6944"/>
    <w:rsid w:val="000B69CB"/>
    <w:rsid w:val="000B6A19"/>
    <w:rsid w:val="000B6BBB"/>
    <w:rsid w:val="000B6E80"/>
    <w:rsid w:val="000B7073"/>
    <w:rsid w:val="000B7290"/>
    <w:rsid w:val="000B7464"/>
    <w:rsid w:val="000B7D20"/>
    <w:rsid w:val="000B7EFC"/>
    <w:rsid w:val="000C02AD"/>
    <w:rsid w:val="000C0313"/>
    <w:rsid w:val="000C03C5"/>
    <w:rsid w:val="000C0F0F"/>
    <w:rsid w:val="000C0FC8"/>
    <w:rsid w:val="000C117E"/>
    <w:rsid w:val="000C1382"/>
    <w:rsid w:val="000C1482"/>
    <w:rsid w:val="000C163F"/>
    <w:rsid w:val="000C16E2"/>
    <w:rsid w:val="000C1895"/>
    <w:rsid w:val="000C1DC5"/>
    <w:rsid w:val="000C204A"/>
    <w:rsid w:val="000C21F7"/>
    <w:rsid w:val="000C2426"/>
    <w:rsid w:val="000C33F8"/>
    <w:rsid w:val="000C3601"/>
    <w:rsid w:val="000C3618"/>
    <w:rsid w:val="000C3682"/>
    <w:rsid w:val="000C3797"/>
    <w:rsid w:val="000C3952"/>
    <w:rsid w:val="000C3B90"/>
    <w:rsid w:val="000C40DA"/>
    <w:rsid w:val="000C47EA"/>
    <w:rsid w:val="000C4B93"/>
    <w:rsid w:val="000C4F3E"/>
    <w:rsid w:val="000C4FC1"/>
    <w:rsid w:val="000C5004"/>
    <w:rsid w:val="000C50A6"/>
    <w:rsid w:val="000C523B"/>
    <w:rsid w:val="000C5639"/>
    <w:rsid w:val="000C575B"/>
    <w:rsid w:val="000C57AA"/>
    <w:rsid w:val="000C5B52"/>
    <w:rsid w:val="000C5D6E"/>
    <w:rsid w:val="000C5DE7"/>
    <w:rsid w:val="000C5E61"/>
    <w:rsid w:val="000C5EC6"/>
    <w:rsid w:val="000C5F0A"/>
    <w:rsid w:val="000C5F56"/>
    <w:rsid w:val="000C608C"/>
    <w:rsid w:val="000C63EB"/>
    <w:rsid w:val="000C6441"/>
    <w:rsid w:val="000C645D"/>
    <w:rsid w:val="000C65D2"/>
    <w:rsid w:val="000C6600"/>
    <w:rsid w:val="000C671D"/>
    <w:rsid w:val="000C695F"/>
    <w:rsid w:val="000C69F0"/>
    <w:rsid w:val="000C6CD1"/>
    <w:rsid w:val="000C6F30"/>
    <w:rsid w:val="000C70FA"/>
    <w:rsid w:val="000C71CB"/>
    <w:rsid w:val="000C77B2"/>
    <w:rsid w:val="000C794C"/>
    <w:rsid w:val="000C7ECF"/>
    <w:rsid w:val="000C7F2F"/>
    <w:rsid w:val="000D030F"/>
    <w:rsid w:val="000D03E1"/>
    <w:rsid w:val="000D0409"/>
    <w:rsid w:val="000D04E7"/>
    <w:rsid w:val="000D0943"/>
    <w:rsid w:val="000D0AC3"/>
    <w:rsid w:val="000D0E98"/>
    <w:rsid w:val="000D1257"/>
    <w:rsid w:val="000D1540"/>
    <w:rsid w:val="000D1A87"/>
    <w:rsid w:val="000D1BB5"/>
    <w:rsid w:val="000D1F6D"/>
    <w:rsid w:val="000D2140"/>
    <w:rsid w:val="000D2673"/>
    <w:rsid w:val="000D2848"/>
    <w:rsid w:val="000D2997"/>
    <w:rsid w:val="000D2A2F"/>
    <w:rsid w:val="000D2C1A"/>
    <w:rsid w:val="000D2C70"/>
    <w:rsid w:val="000D3711"/>
    <w:rsid w:val="000D3BC8"/>
    <w:rsid w:val="000D3CF2"/>
    <w:rsid w:val="000D3DDB"/>
    <w:rsid w:val="000D44A3"/>
    <w:rsid w:val="000D4573"/>
    <w:rsid w:val="000D46A1"/>
    <w:rsid w:val="000D49E8"/>
    <w:rsid w:val="000D4CCB"/>
    <w:rsid w:val="000D4F6B"/>
    <w:rsid w:val="000D5105"/>
    <w:rsid w:val="000D5234"/>
    <w:rsid w:val="000D545A"/>
    <w:rsid w:val="000D5AA1"/>
    <w:rsid w:val="000D5F4D"/>
    <w:rsid w:val="000D6197"/>
    <w:rsid w:val="000D6AFE"/>
    <w:rsid w:val="000D6E6C"/>
    <w:rsid w:val="000D736F"/>
    <w:rsid w:val="000D749E"/>
    <w:rsid w:val="000D7780"/>
    <w:rsid w:val="000D7A9E"/>
    <w:rsid w:val="000D7C42"/>
    <w:rsid w:val="000D7C88"/>
    <w:rsid w:val="000D7CD5"/>
    <w:rsid w:val="000D7FD7"/>
    <w:rsid w:val="000D8B6A"/>
    <w:rsid w:val="000DCEAB"/>
    <w:rsid w:val="000E006E"/>
    <w:rsid w:val="000E0070"/>
    <w:rsid w:val="000E0131"/>
    <w:rsid w:val="000E02EA"/>
    <w:rsid w:val="000E056E"/>
    <w:rsid w:val="000E0759"/>
    <w:rsid w:val="000E0A18"/>
    <w:rsid w:val="000E0A35"/>
    <w:rsid w:val="000E0AE8"/>
    <w:rsid w:val="000E0DF9"/>
    <w:rsid w:val="000E148A"/>
    <w:rsid w:val="000E1554"/>
    <w:rsid w:val="000E1583"/>
    <w:rsid w:val="000E1606"/>
    <w:rsid w:val="000E1613"/>
    <w:rsid w:val="000E1CF3"/>
    <w:rsid w:val="000E2209"/>
    <w:rsid w:val="000E254C"/>
    <w:rsid w:val="000E2601"/>
    <w:rsid w:val="000E2AC3"/>
    <w:rsid w:val="000E2E63"/>
    <w:rsid w:val="000E31BB"/>
    <w:rsid w:val="000E31F9"/>
    <w:rsid w:val="000E332E"/>
    <w:rsid w:val="000E33CE"/>
    <w:rsid w:val="000E33F3"/>
    <w:rsid w:val="000E399B"/>
    <w:rsid w:val="000E3CB2"/>
    <w:rsid w:val="000E3F9C"/>
    <w:rsid w:val="000E49E1"/>
    <w:rsid w:val="000E4AF8"/>
    <w:rsid w:val="000E4F0D"/>
    <w:rsid w:val="000E52CA"/>
    <w:rsid w:val="000E561C"/>
    <w:rsid w:val="000E57D3"/>
    <w:rsid w:val="000E5B7D"/>
    <w:rsid w:val="000E6066"/>
    <w:rsid w:val="000E653A"/>
    <w:rsid w:val="000E676D"/>
    <w:rsid w:val="000E67CD"/>
    <w:rsid w:val="000E68CF"/>
    <w:rsid w:val="000E6B60"/>
    <w:rsid w:val="000E6E6B"/>
    <w:rsid w:val="000E6F8D"/>
    <w:rsid w:val="000E71A5"/>
    <w:rsid w:val="000E7454"/>
    <w:rsid w:val="000E75B2"/>
    <w:rsid w:val="000E7753"/>
    <w:rsid w:val="000E7979"/>
    <w:rsid w:val="000E7A46"/>
    <w:rsid w:val="000E7C82"/>
    <w:rsid w:val="000E7E3A"/>
    <w:rsid w:val="000E7EE6"/>
    <w:rsid w:val="000F0406"/>
    <w:rsid w:val="000F0505"/>
    <w:rsid w:val="000F09C7"/>
    <w:rsid w:val="000F0B57"/>
    <w:rsid w:val="000F0E03"/>
    <w:rsid w:val="000F0E7E"/>
    <w:rsid w:val="000F1478"/>
    <w:rsid w:val="000F1499"/>
    <w:rsid w:val="000F154C"/>
    <w:rsid w:val="000F1650"/>
    <w:rsid w:val="000F1675"/>
    <w:rsid w:val="000F16EB"/>
    <w:rsid w:val="000F17DB"/>
    <w:rsid w:val="000F197B"/>
    <w:rsid w:val="000F1A2E"/>
    <w:rsid w:val="000F1AAD"/>
    <w:rsid w:val="000F1B6B"/>
    <w:rsid w:val="000F1C61"/>
    <w:rsid w:val="000F1FF2"/>
    <w:rsid w:val="000F2135"/>
    <w:rsid w:val="000F220A"/>
    <w:rsid w:val="000F246D"/>
    <w:rsid w:val="000F3072"/>
    <w:rsid w:val="000F3CB0"/>
    <w:rsid w:val="000F4063"/>
    <w:rsid w:val="000F43E5"/>
    <w:rsid w:val="000F44FF"/>
    <w:rsid w:val="000F45F6"/>
    <w:rsid w:val="000F4A5D"/>
    <w:rsid w:val="000F50B4"/>
    <w:rsid w:val="000F52C1"/>
    <w:rsid w:val="000F52FF"/>
    <w:rsid w:val="000F5D59"/>
    <w:rsid w:val="000F5F84"/>
    <w:rsid w:val="000F5FF3"/>
    <w:rsid w:val="000F6008"/>
    <w:rsid w:val="000F68B2"/>
    <w:rsid w:val="000F6941"/>
    <w:rsid w:val="000F6A9A"/>
    <w:rsid w:val="000F6A9C"/>
    <w:rsid w:val="000F6CF6"/>
    <w:rsid w:val="000F71E3"/>
    <w:rsid w:val="000F74D3"/>
    <w:rsid w:val="000F7522"/>
    <w:rsid w:val="000F7667"/>
    <w:rsid w:val="000F7857"/>
    <w:rsid w:val="000F786F"/>
    <w:rsid w:val="000F7992"/>
    <w:rsid w:val="000F7C4B"/>
    <w:rsid w:val="000F7C84"/>
    <w:rsid w:val="000F7CD8"/>
    <w:rsid w:val="001002E6"/>
    <w:rsid w:val="0010045E"/>
    <w:rsid w:val="00100728"/>
    <w:rsid w:val="001008CB"/>
    <w:rsid w:val="00100C92"/>
    <w:rsid w:val="00100CD7"/>
    <w:rsid w:val="00101579"/>
    <w:rsid w:val="00101AB6"/>
    <w:rsid w:val="00101C6F"/>
    <w:rsid w:val="00101CF1"/>
    <w:rsid w:val="00101F8F"/>
    <w:rsid w:val="00101FFB"/>
    <w:rsid w:val="0010212D"/>
    <w:rsid w:val="001021E3"/>
    <w:rsid w:val="00102235"/>
    <w:rsid w:val="001022A0"/>
    <w:rsid w:val="001027B4"/>
    <w:rsid w:val="00102985"/>
    <w:rsid w:val="00102BDC"/>
    <w:rsid w:val="00102E0D"/>
    <w:rsid w:val="00102E28"/>
    <w:rsid w:val="00102F16"/>
    <w:rsid w:val="00103582"/>
    <w:rsid w:val="0010367D"/>
    <w:rsid w:val="001039CF"/>
    <w:rsid w:val="001046CB"/>
    <w:rsid w:val="0010475F"/>
    <w:rsid w:val="00105409"/>
    <w:rsid w:val="001054F3"/>
    <w:rsid w:val="00105632"/>
    <w:rsid w:val="001056CF"/>
    <w:rsid w:val="0010591D"/>
    <w:rsid w:val="00105A6C"/>
    <w:rsid w:val="00106792"/>
    <w:rsid w:val="00106C58"/>
    <w:rsid w:val="00106D5C"/>
    <w:rsid w:val="001072F1"/>
    <w:rsid w:val="00107461"/>
    <w:rsid w:val="00107560"/>
    <w:rsid w:val="00110159"/>
    <w:rsid w:val="001102E7"/>
    <w:rsid w:val="00110323"/>
    <w:rsid w:val="0011033E"/>
    <w:rsid w:val="00110407"/>
    <w:rsid w:val="00110722"/>
    <w:rsid w:val="00110919"/>
    <w:rsid w:val="00110CD5"/>
    <w:rsid w:val="00110E41"/>
    <w:rsid w:val="00111342"/>
    <w:rsid w:val="001114A5"/>
    <w:rsid w:val="0011158F"/>
    <w:rsid w:val="001115AA"/>
    <w:rsid w:val="00111A3D"/>
    <w:rsid w:val="00111C19"/>
    <w:rsid w:val="00111CB9"/>
    <w:rsid w:val="00111D35"/>
    <w:rsid w:val="00111F30"/>
    <w:rsid w:val="001120B8"/>
    <w:rsid w:val="0011222F"/>
    <w:rsid w:val="00112596"/>
    <w:rsid w:val="001125CD"/>
    <w:rsid w:val="001127C3"/>
    <w:rsid w:val="00112A31"/>
    <w:rsid w:val="00112A59"/>
    <w:rsid w:val="00112AFA"/>
    <w:rsid w:val="00112CD0"/>
    <w:rsid w:val="00112FE9"/>
    <w:rsid w:val="001131AC"/>
    <w:rsid w:val="0011349F"/>
    <w:rsid w:val="001134FD"/>
    <w:rsid w:val="0011376A"/>
    <w:rsid w:val="00113AE1"/>
    <w:rsid w:val="00113FD6"/>
    <w:rsid w:val="0011436F"/>
    <w:rsid w:val="001146E6"/>
    <w:rsid w:val="00114E41"/>
    <w:rsid w:val="00115063"/>
    <w:rsid w:val="0011556D"/>
    <w:rsid w:val="00115AF3"/>
    <w:rsid w:val="00115DAD"/>
    <w:rsid w:val="001160AB"/>
    <w:rsid w:val="0011614F"/>
    <w:rsid w:val="00116333"/>
    <w:rsid w:val="001163C5"/>
    <w:rsid w:val="00116865"/>
    <w:rsid w:val="00116B2E"/>
    <w:rsid w:val="00116D88"/>
    <w:rsid w:val="00116DF3"/>
    <w:rsid w:val="00116E02"/>
    <w:rsid w:val="00117483"/>
    <w:rsid w:val="0011750B"/>
    <w:rsid w:val="00117725"/>
    <w:rsid w:val="00117814"/>
    <w:rsid w:val="00117BC9"/>
    <w:rsid w:val="001200E9"/>
    <w:rsid w:val="001204C3"/>
    <w:rsid w:val="0012054A"/>
    <w:rsid w:val="00120B26"/>
    <w:rsid w:val="00120CB9"/>
    <w:rsid w:val="00120E4E"/>
    <w:rsid w:val="00120E6E"/>
    <w:rsid w:val="00120F03"/>
    <w:rsid w:val="0012145A"/>
    <w:rsid w:val="00121542"/>
    <w:rsid w:val="00121A63"/>
    <w:rsid w:val="00121F22"/>
    <w:rsid w:val="0012239D"/>
    <w:rsid w:val="001225F6"/>
    <w:rsid w:val="00122753"/>
    <w:rsid w:val="00122782"/>
    <w:rsid w:val="001227BB"/>
    <w:rsid w:val="00122EF6"/>
    <w:rsid w:val="0012351B"/>
    <w:rsid w:val="00123532"/>
    <w:rsid w:val="0012384D"/>
    <w:rsid w:val="00123931"/>
    <w:rsid w:val="001239EB"/>
    <w:rsid w:val="00123AD4"/>
    <w:rsid w:val="00123F34"/>
    <w:rsid w:val="00123FC5"/>
    <w:rsid w:val="00124175"/>
    <w:rsid w:val="00124477"/>
    <w:rsid w:val="00124781"/>
    <w:rsid w:val="001248B7"/>
    <w:rsid w:val="00124D1D"/>
    <w:rsid w:val="0012504F"/>
    <w:rsid w:val="001252AA"/>
    <w:rsid w:val="001256BE"/>
    <w:rsid w:val="00125717"/>
    <w:rsid w:val="00125CF7"/>
    <w:rsid w:val="001261F5"/>
    <w:rsid w:val="00126BA8"/>
    <w:rsid w:val="00126BB9"/>
    <w:rsid w:val="00126BF9"/>
    <w:rsid w:val="00126F92"/>
    <w:rsid w:val="00127049"/>
    <w:rsid w:val="00127393"/>
    <w:rsid w:val="00127455"/>
    <w:rsid w:val="00127C1F"/>
    <w:rsid w:val="00127CA4"/>
    <w:rsid w:val="00127DC3"/>
    <w:rsid w:val="00127E89"/>
    <w:rsid w:val="0013012F"/>
    <w:rsid w:val="00130447"/>
    <w:rsid w:val="001304D6"/>
    <w:rsid w:val="00130F43"/>
    <w:rsid w:val="00130F63"/>
    <w:rsid w:val="001312B5"/>
    <w:rsid w:val="00131E5C"/>
    <w:rsid w:val="0013205C"/>
    <w:rsid w:val="0013240E"/>
    <w:rsid w:val="00132A78"/>
    <w:rsid w:val="00132ACA"/>
    <w:rsid w:val="00132FF3"/>
    <w:rsid w:val="0013314F"/>
    <w:rsid w:val="001331EE"/>
    <w:rsid w:val="001337BC"/>
    <w:rsid w:val="001338FA"/>
    <w:rsid w:val="00133941"/>
    <w:rsid w:val="00133DEA"/>
    <w:rsid w:val="001340C1"/>
    <w:rsid w:val="001340DE"/>
    <w:rsid w:val="001344E8"/>
    <w:rsid w:val="00134832"/>
    <w:rsid w:val="0013496C"/>
    <w:rsid w:val="00134B93"/>
    <w:rsid w:val="00134DE5"/>
    <w:rsid w:val="00134F25"/>
    <w:rsid w:val="00134F62"/>
    <w:rsid w:val="00135003"/>
    <w:rsid w:val="001352AC"/>
    <w:rsid w:val="00135981"/>
    <w:rsid w:val="00135A6B"/>
    <w:rsid w:val="00135CD5"/>
    <w:rsid w:val="00136339"/>
    <w:rsid w:val="001364CA"/>
    <w:rsid w:val="001365DB"/>
    <w:rsid w:val="00136B64"/>
    <w:rsid w:val="00136C2E"/>
    <w:rsid w:val="001372D0"/>
    <w:rsid w:val="00137D95"/>
    <w:rsid w:val="00140052"/>
    <w:rsid w:val="001401E1"/>
    <w:rsid w:val="001403CD"/>
    <w:rsid w:val="00140649"/>
    <w:rsid w:val="00140F12"/>
    <w:rsid w:val="00141389"/>
    <w:rsid w:val="0014142E"/>
    <w:rsid w:val="00141A87"/>
    <w:rsid w:val="00141AF4"/>
    <w:rsid w:val="00141D0B"/>
    <w:rsid w:val="00142133"/>
    <w:rsid w:val="00142239"/>
    <w:rsid w:val="001422FE"/>
    <w:rsid w:val="0014272B"/>
    <w:rsid w:val="00142813"/>
    <w:rsid w:val="00142830"/>
    <w:rsid w:val="00142ADA"/>
    <w:rsid w:val="00142DE4"/>
    <w:rsid w:val="00143371"/>
    <w:rsid w:val="0014376C"/>
    <w:rsid w:val="00143960"/>
    <w:rsid w:val="00143E50"/>
    <w:rsid w:val="001444C1"/>
    <w:rsid w:val="001444F4"/>
    <w:rsid w:val="00144628"/>
    <w:rsid w:val="001447B5"/>
    <w:rsid w:val="0014487F"/>
    <w:rsid w:val="00144B2B"/>
    <w:rsid w:val="00144CD8"/>
    <w:rsid w:val="00144E8D"/>
    <w:rsid w:val="00144F74"/>
    <w:rsid w:val="0014510C"/>
    <w:rsid w:val="00145B36"/>
    <w:rsid w:val="00145B83"/>
    <w:rsid w:val="00145E62"/>
    <w:rsid w:val="00146A94"/>
    <w:rsid w:val="00146BC6"/>
    <w:rsid w:val="00146CDB"/>
    <w:rsid w:val="00146DCB"/>
    <w:rsid w:val="00146F1F"/>
    <w:rsid w:val="00147239"/>
    <w:rsid w:val="001475B8"/>
    <w:rsid w:val="0014762A"/>
    <w:rsid w:val="00147956"/>
    <w:rsid w:val="00150005"/>
    <w:rsid w:val="00150026"/>
    <w:rsid w:val="0015016A"/>
    <w:rsid w:val="00150401"/>
    <w:rsid w:val="00150571"/>
    <w:rsid w:val="00150596"/>
    <w:rsid w:val="00150706"/>
    <w:rsid w:val="00150753"/>
    <w:rsid w:val="001509F0"/>
    <w:rsid w:val="00150A7F"/>
    <w:rsid w:val="00150BCE"/>
    <w:rsid w:val="00150E4A"/>
    <w:rsid w:val="00151001"/>
    <w:rsid w:val="0015130D"/>
    <w:rsid w:val="00151456"/>
    <w:rsid w:val="00151974"/>
    <w:rsid w:val="001519AA"/>
    <w:rsid w:val="00151A02"/>
    <w:rsid w:val="00151D01"/>
    <w:rsid w:val="00151F8E"/>
    <w:rsid w:val="00152163"/>
    <w:rsid w:val="00152173"/>
    <w:rsid w:val="001522BC"/>
    <w:rsid w:val="001523AC"/>
    <w:rsid w:val="00152473"/>
    <w:rsid w:val="001524F0"/>
    <w:rsid w:val="001526C0"/>
    <w:rsid w:val="001526C9"/>
    <w:rsid w:val="00152EAE"/>
    <w:rsid w:val="00153114"/>
    <w:rsid w:val="0015322D"/>
    <w:rsid w:val="00153317"/>
    <w:rsid w:val="0015352A"/>
    <w:rsid w:val="001539CF"/>
    <w:rsid w:val="00154123"/>
    <w:rsid w:val="00154193"/>
    <w:rsid w:val="0015420A"/>
    <w:rsid w:val="00154A50"/>
    <w:rsid w:val="00154DCC"/>
    <w:rsid w:val="00154DE3"/>
    <w:rsid w:val="0015537E"/>
    <w:rsid w:val="001555C6"/>
    <w:rsid w:val="0015566D"/>
    <w:rsid w:val="001557AE"/>
    <w:rsid w:val="0015629B"/>
    <w:rsid w:val="0015629D"/>
    <w:rsid w:val="0015664F"/>
    <w:rsid w:val="001568EE"/>
    <w:rsid w:val="00156939"/>
    <w:rsid w:val="00156D05"/>
    <w:rsid w:val="00156D13"/>
    <w:rsid w:val="00156EE9"/>
    <w:rsid w:val="00157200"/>
    <w:rsid w:val="00157448"/>
    <w:rsid w:val="0015749A"/>
    <w:rsid w:val="00157609"/>
    <w:rsid w:val="001576D8"/>
    <w:rsid w:val="00157A2E"/>
    <w:rsid w:val="00157CD8"/>
    <w:rsid w:val="00157EA7"/>
    <w:rsid w:val="001600BA"/>
    <w:rsid w:val="001600C5"/>
    <w:rsid w:val="0016030B"/>
    <w:rsid w:val="001606A6"/>
    <w:rsid w:val="00160CD5"/>
    <w:rsid w:val="00161010"/>
    <w:rsid w:val="001610BC"/>
    <w:rsid w:val="00161773"/>
    <w:rsid w:val="001618D8"/>
    <w:rsid w:val="00161930"/>
    <w:rsid w:val="00161D85"/>
    <w:rsid w:val="00161DFD"/>
    <w:rsid w:val="001621F5"/>
    <w:rsid w:val="001623F0"/>
    <w:rsid w:val="00162591"/>
    <w:rsid w:val="001628DA"/>
    <w:rsid w:val="00163432"/>
    <w:rsid w:val="0016366E"/>
    <w:rsid w:val="00163670"/>
    <w:rsid w:val="0016381A"/>
    <w:rsid w:val="0016386E"/>
    <w:rsid w:val="00163900"/>
    <w:rsid w:val="00163A1A"/>
    <w:rsid w:val="001649FF"/>
    <w:rsid w:val="00164B2C"/>
    <w:rsid w:val="00164E10"/>
    <w:rsid w:val="00165178"/>
    <w:rsid w:val="0016563B"/>
    <w:rsid w:val="001656A0"/>
    <w:rsid w:val="001658A6"/>
    <w:rsid w:val="00165987"/>
    <w:rsid w:val="00165A1B"/>
    <w:rsid w:val="00165E26"/>
    <w:rsid w:val="00165FE5"/>
    <w:rsid w:val="00165FEE"/>
    <w:rsid w:val="0016604E"/>
    <w:rsid w:val="00166233"/>
    <w:rsid w:val="00167012"/>
    <w:rsid w:val="0016705D"/>
    <w:rsid w:val="001670FB"/>
    <w:rsid w:val="00167475"/>
    <w:rsid w:val="00167516"/>
    <w:rsid w:val="00167A35"/>
    <w:rsid w:val="00167B3E"/>
    <w:rsid w:val="00167B78"/>
    <w:rsid w:val="00167C43"/>
    <w:rsid w:val="00167EDC"/>
    <w:rsid w:val="00167EDD"/>
    <w:rsid w:val="00167F7B"/>
    <w:rsid w:val="00170523"/>
    <w:rsid w:val="00170A62"/>
    <w:rsid w:val="00170BEE"/>
    <w:rsid w:val="00170CE6"/>
    <w:rsid w:val="00170EA6"/>
    <w:rsid w:val="00171250"/>
    <w:rsid w:val="0017147F"/>
    <w:rsid w:val="00171481"/>
    <w:rsid w:val="00171A90"/>
    <w:rsid w:val="0017221A"/>
    <w:rsid w:val="00172545"/>
    <w:rsid w:val="001726A4"/>
    <w:rsid w:val="0017289A"/>
    <w:rsid w:val="00172A5D"/>
    <w:rsid w:val="00172C70"/>
    <w:rsid w:val="00172DFF"/>
    <w:rsid w:val="00173101"/>
    <w:rsid w:val="00173301"/>
    <w:rsid w:val="0017338F"/>
    <w:rsid w:val="00173445"/>
    <w:rsid w:val="00173483"/>
    <w:rsid w:val="001739D3"/>
    <w:rsid w:val="00173B26"/>
    <w:rsid w:val="00173F4C"/>
    <w:rsid w:val="00174138"/>
    <w:rsid w:val="001741D0"/>
    <w:rsid w:val="0017426E"/>
    <w:rsid w:val="001743DC"/>
    <w:rsid w:val="00174567"/>
    <w:rsid w:val="00174800"/>
    <w:rsid w:val="00174E4B"/>
    <w:rsid w:val="001754B8"/>
    <w:rsid w:val="0017583D"/>
    <w:rsid w:val="00175CBB"/>
    <w:rsid w:val="00175D48"/>
    <w:rsid w:val="00175F55"/>
    <w:rsid w:val="00175F9F"/>
    <w:rsid w:val="0017601C"/>
    <w:rsid w:val="0017638B"/>
    <w:rsid w:val="001765D1"/>
    <w:rsid w:val="0017690A"/>
    <w:rsid w:val="00176A89"/>
    <w:rsid w:val="00176DB4"/>
    <w:rsid w:val="001771A8"/>
    <w:rsid w:val="00177381"/>
    <w:rsid w:val="00177FBA"/>
    <w:rsid w:val="00177FC1"/>
    <w:rsid w:val="00177FC2"/>
    <w:rsid w:val="001806B9"/>
    <w:rsid w:val="001808CC"/>
    <w:rsid w:val="0018090B"/>
    <w:rsid w:val="001810BA"/>
    <w:rsid w:val="001816F9"/>
    <w:rsid w:val="00181775"/>
    <w:rsid w:val="0018179F"/>
    <w:rsid w:val="00181AF7"/>
    <w:rsid w:val="00181B3E"/>
    <w:rsid w:val="00181B40"/>
    <w:rsid w:val="00181CB9"/>
    <w:rsid w:val="00181D6D"/>
    <w:rsid w:val="001820CE"/>
    <w:rsid w:val="00182106"/>
    <w:rsid w:val="00182406"/>
    <w:rsid w:val="0018259E"/>
    <w:rsid w:val="0018292F"/>
    <w:rsid w:val="00182EC1"/>
    <w:rsid w:val="00182F07"/>
    <w:rsid w:val="001833CB"/>
    <w:rsid w:val="0018355D"/>
    <w:rsid w:val="00183967"/>
    <w:rsid w:val="00183A73"/>
    <w:rsid w:val="00184171"/>
    <w:rsid w:val="001843F6"/>
    <w:rsid w:val="0018459D"/>
    <w:rsid w:val="00184F79"/>
    <w:rsid w:val="00185106"/>
    <w:rsid w:val="0018513B"/>
    <w:rsid w:val="00185569"/>
    <w:rsid w:val="00185B19"/>
    <w:rsid w:val="0018665A"/>
    <w:rsid w:val="001868B6"/>
    <w:rsid w:val="00186C83"/>
    <w:rsid w:val="001873D8"/>
    <w:rsid w:val="00187468"/>
    <w:rsid w:val="00187489"/>
    <w:rsid w:val="001875F9"/>
    <w:rsid w:val="0018772E"/>
    <w:rsid w:val="00187A30"/>
    <w:rsid w:val="00187C86"/>
    <w:rsid w:val="00187E3F"/>
    <w:rsid w:val="00187E89"/>
    <w:rsid w:val="00187EAE"/>
    <w:rsid w:val="00189603"/>
    <w:rsid w:val="00190AD5"/>
    <w:rsid w:val="00190B6E"/>
    <w:rsid w:val="00190BB4"/>
    <w:rsid w:val="00190CC1"/>
    <w:rsid w:val="00190D0F"/>
    <w:rsid w:val="00191072"/>
    <w:rsid w:val="001910B2"/>
    <w:rsid w:val="001911C4"/>
    <w:rsid w:val="00191258"/>
    <w:rsid w:val="0019129B"/>
    <w:rsid w:val="0019140B"/>
    <w:rsid w:val="00191446"/>
    <w:rsid w:val="001914CA"/>
    <w:rsid w:val="00191505"/>
    <w:rsid w:val="00191BCF"/>
    <w:rsid w:val="0019234B"/>
    <w:rsid w:val="001929CA"/>
    <w:rsid w:val="00193281"/>
    <w:rsid w:val="001932BF"/>
    <w:rsid w:val="001932DE"/>
    <w:rsid w:val="00193302"/>
    <w:rsid w:val="00193327"/>
    <w:rsid w:val="0019369E"/>
    <w:rsid w:val="00193880"/>
    <w:rsid w:val="001939EA"/>
    <w:rsid w:val="00193DAE"/>
    <w:rsid w:val="00193F58"/>
    <w:rsid w:val="00193F60"/>
    <w:rsid w:val="0019442C"/>
    <w:rsid w:val="00194545"/>
    <w:rsid w:val="00194568"/>
    <w:rsid w:val="0019464D"/>
    <w:rsid w:val="00194BE6"/>
    <w:rsid w:val="00194C6B"/>
    <w:rsid w:val="00194CD7"/>
    <w:rsid w:val="00194D4E"/>
    <w:rsid w:val="0019561E"/>
    <w:rsid w:val="0019564D"/>
    <w:rsid w:val="0019579D"/>
    <w:rsid w:val="001957A5"/>
    <w:rsid w:val="001957EA"/>
    <w:rsid w:val="00195C4D"/>
    <w:rsid w:val="00195D8A"/>
    <w:rsid w:val="00196761"/>
    <w:rsid w:val="00196A43"/>
    <w:rsid w:val="00196C70"/>
    <w:rsid w:val="00197123"/>
    <w:rsid w:val="0019770F"/>
    <w:rsid w:val="001978BD"/>
    <w:rsid w:val="00197DB3"/>
    <w:rsid w:val="00197FD4"/>
    <w:rsid w:val="001A0731"/>
    <w:rsid w:val="001A08C2"/>
    <w:rsid w:val="001A0ACB"/>
    <w:rsid w:val="001A0C58"/>
    <w:rsid w:val="001A0F45"/>
    <w:rsid w:val="001A0F79"/>
    <w:rsid w:val="001A1001"/>
    <w:rsid w:val="001A11B1"/>
    <w:rsid w:val="001A157A"/>
    <w:rsid w:val="001A164B"/>
    <w:rsid w:val="001A1A0E"/>
    <w:rsid w:val="001A1E73"/>
    <w:rsid w:val="001A210C"/>
    <w:rsid w:val="001A2139"/>
    <w:rsid w:val="001A2383"/>
    <w:rsid w:val="001A2712"/>
    <w:rsid w:val="001A282A"/>
    <w:rsid w:val="001A2978"/>
    <w:rsid w:val="001A2AA7"/>
    <w:rsid w:val="001A2EBE"/>
    <w:rsid w:val="001A31DD"/>
    <w:rsid w:val="001A33A1"/>
    <w:rsid w:val="001A3A7A"/>
    <w:rsid w:val="001A3E87"/>
    <w:rsid w:val="001A46E2"/>
    <w:rsid w:val="001A4818"/>
    <w:rsid w:val="001A4F63"/>
    <w:rsid w:val="001A511A"/>
    <w:rsid w:val="001A5183"/>
    <w:rsid w:val="001A53B7"/>
    <w:rsid w:val="001A56CE"/>
    <w:rsid w:val="001A57D7"/>
    <w:rsid w:val="001A5848"/>
    <w:rsid w:val="001A5DC8"/>
    <w:rsid w:val="001A6165"/>
    <w:rsid w:val="001A6232"/>
    <w:rsid w:val="001A6B5D"/>
    <w:rsid w:val="001A6D84"/>
    <w:rsid w:val="001A6FB7"/>
    <w:rsid w:val="001A70EA"/>
    <w:rsid w:val="001A711F"/>
    <w:rsid w:val="001A72BB"/>
    <w:rsid w:val="001A7456"/>
    <w:rsid w:val="001A74B5"/>
    <w:rsid w:val="001A767C"/>
    <w:rsid w:val="001A7767"/>
    <w:rsid w:val="001A7D08"/>
    <w:rsid w:val="001A7EFD"/>
    <w:rsid w:val="001B0338"/>
    <w:rsid w:val="001B03C7"/>
    <w:rsid w:val="001B0609"/>
    <w:rsid w:val="001B060F"/>
    <w:rsid w:val="001B07A5"/>
    <w:rsid w:val="001B0943"/>
    <w:rsid w:val="001B0A6C"/>
    <w:rsid w:val="001B0B2C"/>
    <w:rsid w:val="001B0B8B"/>
    <w:rsid w:val="001B0D4B"/>
    <w:rsid w:val="001B0F90"/>
    <w:rsid w:val="001B1005"/>
    <w:rsid w:val="001B10CA"/>
    <w:rsid w:val="001B1626"/>
    <w:rsid w:val="001B16F6"/>
    <w:rsid w:val="001B19B1"/>
    <w:rsid w:val="001B1B9C"/>
    <w:rsid w:val="001B1CAC"/>
    <w:rsid w:val="001B2162"/>
    <w:rsid w:val="001B27BB"/>
    <w:rsid w:val="001B2AED"/>
    <w:rsid w:val="001B2C5F"/>
    <w:rsid w:val="001B2FA7"/>
    <w:rsid w:val="001B31E9"/>
    <w:rsid w:val="001B3A62"/>
    <w:rsid w:val="001B3BE5"/>
    <w:rsid w:val="001B3D94"/>
    <w:rsid w:val="001B40CA"/>
    <w:rsid w:val="001B41A1"/>
    <w:rsid w:val="001B42DE"/>
    <w:rsid w:val="001B43D4"/>
    <w:rsid w:val="001B4407"/>
    <w:rsid w:val="001B4768"/>
    <w:rsid w:val="001B4822"/>
    <w:rsid w:val="001B5041"/>
    <w:rsid w:val="001B52FA"/>
    <w:rsid w:val="001B54D2"/>
    <w:rsid w:val="001B56F2"/>
    <w:rsid w:val="001B581E"/>
    <w:rsid w:val="001B594F"/>
    <w:rsid w:val="001B5A51"/>
    <w:rsid w:val="001B5ACB"/>
    <w:rsid w:val="001B5B41"/>
    <w:rsid w:val="001B650C"/>
    <w:rsid w:val="001B67E2"/>
    <w:rsid w:val="001B691F"/>
    <w:rsid w:val="001B69DE"/>
    <w:rsid w:val="001B6AB9"/>
    <w:rsid w:val="001B6D29"/>
    <w:rsid w:val="001B6D73"/>
    <w:rsid w:val="001B70F9"/>
    <w:rsid w:val="001B7440"/>
    <w:rsid w:val="001B751C"/>
    <w:rsid w:val="001B7723"/>
    <w:rsid w:val="001B776D"/>
    <w:rsid w:val="001B7B96"/>
    <w:rsid w:val="001B7D37"/>
    <w:rsid w:val="001B7FF4"/>
    <w:rsid w:val="001C02B3"/>
    <w:rsid w:val="001C0345"/>
    <w:rsid w:val="001C077C"/>
    <w:rsid w:val="001C0A08"/>
    <w:rsid w:val="001C0A37"/>
    <w:rsid w:val="001C0B54"/>
    <w:rsid w:val="001C11D4"/>
    <w:rsid w:val="001C120C"/>
    <w:rsid w:val="001C1598"/>
    <w:rsid w:val="001C1803"/>
    <w:rsid w:val="001C1911"/>
    <w:rsid w:val="001C191B"/>
    <w:rsid w:val="001C1991"/>
    <w:rsid w:val="001C1C5C"/>
    <w:rsid w:val="001C1CAF"/>
    <w:rsid w:val="001C2373"/>
    <w:rsid w:val="001C2A4E"/>
    <w:rsid w:val="001C2D24"/>
    <w:rsid w:val="001C2FA0"/>
    <w:rsid w:val="001C31E6"/>
    <w:rsid w:val="001C335C"/>
    <w:rsid w:val="001C33F8"/>
    <w:rsid w:val="001C3A27"/>
    <w:rsid w:val="001C3E04"/>
    <w:rsid w:val="001C44F8"/>
    <w:rsid w:val="001C4500"/>
    <w:rsid w:val="001C45B1"/>
    <w:rsid w:val="001C487F"/>
    <w:rsid w:val="001C48B4"/>
    <w:rsid w:val="001C4C30"/>
    <w:rsid w:val="001C502A"/>
    <w:rsid w:val="001C5264"/>
    <w:rsid w:val="001C5311"/>
    <w:rsid w:val="001C54C3"/>
    <w:rsid w:val="001C5B99"/>
    <w:rsid w:val="001C5DDC"/>
    <w:rsid w:val="001C6668"/>
    <w:rsid w:val="001C6A89"/>
    <w:rsid w:val="001C6C8E"/>
    <w:rsid w:val="001C6D80"/>
    <w:rsid w:val="001C6DCA"/>
    <w:rsid w:val="001C6FD9"/>
    <w:rsid w:val="001C73AF"/>
    <w:rsid w:val="001C762F"/>
    <w:rsid w:val="001C7939"/>
    <w:rsid w:val="001C79DD"/>
    <w:rsid w:val="001C7BCF"/>
    <w:rsid w:val="001C7C17"/>
    <w:rsid w:val="001D040F"/>
    <w:rsid w:val="001D04E4"/>
    <w:rsid w:val="001D06DD"/>
    <w:rsid w:val="001D074E"/>
    <w:rsid w:val="001D0C64"/>
    <w:rsid w:val="001D0E4C"/>
    <w:rsid w:val="001D11E5"/>
    <w:rsid w:val="001D1343"/>
    <w:rsid w:val="001D17C7"/>
    <w:rsid w:val="001D185A"/>
    <w:rsid w:val="001D1FAA"/>
    <w:rsid w:val="001D214C"/>
    <w:rsid w:val="001D25A2"/>
    <w:rsid w:val="001D26FC"/>
    <w:rsid w:val="001D27EF"/>
    <w:rsid w:val="001D3543"/>
    <w:rsid w:val="001D384A"/>
    <w:rsid w:val="001D3A5A"/>
    <w:rsid w:val="001D3B7F"/>
    <w:rsid w:val="001D411C"/>
    <w:rsid w:val="001D4DA9"/>
    <w:rsid w:val="001D506F"/>
    <w:rsid w:val="001D631D"/>
    <w:rsid w:val="001D63C3"/>
    <w:rsid w:val="001D6568"/>
    <w:rsid w:val="001D6793"/>
    <w:rsid w:val="001D6A02"/>
    <w:rsid w:val="001D710F"/>
    <w:rsid w:val="001D71C6"/>
    <w:rsid w:val="001D7276"/>
    <w:rsid w:val="001D789A"/>
    <w:rsid w:val="001D7946"/>
    <w:rsid w:val="001D7B32"/>
    <w:rsid w:val="001D7D5B"/>
    <w:rsid w:val="001D7FED"/>
    <w:rsid w:val="001E009A"/>
    <w:rsid w:val="001E06C5"/>
    <w:rsid w:val="001E087E"/>
    <w:rsid w:val="001E0888"/>
    <w:rsid w:val="001E08A2"/>
    <w:rsid w:val="001E0999"/>
    <w:rsid w:val="001E0A91"/>
    <w:rsid w:val="001E0DFA"/>
    <w:rsid w:val="001E100E"/>
    <w:rsid w:val="001E169F"/>
    <w:rsid w:val="001E1F14"/>
    <w:rsid w:val="001E1F3E"/>
    <w:rsid w:val="001E229E"/>
    <w:rsid w:val="001E3218"/>
    <w:rsid w:val="001E32F8"/>
    <w:rsid w:val="001E3357"/>
    <w:rsid w:val="001E335C"/>
    <w:rsid w:val="001E35C0"/>
    <w:rsid w:val="001E36B8"/>
    <w:rsid w:val="001E38F6"/>
    <w:rsid w:val="001E3B62"/>
    <w:rsid w:val="001E3D34"/>
    <w:rsid w:val="001E3DD6"/>
    <w:rsid w:val="001E3DD8"/>
    <w:rsid w:val="001E42F3"/>
    <w:rsid w:val="001E44AB"/>
    <w:rsid w:val="001E4568"/>
    <w:rsid w:val="001E4923"/>
    <w:rsid w:val="001E4C7A"/>
    <w:rsid w:val="001E4C81"/>
    <w:rsid w:val="001E5561"/>
    <w:rsid w:val="001E59B5"/>
    <w:rsid w:val="001E5A7F"/>
    <w:rsid w:val="001E5B17"/>
    <w:rsid w:val="001E609B"/>
    <w:rsid w:val="001E6458"/>
    <w:rsid w:val="001E64C4"/>
    <w:rsid w:val="001E67E1"/>
    <w:rsid w:val="001E6803"/>
    <w:rsid w:val="001E732F"/>
    <w:rsid w:val="001E739E"/>
    <w:rsid w:val="001E767D"/>
    <w:rsid w:val="001E7859"/>
    <w:rsid w:val="001E78E5"/>
    <w:rsid w:val="001E790D"/>
    <w:rsid w:val="001E7D39"/>
    <w:rsid w:val="001F014D"/>
    <w:rsid w:val="001F01F8"/>
    <w:rsid w:val="001F030C"/>
    <w:rsid w:val="001F0440"/>
    <w:rsid w:val="001F05C8"/>
    <w:rsid w:val="001F07F4"/>
    <w:rsid w:val="001F07FB"/>
    <w:rsid w:val="001F0CDB"/>
    <w:rsid w:val="001F0DCD"/>
    <w:rsid w:val="001F0FA0"/>
    <w:rsid w:val="001F0FA8"/>
    <w:rsid w:val="001F12FF"/>
    <w:rsid w:val="001F142C"/>
    <w:rsid w:val="001F17AE"/>
    <w:rsid w:val="001F1856"/>
    <w:rsid w:val="001F1956"/>
    <w:rsid w:val="001F1C11"/>
    <w:rsid w:val="001F1C47"/>
    <w:rsid w:val="001F1D60"/>
    <w:rsid w:val="001F1D9E"/>
    <w:rsid w:val="001F21CB"/>
    <w:rsid w:val="001F2367"/>
    <w:rsid w:val="001F261E"/>
    <w:rsid w:val="001F28BF"/>
    <w:rsid w:val="001F2964"/>
    <w:rsid w:val="001F2966"/>
    <w:rsid w:val="001F29F0"/>
    <w:rsid w:val="001F2E20"/>
    <w:rsid w:val="001F2E2E"/>
    <w:rsid w:val="001F2F60"/>
    <w:rsid w:val="001F32BB"/>
    <w:rsid w:val="001F3F6E"/>
    <w:rsid w:val="001F4024"/>
    <w:rsid w:val="001F417C"/>
    <w:rsid w:val="001F435B"/>
    <w:rsid w:val="001F4386"/>
    <w:rsid w:val="001F4392"/>
    <w:rsid w:val="001F4606"/>
    <w:rsid w:val="001F4910"/>
    <w:rsid w:val="001F4958"/>
    <w:rsid w:val="001F49B7"/>
    <w:rsid w:val="001F4FEF"/>
    <w:rsid w:val="001F50F0"/>
    <w:rsid w:val="001F5327"/>
    <w:rsid w:val="001F555B"/>
    <w:rsid w:val="001F55AE"/>
    <w:rsid w:val="001F5A23"/>
    <w:rsid w:val="001F5A7D"/>
    <w:rsid w:val="001F5CCF"/>
    <w:rsid w:val="001F5D0A"/>
    <w:rsid w:val="001F5D2C"/>
    <w:rsid w:val="001F609F"/>
    <w:rsid w:val="001F6138"/>
    <w:rsid w:val="001F6267"/>
    <w:rsid w:val="001F63E8"/>
    <w:rsid w:val="001F6600"/>
    <w:rsid w:val="001F692B"/>
    <w:rsid w:val="001F6AC3"/>
    <w:rsid w:val="001F6AE9"/>
    <w:rsid w:val="001F7158"/>
    <w:rsid w:val="001F7196"/>
    <w:rsid w:val="001F7599"/>
    <w:rsid w:val="001F7929"/>
    <w:rsid w:val="001F7C3B"/>
    <w:rsid w:val="001F7E70"/>
    <w:rsid w:val="00200015"/>
    <w:rsid w:val="0020072E"/>
    <w:rsid w:val="00200804"/>
    <w:rsid w:val="00200AFA"/>
    <w:rsid w:val="00200B20"/>
    <w:rsid w:val="00200D55"/>
    <w:rsid w:val="00201109"/>
    <w:rsid w:val="002014F2"/>
    <w:rsid w:val="00201598"/>
    <w:rsid w:val="00201756"/>
    <w:rsid w:val="0020184E"/>
    <w:rsid w:val="0020191A"/>
    <w:rsid w:val="00201E07"/>
    <w:rsid w:val="00201FE1"/>
    <w:rsid w:val="00202461"/>
    <w:rsid w:val="00202756"/>
    <w:rsid w:val="00202866"/>
    <w:rsid w:val="002028B8"/>
    <w:rsid w:val="00202F20"/>
    <w:rsid w:val="0020344B"/>
    <w:rsid w:val="002035ED"/>
    <w:rsid w:val="00203880"/>
    <w:rsid w:val="00203DBF"/>
    <w:rsid w:val="00203F15"/>
    <w:rsid w:val="0020400F"/>
    <w:rsid w:val="0020423A"/>
    <w:rsid w:val="00204319"/>
    <w:rsid w:val="00204530"/>
    <w:rsid w:val="0020470D"/>
    <w:rsid w:val="00204AE0"/>
    <w:rsid w:val="00204B94"/>
    <w:rsid w:val="00204F84"/>
    <w:rsid w:val="002056BA"/>
    <w:rsid w:val="00205AFA"/>
    <w:rsid w:val="002064DE"/>
    <w:rsid w:val="00206866"/>
    <w:rsid w:val="002069BA"/>
    <w:rsid w:val="00206B0E"/>
    <w:rsid w:val="0020700E"/>
    <w:rsid w:val="00207763"/>
    <w:rsid w:val="002077BD"/>
    <w:rsid w:val="00207B04"/>
    <w:rsid w:val="00207BBD"/>
    <w:rsid w:val="00207D27"/>
    <w:rsid w:val="00210570"/>
    <w:rsid w:val="002107A2"/>
    <w:rsid w:val="00210F44"/>
    <w:rsid w:val="00211378"/>
    <w:rsid w:val="00211653"/>
    <w:rsid w:val="00211695"/>
    <w:rsid w:val="00211885"/>
    <w:rsid w:val="00211938"/>
    <w:rsid w:val="00211ADD"/>
    <w:rsid w:val="00211B9E"/>
    <w:rsid w:val="00211D96"/>
    <w:rsid w:val="002121BB"/>
    <w:rsid w:val="00212351"/>
    <w:rsid w:val="0021248C"/>
    <w:rsid w:val="002124ED"/>
    <w:rsid w:val="002126C1"/>
    <w:rsid w:val="002126E1"/>
    <w:rsid w:val="00212F4C"/>
    <w:rsid w:val="00213710"/>
    <w:rsid w:val="00213C98"/>
    <w:rsid w:val="002141FC"/>
    <w:rsid w:val="002147C4"/>
    <w:rsid w:val="00214827"/>
    <w:rsid w:val="00214878"/>
    <w:rsid w:val="002148B7"/>
    <w:rsid w:val="002151E2"/>
    <w:rsid w:val="00215753"/>
    <w:rsid w:val="00215A07"/>
    <w:rsid w:val="00215B4B"/>
    <w:rsid w:val="00215B7F"/>
    <w:rsid w:val="00215FDB"/>
    <w:rsid w:val="002160BA"/>
    <w:rsid w:val="0021678F"/>
    <w:rsid w:val="00216B94"/>
    <w:rsid w:val="00217202"/>
    <w:rsid w:val="00217255"/>
    <w:rsid w:val="002172FB"/>
    <w:rsid w:val="0021741C"/>
    <w:rsid w:val="0021747E"/>
    <w:rsid w:val="00217569"/>
    <w:rsid w:val="00217D17"/>
    <w:rsid w:val="00220103"/>
    <w:rsid w:val="002202FA"/>
    <w:rsid w:val="0022088D"/>
    <w:rsid w:val="00220B46"/>
    <w:rsid w:val="00220E4E"/>
    <w:rsid w:val="00220EC2"/>
    <w:rsid w:val="00221083"/>
    <w:rsid w:val="00221581"/>
    <w:rsid w:val="00221831"/>
    <w:rsid w:val="002218F3"/>
    <w:rsid w:val="00221AC4"/>
    <w:rsid w:val="002221E4"/>
    <w:rsid w:val="00222209"/>
    <w:rsid w:val="002223FA"/>
    <w:rsid w:val="0022241A"/>
    <w:rsid w:val="00222918"/>
    <w:rsid w:val="00222B95"/>
    <w:rsid w:val="00222E3F"/>
    <w:rsid w:val="00222E7B"/>
    <w:rsid w:val="00223049"/>
    <w:rsid w:val="0022308A"/>
    <w:rsid w:val="002231F4"/>
    <w:rsid w:val="00223A96"/>
    <w:rsid w:val="0022412C"/>
    <w:rsid w:val="0022415E"/>
    <w:rsid w:val="00224B0F"/>
    <w:rsid w:val="002253F5"/>
    <w:rsid w:val="00225457"/>
    <w:rsid w:val="00225470"/>
    <w:rsid w:val="0022555E"/>
    <w:rsid w:val="002258DC"/>
    <w:rsid w:val="00225926"/>
    <w:rsid w:val="00225A31"/>
    <w:rsid w:val="002267D6"/>
    <w:rsid w:val="0022719E"/>
    <w:rsid w:val="002272D4"/>
    <w:rsid w:val="0022737D"/>
    <w:rsid w:val="002273A7"/>
    <w:rsid w:val="002273E1"/>
    <w:rsid w:val="00227744"/>
    <w:rsid w:val="00227B88"/>
    <w:rsid w:val="00227F76"/>
    <w:rsid w:val="00227F8F"/>
    <w:rsid w:val="002301F3"/>
    <w:rsid w:val="002302DD"/>
    <w:rsid w:val="00230324"/>
    <w:rsid w:val="002303FE"/>
    <w:rsid w:val="0023057A"/>
    <w:rsid w:val="00230618"/>
    <w:rsid w:val="0023061A"/>
    <w:rsid w:val="0023098F"/>
    <w:rsid w:val="00230A88"/>
    <w:rsid w:val="00230B9E"/>
    <w:rsid w:val="00231498"/>
    <w:rsid w:val="00231696"/>
    <w:rsid w:val="00231703"/>
    <w:rsid w:val="00231B38"/>
    <w:rsid w:val="00231CA3"/>
    <w:rsid w:val="00231DF5"/>
    <w:rsid w:val="00231EE4"/>
    <w:rsid w:val="00232043"/>
    <w:rsid w:val="00232289"/>
    <w:rsid w:val="00232AF5"/>
    <w:rsid w:val="00232B59"/>
    <w:rsid w:val="00232F5E"/>
    <w:rsid w:val="00232F69"/>
    <w:rsid w:val="002333F0"/>
    <w:rsid w:val="002338CA"/>
    <w:rsid w:val="00233959"/>
    <w:rsid w:val="00233BC6"/>
    <w:rsid w:val="00233EB8"/>
    <w:rsid w:val="00233EBE"/>
    <w:rsid w:val="00234175"/>
    <w:rsid w:val="00234265"/>
    <w:rsid w:val="00234684"/>
    <w:rsid w:val="0023475C"/>
    <w:rsid w:val="0023492C"/>
    <w:rsid w:val="00234F77"/>
    <w:rsid w:val="00234F9B"/>
    <w:rsid w:val="00235959"/>
    <w:rsid w:val="00235960"/>
    <w:rsid w:val="00235A29"/>
    <w:rsid w:val="00235D9B"/>
    <w:rsid w:val="00236112"/>
    <w:rsid w:val="002361E1"/>
    <w:rsid w:val="00236448"/>
    <w:rsid w:val="00236624"/>
    <w:rsid w:val="002366F2"/>
    <w:rsid w:val="00236708"/>
    <w:rsid w:val="00236980"/>
    <w:rsid w:val="00236B10"/>
    <w:rsid w:val="00236CDB"/>
    <w:rsid w:val="00236DFE"/>
    <w:rsid w:val="00236F51"/>
    <w:rsid w:val="00236FB1"/>
    <w:rsid w:val="002370C6"/>
    <w:rsid w:val="00237331"/>
    <w:rsid w:val="00237576"/>
    <w:rsid w:val="00237B54"/>
    <w:rsid w:val="00237F44"/>
    <w:rsid w:val="002400FF"/>
    <w:rsid w:val="0024043A"/>
    <w:rsid w:val="0024077E"/>
    <w:rsid w:val="00240BBB"/>
    <w:rsid w:val="00240C51"/>
    <w:rsid w:val="00241170"/>
    <w:rsid w:val="002415F5"/>
    <w:rsid w:val="002415FF"/>
    <w:rsid w:val="002417BE"/>
    <w:rsid w:val="002418E5"/>
    <w:rsid w:val="002418FC"/>
    <w:rsid w:val="00241A4C"/>
    <w:rsid w:val="00241B97"/>
    <w:rsid w:val="00241C61"/>
    <w:rsid w:val="00241E16"/>
    <w:rsid w:val="00241F09"/>
    <w:rsid w:val="00241F4B"/>
    <w:rsid w:val="00242111"/>
    <w:rsid w:val="00242333"/>
    <w:rsid w:val="00242339"/>
    <w:rsid w:val="00242A28"/>
    <w:rsid w:val="00242EC9"/>
    <w:rsid w:val="002430EB"/>
    <w:rsid w:val="00243588"/>
    <w:rsid w:val="00243959"/>
    <w:rsid w:val="00243A79"/>
    <w:rsid w:val="00243AA9"/>
    <w:rsid w:val="00243D07"/>
    <w:rsid w:val="00244297"/>
    <w:rsid w:val="00244491"/>
    <w:rsid w:val="00244777"/>
    <w:rsid w:val="00244A24"/>
    <w:rsid w:val="00244A3C"/>
    <w:rsid w:val="00244E05"/>
    <w:rsid w:val="00244E4C"/>
    <w:rsid w:val="002450A7"/>
    <w:rsid w:val="002450F0"/>
    <w:rsid w:val="0024522B"/>
    <w:rsid w:val="002452F4"/>
    <w:rsid w:val="00245387"/>
    <w:rsid w:val="0024542A"/>
    <w:rsid w:val="002458A4"/>
    <w:rsid w:val="00245BF1"/>
    <w:rsid w:val="00245DA9"/>
    <w:rsid w:val="00246042"/>
    <w:rsid w:val="002460B2"/>
    <w:rsid w:val="00246CB1"/>
    <w:rsid w:val="00246E5A"/>
    <w:rsid w:val="0024716B"/>
    <w:rsid w:val="0024760B"/>
    <w:rsid w:val="00247667"/>
    <w:rsid w:val="0024794F"/>
    <w:rsid w:val="00247CAB"/>
    <w:rsid w:val="00247DA5"/>
    <w:rsid w:val="00247FE9"/>
    <w:rsid w:val="002502B0"/>
    <w:rsid w:val="002503E5"/>
    <w:rsid w:val="00250957"/>
    <w:rsid w:val="00250A4C"/>
    <w:rsid w:val="00250C34"/>
    <w:rsid w:val="002510EE"/>
    <w:rsid w:val="0025147C"/>
    <w:rsid w:val="00251789"/>
    <w:rsid w:val="002517DA"/>
    <w:rsid w:val="002517EE"/>
    <w:rsid w:val="00251BBF"/>
    <w:rsid w:val="00252129"/>
    <w:rsid w:val="00252280"/>
    <w:rsid w:val="00252322"/>
    <w:rsid w:val="00252DFE"/>
    <w:rsid w:val="0025323F"/>
    <w:rsid w:val="002532D4"/>
    <w:rsid w:val="00253544"/>
    <w:rsid w:val="0025365B"/>
    <w:rsid w:val="00253740"/>
    <w:rsid w:val="002538D6"/>
    <w:rsid w:val="00253B01"/>
    <w:rsid w:val="00253B5F"/>
    <w:rsid w:val="00253C20"/>
    <w:rsid w:val="00253D7E"/>
    <w:rsid w:val="00253FC5"/>
    <w:rsid w:val="002540F6"/>
    <w:rsid w:val="0025432E"/>
    <w:rsid w:val="00254CF1"/>
    <w:rsid w:val="00254F0D"/>
    <w:rsid w:val="00255084"/>
    <w:rsid w:val="00255C2A"/>
    <w:rsid w:val="00255C39"/>
    <w:rsid w:val="00255F89"/>
    <w:rsid w:val="00256382"/>
    <w:rsid w:val="002565E2"/>
    <w:rsid w:val="00256704"/>
    <w:rsid w:val="00256830"/>
    <w:rsid w:val="002569AF"/>
    <w:rsid w:val="00256DB7"/>
    <w:rsid w:val="00256E8C"/>
    <w:rsid w:val="00257560"/>
    <w:rsid w:val="00257564"/>
    <w:rsid w:val="0025765E"/>
    <w:rsid w:val="00257DA2"/>
    <w:rsid w:val="00257F14"/>
    <w:rsid w:val="00260298"/>
    <w:rsid w:val="00260583"/>
    <w:rsid w:val="00260646"/>
    <w:rsid w:val="002607D8"/>
    <w:rsid w:val="00260D4C"/>
    <w:rsid w:val="0026161D"/>
    <w:rsid w:val="002618EA"/>
    <w:rsid w:val="0026191E"/>
    <w:rsid w:val="00261985"/>
    <w:rsid w:val="0026206A"/>
    <w:rsid w:val="0026221B"/>
    <w:rsid w:val="0026228F"/>
    <w:rsid w:val="002624EA"/>
    <w:rsid w:val="00262B3F"/>
    <w:rsid w:val="00262B62"/>
    <w:rsid w:val="00262B78"/>
    <w:rsid w:val="00262EE3"/>
    <w:rsid w:val="00263394"/>
    <w:rsid w:val="0026365E"/>
    <w:rsid w:val="002636E7"/>
    <w:rsid w:val="00263765"/>
    <w:rsid w:val="002637B3"/>
    <w:rsid w:val="00263A6C"/>
    <w:rsid w:val="00263B6D"/>
    <w:rsid w:val="00263C71"/>
    <w:rsid w:val="00263D11"/>
    <w:rsid w:val="00263F14"/>
    <w:rsid w:val="002642FD"/>
    <w:rsid w:val="0026436D"/>
    <w:rsid w:val="002645D7"/>
    <w:rsid w:val="002647DF"/>
    <w:rsid w:val="0026480B"/>
    <w:rsid w:val="002653A7"/>
    <w:rsid w:val="00265564"/>
    <w:rsid w:val="00265C60"/>
    <w:rsid w:val="00265D2C"/>
    <w:rsid w:val="00265F9E"/>
    <w:rsid w:val="0026626F"/>
    <w:rsid w:val="002662B6"/>
    <w:rsid w:val="002664C5"/>
    <w:rsid w:val="0026652B"/>
    <w:rsid w:val="002667EF"/>
    <w:rsid w:val="002668E6"/>
    <w:rsid w:val="00266B8F"/>
    <w:rsid w:val="00267484"/>
    <w:rsid w:val="0026756A"/>
    <w:rsid w:val="0026759E"/>
    <w:rsid w:val="0026763F"/>
    <w:rsid w:val="002676A7"/>
    <w:rsid w:val="00267712"/>
    <w:rsid w:val="002679CD"/>
    <w:rsid w:val="00267A47"/>
    <w:rsid w:val="00267B2C"/>
    <w:rsid w:val="00267BA8"/>
    <w:rsid w:val="00267E16"/>
    <w:rsid w:val="00267FB8"/>
    <w:rsid w:val="0027022A"/>
    <w:rsid w:val="002703A5"/>
    <w:rsid w:val="002706DA"/>
    <w:rsid w:val="002706F0"/>
    <w:rsid w:val="00270A44"/>
    <w:rsid w:val="00270B37"/>
    <w:rsid w:val="00270BF9"/>
    <w:rsid w:val="00270EC4"/>
    <w:rsid w:val="00270F5A"/>
    <w:rsid w:val="00271199"/>
    <w:rsid w:val="0027174A"/>
    <w:rsid w:val="00271916"/>
    <w:rsid w:val="00272421"/>
    <w:rsid w:val="002724DE"/>
    <w:rsid w:val="0027270F"/>
    <w:rsid w:val="00272DB5"/>
    <w:rsid w:val="00272F33"/>
    <w:rsid w:val="00272F4C"/>
    <w:rsid w:val="00273052"/>
    <w:rsid w:val="002730C4"/>
    <w:rsid w:val="002730E6"/>
    <w:rsid w:val="00273213"/>
    <w:rsid w:val="00273248"/>
    <w:rsid w:val="0027341A"/>
    <w:rsid w:val="00273783"/>
    <w:rsid w:val="00273870"/>
    <w:rsid w:val="0027389A"/>
    <w:rsid w:val="00273A21"/>
    <w:rsid w:val="00273D06"/>
    <w:rsid w:val="00274044"/>
    <w:rsid w:val="002741C8"/>
    <w:rsid w:val="00274376"/>
    <w:rsid w:val="0027452C"/>
    <w:rsid w:val="00274A1D"/>
    <w:rsid w:val="00274A5C"/>
    <w:rsid w:val="00274A7F"/>
    <w:rsid w:val="00274C41"/>
    <w:rsid w:val="00274DA4"/>
    <w:rsid w:val="00274E7F"/>
    <w:rsid w:val="0027522A"/>
    <w:rsid w:val="00275265"/>
    <w:rsid w:val="00275352"/>
    <w:rsid w:val="00275B24"/>
    <w:rsid w:val="00275E81"/>
    <w:rsid w:val="002762C9"/>
    <w:rsid w:val="0027671D"/>
    <w:rsid w:val="00276DBA"/>
    <w:rsid w:val="00276E13"/>
    <w:rsid w:val="00276FEA"/>
    <w:rsid w:val="0027733C"/>
    <w:rsid w:val="00277551"/>
    <w:rsid w:val="002775E3"/>
    <w:rsid w:val="002778E1"/>
    <w:rsid w:val="00280248"/>
    <w:rsid w:val="002807F4"/>
    <w:rsid w:val="00280B0C"/>
    <w:rsid w:val="00280CDD"/>
    <w:rsid w:val="00280D29"/>
    <w:rsid w:val="00280F61"/>
    <w:rsid w:val="00281214"/>
    <w:rsid w:val="00281218"/>
    <w:rsid w:val="00281245"/>
    <w:rsid w:val="00281319"/>
    <w:rsid w:val="002819E1"/>
    <w:rsid w:val="00281D13"/>
    <w:rsid w:val="00281D7C"/>
    <w:rsid w:val="0028202F"/>
    <w:rsid w:val="00282477"/>
    <w:rsid w:val="0028267B"/>
    <w:rsid w:val="00282895"/>
    <w:rsid w:val="00282C6F"/>
    <w:rsid w:val="00282CBB"/>
    <w:rsid w:val="00282E5D"/>
    <w:rsid w:val="00282F1E"/>
    <w:rsid w:val="00282F4D"/>
    <w:rsid w:val="002830DA"/>
    <w:rsid w:val="00283465"/>
    <w:rsid w:val="00283501"/>
    <w:rsid w:val="00283525"/>
    <w:rsid w:val="002836CE"/>
    <w:rsid w:val="00283AE5"/>
    <w:rsid w:val="0028400A"/>
    <w:rsid w:val="0028414D"/>
    <w:rsid w:val="0028428E"/>
    <w:rsid w:val="00284497"/>
    <w:rsid w:val="002845DA"/>
    <w:rsid w:val="00284626"/>
    <w:rsid w:val="00284725"/>
    <w:rsid w:val="00284842"/>
    <w:rsid w:val="00284861"/>
    <w:rsid w:val="0028491E"/>
    <w:rsid w:val="00284929"/>
    <w:rsid w:val="0028508F"/>
    <w:rsid w:val="00285355"/>
    <w:rsid w:val="00285364"/>
    <w:rsid w:val="00285614"/>
    <w:rsid w:val="00285A65"/>
    <w:rsid w:val="00285B13"/>
    <w:rsid w:val="002864A8"/>
    <w:rsid w:val="00286741"/>
    <w:rsid w:val="002868EA"/>
    <w:rsid w:val="00286A05"/>
    <w:rsid w:val="00286A9E"/>
    <w:rsid w:val="00286AE1"/>
    <w:rsid w:val="00286B63"/>
    <w:rsid w:val="00286E7D"/>
    <w:rsid w:val="00287175"/>
    <w:rsid w:val="00287462"/>
    <w:rsid w:val="002876AD"/>
    <w:rsid w:val="002879C4"/>
    <w:rsid w:val="002879DE"/>
    <w:rsid w:val="00287A45"/>
    <w:rsid w:val="00287A9A"/>
    <w:rsid w:val="00290298"/>
    <w:rsid w:val="002904FA"/>
    <w:rsid w:val="00290523"/>
    <w:rsid w:val="0029061C"/>
    <w:rsid w:val="0029074C"/>
    <w:rsid w:val="00290CF7"/>
    <w:rsid w:val="00290DB6"/>
    <w:rsid w:val="002914E8"/>
    <w:rsid w:val="00291653"/>
    <w:rsid w:val="0029182E"/>
    <w:rsid w:val="002918E3"/>
    <w:rsid w:val="00291CB3"/>
    <w:rsid w:val="0029202A"/>
    <w:rsid w:val="0029291F"/>
    <w:rsid w:val="00292ED0"/>
    <w:rsid w:val="00293120"/>
    <w:rsid w:val="00293302"/>
    <w:rsid w:val="00293C68"/>
    <w:rsid w:val="00294AD9"/>
    <w:rsid w:val="00294D06"/>
    <w:rsid w:val="00295471"/>
    <w:rsid w:val="00295F89"/>
    <w:rsid w:val="0029633A"/>
    <w:rsid w:val="00296931"/>
    <w:rsid w:val="00296A5D"/>
    <w:rsid w:val="00296AEA"/>
    <w:rsid w:val="00296B37"/>
    <w:rsid w:val="00296BB0"/>
    <w:rsid w:val="0029728D"/>
    <w:rsid w:val="002978D8"/>
    <w:rsid w:val="00297C15"/>
    <w:rsid w:val="00297FDC"/>
    <w:rsid w:val="002A0380"/>
    <w:rsid w:val="002A0529"/>
    <w:rsid w:val="002A07EC"/>
    <w:rsid w:val="002A0D6E"/>
    <w:rsid w:val="002A0FA0"/>
    <w:rsid w:val="002A19F2"/>
    <w:rsid w:val="002A21EA"/>
    <w:rsid w:val="002A2562"/>
    <w:rsid w:val="002A2616"/>
    <w:rsid w:val="002A28D5"/>
    <w:rsid w:val="002A28ED"/>
    <w:rsid w:val="002A2F19"/>
    <w:rsid w:val="002A34E2"/>
    <w:rsid w:val="002A37BE"/>
    <w:rsid w:val="002A3D65"/>
    <w:rsid w:val="002A40C7"/>
    <w:rsid w:val="002A42D3"/>
    <w:rsid w:val="002A4319"/>
    <w:rsid w:val="002A4669"/>
    <w:rsid w:val="002A487D"/>
    <w:rsid w:val="002A499A"/>
    <w:rsid w:val="002A4A94"/>
    <w:rsid w:val="002A4BE4"/>
    <w:rsid w:val="002A4EA9"/>
    <w:rsid w:val="002A4F20"/>
    <w:rsid w:val="002A530A"/>
    <w:rsid w:val="002A5311"/>
    <w:rsid w:val="002A5374"/>
    <w:rsid w:val="002A5409"/>
    <w:rsid w:val="002A5602"/>
    <w:rsid w:val="002A5893"/>
    <w:rsid w:val="002A589A"/>
    <w:rsid w:val="002A5908"/>
    <w:rsid w:val="002A5AA2"/>
    <w:rsid w:val="002A5B04"/>
    <w:rsid w:val="002A5BAD"/>
    <w:rsid w:val="002A5CAF"/>
    <w:rsid w:val="002A5ED5"/>
    <w:rsid w:val="002A6115"/>
    <w:rsid w:val="002A6210"/>
    <w:rsid w:val="002A64FE"/>
    <w:rsid w:val="002A66A7"/>
    <w:rsid w:val="002A67E1"/>
    <w:rsid w:val="002A68AF"/>
    <w:rsid w:val="002A6932"/>
    <w:rsid w:val="002A6A05"/>
    <w:rsid w:val="002A6E99"/>
    <w:rsid w:val="002A7D01"/>
    <w:rsid w:val="002A7E6B"/>
    <w:rsid w:val="002A7F57"/>
    <w:rsid w:val="002B0347"/>
    <w:rsid w:val="002B0517"/>
    <w:rsid w:val="002B0595"/>
    <w:rsid w:val="002B06F5"/>
    <w:rsid w:val="002B0AD1"/>
    <w:rsid w:val="002B0AF9"/>
    <w:rsid w:val="002B0C53"/>
    <w:rsid w:val="002B0C61"/>
    <w:rsid w:val="002B0CE7"/>
    <w:rsid w:val="002B0E68"/>
    <w:rsid w:val="002B1128"/>
    <w:rsid w:val="002B119F"/>
    <w:rsid w:val="002B160A"/>
    <w:rsid w:val="002B176A"/>
    <w:rsid w:val="002B1D27"/>
    <w:rsid w:val="002B1ECC"/>
    <w:rsid w:val="002B1ECD"/>
    <w:rsid w:val="002B1FB1"/>
    <w:rsid w:val="002B20B1"/>
    <w:rsid w:val="002B2223"/>
    <w:rsid w:val="002B2745"/>
    <w:rsid w:val="002B2B1C"/>
    <w:rsid w:val="002B2BAC"/>
    <w:rsid w:val="002B2F4D"/>
    <w:rsid w:val="002B3053"/>
    <w:rsid w:val="002B31FF"/>
    <w:rsid w:val="002B36AB"/>
    <w:rsid w:val="002B36C2"/>
    <w:rsid w:val="002B386D"/>
    <w:rsid w:val="002B3B74"/>
    <w:rsid w:val="002B3F8D"/>
    <w:rsid w:val="002B41DD"/>
    <w:rsid w:val="002B48AE"/>
    <w:rsid w:val="002B48B6"/>
    <w:rsid w:val="002B4979"/>
    <w:rsid w:val="002B4A5E"/>
    <w:rsid w:val="002B4CAB"/>
    <w:rsid w:val="002B5067"/>
    <w:rsid w:val="002B54F5"/>
    <w:rsid w:val="002B5A13"/>
    <w:rsid w:val="002B5D13"/>
    <w:rsid w:val="002B5E9C"/>
    <w:rsid w:val="002B5EE2"/>
    <w:rsid w:val="002B5F4C"/>
    <w:rsid w:val="002B5F98"/>
    <w:rsid w:val="002B6085"/>
    <w:rsid w:val="002B60C7"/>
    <w:rsid w:val="002B6492"/>
    <w:rsid w:val="002B6543"/>
    <w:rsid w:val="002B68FF"/>
    <w:rsid w:val="002B6BF9"/>
    <w:rsid w:val="002B6CB4"/>
    <w:rsid w:val="002B6D72"/>
    <w:rsid w:val="002B6EAA"/>
    <w:rsid w:val="002B6F96"/>
    <w:rsid w:val="002B74B0"/>
    <w:rsid w:val="002B7869"/>
    <w:rsid w:val="002B7958"/>
    <w:rsid w:val="002B7999"/>
    <w:rsid w:val="002B7F90"/>
    <w:rsid w:val="002B7F95"/>
    <w:rsid w:val="002C00A7"/>
    <w:rsid w:val="002C0706"/>
    <w:rsid w:val="002C08C9"/>
    <w:rsid w:val="002C0B1B"/>
    <w:rsid w:val="002C1095"/>
    <w:rsid w:val="002C17C0"/>
    <w:rsid w:val="002C18E2"/>
    <w:rsid w:val="002C1999"/>
    <w:rsid w:val="002C1B99"/>
    <w:rsid w:val="002C1CD1"/>
    <w:rsid w:val="002C1E43"/>
    <w:rsid w:val="002C1F20"/>
    <w:rsid w:val="002C21ED"/>
    <w:rsid w:val="002C2542"/>
    <w:rsid w:val="002C25A3"/>
    <w:rsid w:val="002C28A6"/>
    <w:rsid w:val="002C299E"/>
    <w:rsid w:val="002C3A6D"/>
    <w:rsid w:val="002C3C0F"/>
    <w:rsid w:val="002C3C17"/>
    <w:rsid w:val="002C3C62"/>
    <w:rsid w:val="002C4089"/>
    <w:rsid w:val="002C4171"/>
    <w:rsid w:val="002C4542"/>
    <w:rsid w:val="002C45BC"/>
    <w:rsid w:val="002C470E"/>
    <w:rsid w:val="002C4A0D"/>
    <w:rsid w:val="002C4DA7"/>
    <w:rsid w:val="002C5545"/>
    <w:rsid w:val="002C5610"/>
    <w:rsid w:val="002C5BA5"/>
    <w:rsid w:val="002C6544"/>
    <w:rsid w:val="002C67D1"/>
    <w:rsid w:val="002C68E6"/>
    <w:rsid w:val="002C69BA"/>
    <w:rsid w:val="002C6BEE"/>
    <w:rsid w:val="002C6DCA"/>
    <w:rsid w:val="002C7032"/>
    <w:rsid w:val="002C73C0"/>
    <w:rsid w:val="002C7927"/>
    <w:rsid w:val="002C7C67"/>
    <w:rsid w:val="002D081D"/>
    <w:rsid w:val="002D0855"/>
    <w:rsid w:val="002D08A0"/>
    <w:rsid w:val="002D0A93"/>
    <w:rsid w:val="002D0BDB"/>
    <w:rsid w:val="002D0D7C"/>
    <w:rsid w:val="002D11DB"/>
    <w:rsid w:val="002D1494"/>
    <w:rsid w:val="002D1750"/>
    <w:rsid w:val="002D17C8"/>
    <w:rsid w:val="002D1EA7"/>
    <w:rsid w:val="002D1FD9"/>
    <w:rsid w:val="002D202E"/>
    <w:rsid w:val="002D21AB"/>
    <w:rsid w:val="002D27A2"/>
    <w:rsid w:val="002D2B38"/>
    <w:rsid w:val="002D2C9C"/>
    <w:rsid w:val="002D2F41"/>
    <w:rsid w:val="002D2F56"/>
    <w:rsid w:val="002D2FB5"/>
    <w:rsid w:val="002D3574"/>
    <w:rsid w:val="002D35AB"/>
    <w:rsid w:val="002D408F"/>
    <w:rsid w:val="002D43A2"/>
    <w:rsid w:val="002D44E6"/>
    <w:rsid w:val="002D4640"/>
    <w:rsid w:val="002D4652"/>
    <w:rsid w:val="002D4903"/>
    <w:rsid w:val="002D4B46"/>
    <w:rsid w:val="002D4B92"/>
    <w:rsid w:val="002D4C1F"/>
    <w:rsid w:val="002D4CE5"/>
    <w:rsid w:val="002D4DEA"/>
    <w:rsid w:val="002D4F63"/>
    <w:rsid w:val="002D5081"/>
    <w:rsid w:val="002D5309"/>
    <w:rsid w:val="002D5500"/>
    <w:rsid w:val="002D56A6"/>
    <w:rsid w:val="002D56E9"/>
    <w:rsid w:val="002D574A"/>
    <w:rsid w:val="002D5884"/>
    <w:rsid w:val="002D589B"/>
    <w:rsid w:val="002D5964"/>
    <w:rsid w:val="002D5D13"/>
    <w:rsid w:val="002D5E1F"/>
    <w:rsid w:val="002D5F6D"/>
    <w:rsid w:val="002D6B1F"/>
    <w:rsid w:val="002D6F01"/>
    <w:rsid w:val="002D70F3"/>
    <w:rsid w:val="002D733B"/>
    <w:rsid w:val="002D76D7"/>
    <w:rsid w:val="002D7A64"/>
    <w:rsid w:val="002D7ABE"/>
    <w:rsid w:val="002D7B4C"/>
    <w:rsid w:val="002E00A8"/>
    <w:rsid w:val="002E00C1"/>
    <w:rsid w:val="002E05EC"/>
    <w:rsid w:val="002E0892"/>
    <w:rsid w:val="002E0924"/>
    <w:rsid w:val="002E0A09"/>
    <w:rsid w:val="002E0B2D"/>
    <w:rsid w:val="002E0CD8"/>
    <w:rsid w:val="002E0E8F"/>
    <w:rsid w:val="002E1072"/>
    <w:rsid w:val="002E1305"/>
    <w:rsid w:val="002E182C"/>
    <w:rsid w:val="002E185A"/>
    <w:rsid w:val="002E19D4"/>
    <w:rsid w:val="002E19D7"/>
    <w:rsid w:val="002E1BAA"/>
    <w:rsid w:val="002E1F5B"/>
    <w:rsid w:val="002E1F6C"/>
    <w:rsid w:val="002E1FF2"/>
    <w:rsid w:val="002E23E0"/>
    <w:rsid w:val="002E28B8"/>
    <w:rsid w:val="002E2905"/>
    <w:rsid w:val="002E2A94"/>
    <w:rsid w:val="002E2D11"/>
    <w:rsid w:val="002E3329"/>
    <w:rsid w:val="002E3AFE"/>
    <w:rsid w:val="002E401B"/>
    <w:rsid w:val="002E46D3"/>
    <w:rsid w:val="002E4AAD"/>
    <w:rsid w:val="002E5071"/>
    <w:rsid w:val="002E528C"/>
    <w:rsid w:val="002E5853"/>
    <w:rsid w:val="002E58C3"/>
    <w:rsid w:val="002E5A39"/>
    <w:rsid w:val="002E5BE9"/>
    <w:rsid w:val="002E5CD2"/>
    <w:rsid w:val="002E5D52"/>
    <w:rsid w:val="002E5EEF"/>
    <w:rsid w:val="002E6B8F"/>
    <w:rsid w:val="002E7165"/>
    <w:rsid w:val="002E7178"/>
    <w:rsid w:val="002E77E4"/>
    <w:rsid w:val="002E7968"/>
    <w:rsid w:val="002E7A2E"/>
    <w:rsid w:val="002E7C01"/>
    <w:rsid w:val="002F0412"/>
    <w:rsid w:val="002F05B7"/>
    <w:rsid w:val="002F06D8"/>
    <w:rsid w:val="002F100C"/>
    <w:rsid w:val="002F10F5"/>
    <w:rsid w:val="002F11AB"/>
    <w:rsid w:val="002F11FE"/>
    <w:rsid w:val="002F12F6"/>
    <w:rsid w:val="002F1302"/>
    <w:rsid w:val="002F1C40"/>
    <w:rsid w:val="002F2575"/>
    <w:rsid w:val="002F278D"/>
    <w:rsid w:val="002F2883"/>
    <w:rsid w:val="002F2A1A"/>
    <w:rsid w:val="002F2ABF"/>
    <w:rsid w:val="002F300D"/>
    <w:rsid w:val="002F307C"/>
    <w:rsid w:val="002F343D"/>
    <w:rsid w:val="002F379A"/>
    <w:rsid w:val="002F380D"/>
    <w:rsid w:val="002F3936"/>
    <w:rsid w:val="002F3BF7"/>
    <w:rsid w:val="002F3DAA"/>
    <w:rsid w:val="002F3DE6"/>
    <w:rsid w:val="002F447F"/>
    <w:rsid w:val="002F44FE"/>
    <w:rsid w:val="002F4CB5"/>
    <w:rsid w:val="002F5D91"/>
    <w:rsid w:val="002F626C"/>
    <w:rsid w:val="002F65B6"/>
    <w:rsid w:val="002F668A"/>
    <w:rsid w:val="002F69BA"/>
    <w:rsid w:val="002F6F67"/>
    <w:rsid w:val="002F6F80"/>
    <w:rsid w:val="002F735B"/>
    <w:rsid w:val="002F7637"/>
    <w:rsid w:val="002F76E8"/>
    <w:rsid w:val="002F77BC"/>
    <w:rsid w:val="002F7C26"/>
    <w:rsid w:val="002F7C86"/>
    <w:rsid w:val="002FB1D4"/>
    <w:rsid w:val="0030038E"/>
    <w:rsid w:val="0030047D"/>
    <w:rsid w:val="003011A9"/>
    <w:rsid w:val="003017DC"/>
    <w:rsid w:val="00301A2B"/>
    <w:rsid w:val="00301AA2"/>
    <w:rsid w:val="00301B57"/>
    <w:rsid w:val="00301BC7"/>
    <w:rsid w:val="00301BD2"/>
    <w:rsid w:val="00301D9F"/>
    <w:rsid w:val="00301F31"/>
    <w:rsid w:val="00301F5E"/>
    <w:rsid w:val="003022C6"/>
    <w:rsid w:val="003022EE"/>
    <w:rsid w:val="0030272C"/>
    <w:rsid w:val="00302BDD"/>
    <w:rsid w:val="00302C31"/>
    <w:rsid w:val="0030331C"/>
    <w:rsid w:val="003033DA"/>
    <w:rsid w:val="003034B7"/>
    <w:rsid w:val="003036C5"/>
    <w:rsid w:val="00303748"/>
    <w:rsid w:val="003038C7"/>
    <w:rsid w:val="0030391B"/>
    <w:rsid w:val="00303FBB"/>
    <w:rsid w:val="0030428F"/>
    <w:rsid w:val="00304322"/>
    <w:rsid w:val="00304BB5"/>
    <w:rsid w:val="00304D5C"/>
    <w:rsid w:val="003050D6"/>
    <w:rsid w:val="0030525F"/>
    <w:rsid w:val="00305632"/>
    <w:rsid w:val="0030568A"/>
    <w:rsid w:val="00306130"/>
    <w:rsid w:val="00306883"/>
    <w:rsid w:val="00306B0E"/>
    <w:rsid w:val="00306D19"/>
    <w:rsid w:val="00306D3E"/>
    <w:rsid w:val="00306EEE"/>
    <w:rsid w:val="00306F58"/>
    <w:rsid w:val="00307019"/>
    <w:rsid w:val="003078A5"/>
    <w:rsid w:val="00307B6A"/>
    <w:rsid w:val="00307C66"/>
    <w:rsid w:val="00310079"/>
    <w:rsid w:val="003108CE"/>
    <w:rsid w:val="00310B3C"/>
    <w:rsid w:val="00310CBF"/>
    <w:rsid w:val="0031137C"/>
    <w:rsid w:val="00311BC7"/>
    <w:rsid w:val="00311C68"/>
    <w:rsid w:val="0031215D"/>
    <w:rsid w:val="003121D2"/>
    <w:rsid w:val="00312415"/>
    <w:rsid w:val="00312708"/>
    <w:rsid w:val="00312750"/>
    <w:rsid w:val="0031275A"/>
    <w:rsid w:val="003127F6"/>
    <w:rsid w:val="003128F8"/>
    <w:rsid w:val="00312A24"/>
    <w:rsid w:val="00312A54"/>
    <w:rsid w:val="00312EDC"/>
    <w:rsid w:val="00313302"/>
    <w:rsid w:val="00313565"/>
    <w:rsid w:val="00313AF2"/>
    <w:rsid w:val="00313E38"/>
    <w:rsid w:val="003140E3"/>
    <w:rsid w:val="003145B9"/>
    <w:rsid w:val="00314A15"/>
    <w:rsid w:val="00314D37"/>
    <w:rsid w:val="00314F12"/>
    <w:rsid w:val="0031513A"/>
    <w:rsid w:val="003153BD"/>
    <w:rsid w:val="003155FD"/>
    <w:rsid w:val="003158CD"/>
    <w:rsid w:val="00315B38"/>
    <w:rsid w:val="00315EE3"/>
    <w:rsid w:val="00315FCB"/>
    <w:rsid w:val="0031637B"/>
    <w:rsid w:val="00316406"/>
    <w:rsid w:val="003168CD"/>
    <w:rsid w:val="003172FA"/>
    <w:rsid w:val="003178E6"/>
    <w:rsid w:val="003179AB"/>
    <w:rsid w:val="00317FF4"/>
    <w:rsid w:val="00320486"/>
    <w:rsid w:val="0032068C"/>
    <w:rsid w:val="003206D8"/>
    <w:rsid w:val="00320A4F"/>
    <w:rsid w:val="00320AF0"/>
    <w:rsid w:val="00320B42"/>
    <w:rsid w:val="00320C6C"/>
    <w:rsid w:val="00321186"/>
    <w:rsid w:val="003213C5"/>
    <w:rsid w:val="003215D3"/>
    <w:rsid w:val="003216EF"/>
    <w:rsid w:val="00321AD8"/>
    <w:rsid w:val="00321AEF"/>
    <w:rsid w:val="00321D9D"/>
    <w:rsid w:val="00321DA9"/>
    <w:rsid w:val="00321E2B"/>
    <w:rsid w:val="003223FF"/>
    <w:rsid w:val="00322489"/>
    <w:rsid w:val="00322539"/>
    <w:rsid w:val="00322614"/>
    <w:rsid w:val="00322623"/>
    <w:rsid w:val="00322687"/>
    <w:rsid w:val="0032286C"/>
    <w:rsid w:val="00322AC8"/>
    <w:rsid w:val="00322F25"/>
    <w:rsid w:val="00323355"/>
    <w:rsid w:val="00323460"/>
    <w:rsid w:val="00323924"/>
    <w:rsid w:val="003239BD"/>
    <w:rsid w:val="003239E4"/>
    <w:rsid w:val="00323B75"/>
    <w:rsid w:val="00323B9C"/>
    <w:rsid w:val="00323BCB"/>
    <w:rsid w:val="00323E14"/>
    <w:rsid w:val="00323EC3"/>
    <w:rsid w:val="00323EDD"/>
    <w:rsid w:val="00323F03"/>
    <w:rsid w:val="00323F34"/>
    <w:rsid w:val="00324185"/>
    <w:rsid w:val="00324B78"/>
    <w:rsid w:val="00324C17"/>
    <w:rsid w:val="00324D14"/>
    <w:rsid w:val="0032503E"/>
    <w:rsid w:val="0032567F"/>
    <w:rsid w:val="003258A1"/>
    <w:rsid w:val="00325B98"/>
    <w:rsid w:val="00325BBE"/>
    <w:rsid w:val="003260C4"/>
    <w:rsid w:val="003260FC"/>
    <w:rsid w:val="003261FF"/>
    <w:rsid w:val="003264C1"/>
    <w:rsid w:val="0032656C"/>
    <w:rsid w:val="0032658E"/>
    <w:rsid w:val="00326637"/>
    <w:rsid w:val="00326795"/>
    <w:rsid w:val="00326A45"/>
    <w:rsid w:val="00326E43"/>
    <w:rsid w:val="00326ECC"/>
    <w:rsid w:val="0032727C"/>
    <w:rsid w:val="00327978"/>
    <w:rsid w:val="00330206"/>
    <w:rsid w:val="003302F0"/>
    <w:rsid w:val="00330B17"/>
    <w:rsid w:val="00330C08"/>
    <w:rsid w:val="00330CAE"/>
    <w:rsid w:val="00330CEA"/>
    <w:rsid w:val="00330EE3"/>
    <w:rsid w:val="003310C1"/>
    <w:rsid w:val="00331240"/>
    <w:rsid w:val="003313D6"/>
    <w:rsid w:val="00331499"/>
    <w:rsid w:val="00331661"/>
    <w:rsid w:val="00331733"/>
    <w:rsid w:val="003322B0"/>
    <w:rsid w:val="00332450"/>
    <w:rsid w:val="00332C42"/>
    <w:rsid w:val="00332F00"/>
    <w:rsid w:val="003335F1"/>
    <w:rsid w:val="00333898"/>
    <w:rsid w:val="00333A8A"/>
    <w:rsid w:val="00333CDD"/>
    <w:rsid w:val="00333F74"/>
    <w:rsid w:val="0033416E"/>
    <w:rsid w:val="003342AA"/>
    <w:rsid w:val="00334363"/>
    <w:rsid w:val="003345E7"/>
    <w:rsid w:val="00334DEA"/>
    <w:rsid w:val="00335044"/>
    <w:rsid w:val="003351FB"/>
    <w:rsid w:val="003352A5"/>
    <w:rsid w:val="0033587E"/>
    <w:rsid w:val="00335A9F"/>
    <w:rsid w:val="00335C08"/>
    <w:rsid w:val="00335E12"/>
    <w:rsid w:val="003361D2"/>
    <w:rsid w:val="00336992"/>
    <w:rsid w:val="00336BEB"/>
    <w:rsid w:val="00337269"/>
    <w:rsid w:val="003374AF"/>
    <w:rsid w:val="003375E6"/>
    <w:rsid w:val="0033787D"/>
    <w:rsid w:val="00337A5B"/>
    <w:rsid w:val="00337D0A"/>
    <w:rsid w:val="00337FCD"/>
    <w:rsid w:val="00337FE1"/>
    <w:rsid w:val="00340146"/>
    <w:rsid w:val="00340671"/>
    <w:rsid w:val="00340734"/>
    <w:rsid w:val="00340AC4"/>
    <w:rsid w:val="0034140B"/>
    <w:rsid w:val="00341470"/>
    <w:rsid w:val="00341600"/>
    <w:rsid w:val="003416AE"/>
    <w:rsid w:val="00341E2B"/>
    <w:rsid w:val="003422D8"/>
    <w:rsid w:val="0034288B"/>
    <w:rsid w:val="003428FA"/>
    <w:rsid w:val="003429F6"/>
    <w:rsid w:val="00342A66"/>
    <w:rsid w:val="00342BDE"/>
    <w:rsid w:val="00342EF0"/>
    <w:rsid w:val="00342FA1"/>
    <w:rsid w:val="0034320F"/>
    <w:rsid w:val="0034325A"/>
    <w:rsid w:val="00343843"/>
    <w:rsid w:val="003438D8"/>
    <w:rsid w:val="00343AFE"/>
    <w:rsid w:val="00343D34"/>
    <w:rsid w:val="00343EC8"/>
    <w:rsid w:val="0034420A"/>
    <w:rsid w:val="0034423A"/>
    <w:rsid w:val="0034449F"/>
    <w:rsid w:val="003444D9"/>
    <w:rsid w:val="0034451E"/>
    <w:rsid w:val="0034454E"/>
    <w:rsid w:val="00344632"/>
    <w:rsid w:val="003447C4"/>
    <w:rsid w:val="00344C29"/>
    <w:rsid w:val="00344F8A"/>
    <w:rsid w:val="003456F7"/>
    <w:rsid w:val="00345B29"/>
    <w:rsid w:val="003460D2"/>
    <w:rsid w:val="00346315"/>
    <w:rsid w:val="00346829"/>
    <w:rsid w:val="00346A99"/>
    <w:rsid w:val="00346D03"/>
    <w:rsid w:val="00346DA4"/>
    <w:rsid w:val="00346DB1"/>
    <w:rsid w:val="003470F9"/>
    <w:rsid w:val="0034723E"/>
    <w:rsid w:val="003476DD"/>
    <w:rsid w:val="0034779A"/>
    <w:rsid w:val="00347896"/>
    <w:rsid w:val="00347B2C"/>
    <w:rsid w:val="00347DAD"/>
    <w:rsid w:val="00347DED"/>
    <w:rsid w:val="003501D4"/>
    <w:rsid w:val="00350923"/>
    <w:rsid w:val="00350B4D"/>
    <w:rsid w:val="00350BD6"/>
    <w:rsid w:val="00351093"/>
    <w:rsid w:val="003513CB"/>
    <w:rsid w:val="0035189E"/>
    <w:rsid w:val="00351961"/>
    <w:rsid w:val="00352327"/>
    <w:rsid w:val="003523F0"/>
    <w:rsid w:val="003523FB"/>
    <w:rsid w:val="003525E6"/>
    <w:rsid w:val="003527A5"/>
    <w:rsid w:val="00352991"/>
    <w:rsid w:val="00352B25"/>
    <w:rsid w:val="00353351"/>
    <w:rsid w:val="0035397C"/>
    <w:rsid w:val="00353BB1"/>
    <w:rsid w:val="00354087"/>
    <w:rsid w:val="0035423A"/>
    <w:rsid w:val="003545C1"/>
    <w:rsid w:val="00354720"/>
    <w:rsid w:val="003547B2"/>
    <w:rsid w:val="0035481B"/>
    <w:rsid w:val="003548C8"/>
    <w:rsid w:val="003548E8"/>
    <w:rsid w:val="00354C03"/>
    <w:rsid w:val="003551DA"/>
    <w:rsid w:val="00355F62"/>
    <w:rsid w:val="00356277"/>
    <w:rsid w:val="003562B4"/>
    <w:rsid w:val="003564C5"/>
    <w:rsid w:val="003565DC"/>
    <w:rsid w:val="003566D2"/>
    <w:rsid w:val="00356B22"/>
    <w:rsid w:val="00356BCE"/>
    <w:rsid w:val="00357145"/>
    <w:rsid w:val="00357194"/>
    <w:rsid w:val="003573CA"/>
    <w:rsid w:val="00357659"/>
    <w:rsid w:val="0035773D"/>
    <w:rsid w:val="003578DE"/>
    <w:rsid w:val="00357957"/>
    <w:rsid w:val="00357B17"/>
    <w:rsid w:val="00357B69"/>
    <w:rsid w:val="00357DD5"/>
    <w:rsid w:val="00360014"/>
    <w:rsid w:val="0036005E"/>
    <w:rsid w:val="00360202"/>
    <w:rsid w:val="00360491"/>
    <w:rsid w:val="00360540"/>
    <w:rsid w:val="00360FCA"/>
    <w:rsid w:val="00361130"/>
    <w:rsid w:val="00361376"/>
    <w:rsid w:val="003613C3"/>
    <w:rsid w:val="003613EC"/>
    <w:rsid w:val="00361DEC"/>
    <w:rsid w:val="00361F6B"/>
    <w:rsid w:val="00362947"/>
    <w:rsid w:val="003629C4"/>
    <w:rsid w:val="00362AA1"/>
    <w:rsid w:val="00362D73"/>
    <w:rsid w:val="00362DE0"/>
    <w:rsid w:val="00363290"/>
    <w:rsid w:val="00363619"/>
    <w:rsid w:val="00363A10"/>
    <w:rsid w:val="00363E45"/>
    <w:rsid w:val="003640E0"/>
    <w:rsid w:val="00364564"/>
    <w:rsid w:val="00364701"/>
    <w:rsid w:val="00364A3D"/>
    <w:rsid w:val="00364B74"/>
    <w:rsid w:val="00364D6F"/>
    <w:rsid w:val="00364E15"/>
    <w:rsid w:val="00364F44"/>
    <w:rsid w:val="00364F63"/>
    <w:rsid w:val="00364FD5"/>
    <w:rsid w:val="00365400"/>
    <w:rsid w:val="00365702"/>
    <w:rsid w:val="00365776"/>
    <w:rsid w:val="00365B5B"/>
    <w:rsid w:val="003662FB"/>
    <w:rsid w:val="00366807"/>
    <w:rsid w:val="0036699F"/>
    <w:rsid w:val="00367559"/>
    <w:rsid w:val="003675CF"/>
    <w:rsid w:val="00367629"/>
    <w:rsid w:val="003677BF"/>
    <w:rsid w:val="00367A1F"/>
    <w:rsid w:val="00367BA7"/>
    <w:rsid w:val="00367C16"/>
    <w:rsid w:val="00367D49"/>
    <w:rsid w:val="003703D6"/>
    <w:rsid w:val="003703E5"/>
    <w:rsid w:val="00370521"/>
    <w:rsid w:val="003706FA"/>
    <w:rsid w:val="00370711"/>
    <w:rsid w:val="00370785"/>
    <w:rsid w:val="003709E2"/>
    <w:rsid w:val="003713F6"/>
    <w:rsid w:val="00371961"/>
    <w:rsid w:val="00371C46"/>
    <w:rsid w:val="00371DCD"/>
    <w:rsid w:val="003721FB"/>
    <w:rsid w:val="003728F6"/>
    <w:rsid w:val="00372B59"/>
    <w:rsid w:val="00372E9B"/>
    <w:rsid w:val="00373210"/>
    <w:rsid w:val="00373862"/>
    <w:rsid w:val="00373929"/>
    <w:rsid w:val="00373938"/>
    <w:rsid w:val="00373D77"/>
    <w:rsid w:val="00373E5C"/>
    <w:rsid w:val="003742B2"/>
    <w:rsid w:val="00374725"/>
    <w:rsid w:val="00374732"/>
    <w:rsid w:val="0037479E"/>
    <w:rsid w:val="00374B20"/>
    <w:rsid w:val="0037512B"/>
    <w:rsid w:val="00375204"/>
    <w:rsid w:val="00375677"/>
    <w:rsid w:val="003756B0"/>
    <w:rsid w:val="00375E3F"/>
    <w:rsid w:val="003761FE"/>
    <w:rsid w:val="00376625"/>
    <w:rsid w:val="003768A2"/>
    <w:rsid w:val="003769AA"/>
    <w:rsid w:val="00376E24"/>
    <w:rsid w:val="00377075"/>
    <w:rsid w:val="003773F0"/>
    <w:rsid w:val="003777E3"/>
    <w:rsid w:val="0037784A"/>
    <w:rsid w:val="003779AD"/>
    <w:rsid w:val="00377A8F"/>
    <w:rsid w:val="00377BE2"/>
    <w:rsid w:val="00377CC9"/>
    <w:rsid w:val="00377D1E"/>
    <w:rsid w:val="00377E3D"/>
    <w:rsid w:val="00377EAE"/>
    <w:rsid w:val="00377F26"/>
    <w:rsid w:val="00377F33"/>
    <w:rsid w:val="00380560"/>
    <w:rsid w:val="003805EB"/>
    <w:rsid w:val="003807E0"/>
    <w:rsid w:val="003809AE"/>
    <w:rsid w:val="00380A54"/>
    <w:rsid w:val="00380B33"/>
    <w:rsid w:val="00380C29"/>
    <w:rsid w:val="003810A0"/>
    <w:rsid w:val="003813DF"/>
    <w:rsid w:val="0038158B"/>
    <w:rsid w:val="00381722"/>
    <w:rsid w:val="00381812"/>
    <w:rsid w:val="0038182B"/>
    <w:rsid w:val="00381A1B"/>
    <w:rsid w:val="00382082"/>
    <w:rsid w:val="003820C8"/>
    <w:rsid w:val="0038278A"/>
    <w:rsid w:val="00382985"/>
    <w:rsid w:val="00382E5B"/>
    <w:rsid w:val="00382ED7"/>
    <w:rsid w:val="00383038"/>
    <w:rsid w:val="00383192"/>
    <w:rsid w:val="003834DF"/>
    <w:rsid w:val="00383C6E"/>
    <w:rsid w:val="00383DCC"/>
    <w:rsid w:val="00383EE6"/>
    <w:rsid w:val="00384042"/>
    <w:rsid w:val="0038404F"/>
    <w:rsid w:val="003841D1"/>
    <w:rsid w:val="00384280"/>
    <w:rsid w:val="003848B1"/>
    <w:rsid w:val="00384B95"/>
    <w:rsid w:val="00385070"/>
    <w:rsid w:val="0038515C"/>
    <w:rsid w:val="003851B9"/>
    <w:rsid w:val="00385244"/>
    <w:rsid w:val="003853EC"/>
    <w:rsid w:val="0038551C"/>
    <w:rsid w:val="0038553B"/>
    <w:rsid w:val="00385BB8"/>
    <w:rsid w:val="00385D4B"/>
    <w:rsid w:val="00385E31"/>
    <w:rsid w:val="00385EDD"/>
    <w:rsid w:val="00386131"/>
    <w:rsid w:val="00386163"/>
    <w:rsid w:val="003862E8"/>
    <w:rsid w:val="00386A09"/>
    <w:rsid w:val="00386DE6"/>
    <w:rsid w:val="00386E06"/>
    <w:rsid w:val="00386EDF"/>
    <w:rsid w:val="00387056"/>
    <w:rsid w:val="00387215"/>
    <w:rsid w:val="00387438"/>
    <w:rsid w:val="003876C8"/>
    <w:rsid w:val="003878AC"/>
    <w:rsid w:val="0038792D"/>
    <w:rsid w:val="00387AA0"/>
    <w:rsid w:val="00387FF6"/>
    <w:rsid w:val="0039088C"/>
    <w:rsid w:val="003908B4"/>
    <w:rsid w:val="003909F3"/>
    <w:rsid w:val="00390B22"/>
    <w:rsid w:val="00390E0B"/>
    <w:rsid w:val="00390E61"/>
    <w:rsid w:val="0039115F"/>
    <w:rsid w:val="003919AF"/>
    <w:rsid w:val="00391EB2"/>
    <w:rsid w:val="00392520"/>
    <w:rsid w:val="0039301A"/>
    <w:rsid w:val="00393200"/>
    <w:rsid w:val="003939F3"/>
    <w:rsid w:val="00393B45"/>
    <w:rsid w:val="00393C77"/>
    <w:rsid w:val="00394086"/>
    <w:rsid w:val="003941D3"/>
    <w:rsid w:val="00394262"/>
    <w:rsid w:val="003947E5"/>
    <w:rsid w:val="0039483B"/>
    <w:rsid w:val="00394E06"/>
    <w:rsid w:val="00394E3C"/>
    <w:rsid w:val="00394EB1"/>
    <w:rsid w:val="00395E8F"/>
    <w:rsid w:val="00395F36"/>
    <w:rsid w:val="0039634E"/>
    <w:rsid w:val="00396463"/>
    <w:rsid w:val="0039662A"/>
    <w:rsid w:val="00396696"/>
    <w:rsid w:val="00396DDF"/>
    <w:rsid w:val="00397563"/>
    <w:rsid w:val="0039786A"/>
    <w:rsid w:val="003979D3"/>
    <w:rsid w:val="00397B43"/>
    <w:rsid w:val="00397E64"/>
    <w:rsid w:val="003A005E"/>
    <w:rsid w:val="003A01E8"/>
    <w:rsid w:val="003A0312"/>
    <w:rsid w:val="003A05E3"/>
    <w:rsid w:val="003A05F1"/>
    <w:rsid w:val="003A07A0"/>
    <w:rsid w:val="003A0FFE"/>
    <w:rsid w:val="003A10B3"/>
    <w:rsid w:val="003A1280"/>
    <w:rsid w:val="003A1507"/>
    <w:rsid w:val="003A1928"/>
    <w:rsid w:val="003A1AB2"/>
    <w:rsid w:val="003A1AC1"/>
    <w:rsid w:val="003A1D95"/>
    <w:rsid w:val="003A2091"/>
    <w:rsid w:val="003A21EC"/>
    <w:rsid w:val="003A23C6"/>
    <w:rsid w:val="003A250F"/>
    <w:rsid w:val="003A2701"/>
    <w:rsid w:val="003A2AD3"/>
    <w:rsid w:val="003A2B35"/>
    <w:rsid w:val="003A2DB9"/>
    <w:rsid w:val="003A2FFA"/>
    <w:rsid w:val="003A3036"/>
    <w:rsid w:val="003A350A"/>
    <w:rsid w:val="003A35A3"/>
    <w:rsid w:val="003A392E"/>
    <w:rsid w:val="003A3ECA"/>
    <w:rsid w:val="003A4482"/>
    <w:rsid w:val="003A44AF"/>
    <w:rsid w:val="003A4630"/>
    <w:rsid w:val="003A46DD"/>
    <w:rsid w:val="003A4757"/>
    <w:rsid w:val="003A4864"/>
    <w:rsid w:val="003A4C91"/>
    <w:rsid w:val="003A4CA8"/>
    <w:rsid w:val="003A4E42"/>
    <w:rsid w:val="003A4FB3"/>
    <w:rsid w:val="003A51FB"/>
    <w:rsid w:val="003A59C8"/>
    <w:rsid w:val="003A600E"/>
    <w:rsid w:val="003A607D"/>
    <w:rsid w:val="003A6708"/>
    <w:rsid w:val="003A672F"/>
    <w:rsid w:val="003A67B9"/>
    <w:rsid w:val="003A6979"/>
    <w:rsid w:val="003A6A4C"/>
    <w:rsid w:val="003A6F8E"/>
    <w:rsid w:val="003A6FF0"/>
    <w:rsid w:val="003A702A"/>
    <w:rsid w:val="003A707A"/>
    <w:rsid w:val="003A75EF"/>
    <w:rsid w:val="003A7655"/>
    <w:rsid w:val="003A76FD"/>
    <w:rsid w:val="003A7D0F"/>
    <w:rsid w:val="003A7D2D"/>
    <w:rsid w:val="003A7EAE"/>
    <w:rsid w:val="003ACF60"/>
    <w:rsid w:val="003B0120"/>
    <w:rsid w:val="003B046E"/>
    <w:rsid w:val="003B08AB"/>
    <w:rsid w:val="003B09DF"/>
    <w:rsid w:val="003B1317"/>
    <w:rsid w:val="003B1478"/>
    <w:rsid w:val="003B155B"/>
    <w:rsid w:val="003B161A"/>
    <w:rsid w:val="003B1A72"/>
    <w:rsid w:val="003B1F2E"/>
    <w:rsid w:val="003B1F67"/>
    <w:rsid w:val="003B20B2"/>
    <w:rsid w:val="003B23F1"/>
    <w:rsid w:val="003B2451"/>
    <w:rsid w:val="003B2712"/>
    <w:rsid w:val="003B2A4C"/>
    <w:rsid w:val="003B2D73"/>
    <w:rsid w:val="003B33D6"/>
    <w:rsid w:val="003B33F4"/>
    <w:rsid w:val="003B3403"/>
    <w:rsid w:val="003B345B"/>
    <w:rsid w:val="003B3849"/>
    <w:rsid w:val="003B3897"/>
    <w:rsid w:val="003B38BF"/>
    <w:rsid w:val="003B3924"/>
    <w:rsid w:val="003B39EE"/>
    <w:rsid w:val="003B3AD0"/>
    <w:rsid w:val="003B4487"/>
    <w:rsid w:val="003B45F5"/>
    <w:rsid w:val="003B4667"/>
    <w:rsid w:val="003B47A8"/>
    <w:rsid w:val="003B4898"/>
    <w:rsid w:val="003B4BAE"/>
    <w:rsid w:val="003B4F35"/>
    <w:rsid w:val="003B4F75"/>
    <w:rsid w:val="003B5C5D"/>
    <w:rsid w:val="003B5DCE"/>
    <w:rsid w:val="003B6159"/>
    <w:rsid w:val="003B6234"/>
    <w:rsid w:val="003B6373"/>
    <w:rsid w:val="003B6378"/>
    <w:rsid w:val="003B67CD"/>
    <w:rsid w:val="003B682E"/>
    <w:rsid w:val="003B6869"/>
    <w:rsid w:val="003B6C12"/>
    <w:rsid w:val="003B7326"/>
    <w:rsid w:val="003B750B"/>
    <w:rsid w:val="003B75C8"/>
    <w:rsid w:val="003B7A56"/>
    <w:rsid w:val="003B7AAF"/>
    <w:rsid w:val="003B7AC6"/>
    <w:rsid w:val="003B7C01"/>
    <w:rsid w:val="003B7D6E"/>
    <w:rsid w:val="003B7DB3"/>
    <w:rsid w:val="003B7E17"/>
    <w:rsid w:val="003B7E57"/>
    <w:rsid w:val="003B7ED2"/>
    <w:rsid w:val="003B7F88"/>
    <w:rsid w:val="003C0062"/>
    <w:rsid w:val="003C021C"/>
    <w:rsid w:val="003C05F6"/>
    <w:rsid w:val="003C0863"/>
    <w:rsid w:val="003C086A"/>
    <w:rsid w:val="003C08B3"/>
    <w:rsid w:val="003C0BF3"/>
    <w:rsid w:val="003C0D96"/>
    <w:rsid w:val="003C0E96"/>
    <w:rsid w:val="003C10B9"/>
    <w:rsid w:val="003C1150"/>
    <w:rsid w:val="003C165E"/>
    <w:rsid w:val="003C17DC"/>
    <w:rsid w:val="003C183F"/>
    <w:rsid w:val="003C197C"/>
    <w:rsid w:val="003C1D7D"/>
    <w:rsid w:val="003C2274"/>
    <w:rsid w:val="003C2559"/>
    <w:rsid w:val="003C2A34"/>
    <w:rsid w:val="003C2AE2"/>
    <w:rsid w:val="003C2EEF"/>
    <w:rsid w:val="003C2F3E"/>
    <w:rsid w:val="003C3BEF"/>
    <w:rsid w:val="003C3E2D"/>
    <w:rsid w:val="003C3F81"/>
    <w:rsid w:val="003C437F"/>
    <w:rsid w:val="003C4734"/>
    <w:rsid w:val="003C49B9"/>
    <w:rsid w:val="003C4A73"/>
    <w:rsid w:val="003C4E3F"/>
    <w:rsid w:val="003C4F6E"/>
    <w:rsid w:val="003C509E"/>
    <w:rsid w:val="003C515D"/>
    <w:rsid w:val="003C5226"/>
    <w:rsid w:val="003C532E"/>
    <w:rsid w:val="003C54BD"/>
    <w:rsid w:val="003C54F2"/>
    <w:rsid w:val="003C589C"/>
    <w:rsid w:val="003C60CA"/>
    <w:rsid w:val="003C6CAA"/>
    <w:rsid w:val="003C6F42"/>
    <w:rsid w:val="003C702F"/>
    <w:rsid w:val="003C7173"/>
    <w:rsid w:val="003C71B2"/>
    <w:rsid w:val="003C7297"/>
    <w:rsid w:val="003C75C3"/>
    <w:rsid w:val="003C7939"/>
    <w:rsid w:val="003C7A89"/>
    <w:rsid w:val="003C7A9D"/>
    <w:rsid w:val="003C7C8F"/>
    <w:rsid w:val="003C7CA0"/>
    <w:rsid w:val="003D0266"/>
    <w:rsid w:val="003D08D6"/>
    <w:rsid w:val="003D0B86"/>
    <w:rsid w:val="003D0D2A"/>
    <w:rsid w:val="003D1408"/>
    <w:rsid w:val="003D143B"/>
    <w:rsid w:val="003D15E3"/>
    <w:rsid w:val="003D1C81"/>
    <w:rsid w:val="003D1DE7"/>
    <w:rsid w:val="003D1FC9"/>
    <w:rsid w:val="003D28D3"/>
    <w:rsid w:val="003D2B22"/>
    <w:rsid w:val="003D2C92"/>
    <w:rsid w:val="003D2D74"/>
    <w:rsid w:val="003D3112"/>
    <w:rsid w:val="003D31E3"/>
    <w:rsid w:val="003D32EF"/>
    <w:rsid w:val="003D36FA"/>
    <w:rsid w:val="003D3774"/>
    <w:rsid w:val="003D377A"/>
    <w:rsid w:val="003D3890"/>
    <w:rsid w:val="003D3C15"/>
    <w:rsid w:val="003D3D4F"/>
    <w:rsid w:val="003D3D84"/>
    <w:rsid w:val="003D41A8"/>
    <w:rsid w:val="003D42FD"/>
    <w:rsid w:val="003D4ACC"/>
    <w:rsid w:val="003D5239"/>
    <w:rsid w:val="003D52DA"/>
    <w:rsid w:val="003D5740"/>
    <w:rsid w:val="003D58BA"/>
    <w:rsid w:val="003D5B01"/>
    <w:rsid w:val="003D5B2E"/>
    <w:rsid w:val="003D5BED"/>
    <w:rsid w:val="003D5D1B"/>
    <w:rsid w:val="003D5DCB"/>
    <w:rsid w:val="003D617D"/>
    <w:rsid w:val="003D6250"/>
    <w:rsid w:val="003D679D"/>
    <w:rsid w:val="003D6F3A"/>
    <w:rsid w:val="003D701A"/>
    <w:rsid w:val="003D70D8"/>
    <w:rsid w:val="003D7692"/>
    <w:rsid w:val="003D77C7"/>
    <w:rsid w:val="003D7C21"/>
    <w:rsid w:val="003D7ED2"/>
    <w:rsid w:val="003E0039"/>
    <w:rsid w:val="003E0C15"/>
    <w:rsid w:val="003E0D06"/>
    <w:rsid w:val="003E0E77"/>
    <w:rsid w:val="003E1128"/>
    <w:rsid w:val="003E1212"/>
    <w:rsid w:val="003E1ADD"/>
    <w:rsid w:val="003E1BEC"/>
    <w:rsid w:val="003E1D08"/>
    <w:rsid w:val="003E1F20"/>
    <w:rsid w:val="003E1F99"/>
    <w:rsid w:val="003E2A52"/>
    <w:rsid w:val="003E3358"/>
    <w:rsid w:val="003E3679"/>
    <w:rsid w:val="003E36A1"/>
    <w:rsid w:val="003E3848"/>
    <w:rsid w:val="003E41C7"/>
    <w:rsid w:val="003E43CA"/>
    <w:rsid w:val="003E4B59"/>
    <w:rsid w:val="003E51AE"/>
    <w:rsid w:val="003E54D6"/>
    <w:rsid w:val="003E565D"/>
    <w:rsid w:val="003E570A"/>
    <w:rsid w:val="003E59A1"/>
    <w:rsid w:val="003E5BB9"/>
    <w:rsid w:val="003E5D7E"/>
    <w:rsid w:val="003E5D81"/>
    <w:rsid w:val="003E5F6C"/>
    <w:rsid w:val="003E61B9"/>
    <w:rsid w:val="003E6572"/>
    <w:rsid w:val="003E6829"/>
    <w:rsid w:val="003E6AB4"/>
    <w:rsid w:val="003E6B65"/>
    <w:rsid w:val="003E6F93"/>
    <w:rsid w:val="003E720F"/>
    <w:rsid w:val="003E7935"/>
    <w:rsid w:val="003E79DB"/>
    <w:rsid w:val="003E7A75"/>
    <w:rsid w:val="003E7BF7"/>
    <w:rsid w:val="003E7E11"/>
    <w:rsid w:val="003ECD42"/>
    <w:rsid w:val="003F047F"/>
    <w:rsid w:val="003F06D6"/>
    <w:rsid w:val="003F074B"/>
    <w:rsid w:val="003F08A2"/>
    <w:rsid w:val="003F0AD5"/>
    <w:rsid w:val="003F0C6B"/>
    <w:rsid w:val="003F0EB9"/>
    <w:rsid w:val="003F112E"/>
    <w:rsid w:val="003F114C"/>
    <w:rsid w:val="003F1269"/>
    <w:rsid w:val="003F14C8"/>
    <w:rsid w:val="003F1D71"/>
    <w:rsid w:val="003F1F25"/>
    <w:rsid w:val="003F201C"/>
    <w:rsid w:val="003F2071"/>
    <w:rsid w:val="003F220C"/>
    <w:rsid w:val="003F2572"/>
    <w:rsid w:val="003F264F"/>
    <w:rsid w:val="003F2BE3"/>
    <w:rsid w:val="003F2E49"/>
    <w:rsid w:val="003F2F11"/>
    <w:rsid w:val="003F2FCD"/>
    <w:rsid w:val="003F3052"/>
    <w:rsid w:val="003F35F3"/>
    <w:rsid w:val="003F381C"/>
    <w:rsid w:val="003F3A38"/>
    <w:rsid w:val="003F3EA2"/>
    <w:rsid w:val="003F4049"/>
    <w:rsid w:val="003F40A4"/>
    <w:rsid w:val="003F4198"/>
    <w:rsid w:val="003F448C"/>
    <w:rsid w:val="003F4646"/>
    <w:rsid w:val="003F4774"/>
    <w:rsid w:val="003F4C55"/>
    <w:rsid w:val="003F4FAD"/>
    <w:rsid w:val="003F51FF"/>
    <w:rsid w:val="003F5664"/>
    <w:rsid w:val="003F5811"/>
    <w:rsid w:val="003F598E"/>
    <w:rsid w:val="003F5AC6"/>
    <w:rsid w:val="003F6085"/>
    <w:rsid w:val="003F6125"/>
    <w:rsid w:val="003F612C"/>
    <w:rsid w:val="003F6640"/>
    <w:rsid w:val="003F68A5"/>
    <w:rsid w:val="003F69AA"/>
    <w:rsid w:val="003F701C"/>
    <w:rsid w:val="003F7201"/>
    <w:rsid w:val="003F72F0"/>
    <w:rsid w:val="003F7960"/>
    <w:rsid w:val="003F7BD2"/>
    <w:rsid w:val="004003E1"/>
    <w:rsid w:val="00400980"/>
    <w:rsid w:val="00400AC1"/>
    <w:rsid w:val="00400D79"/>
    <w:rsid w:val="00400D8C"/>
    <w:rsid w:val="00401514"/>
    <w:rsid w:val="00401B2D"/>
    <w:rsid w:val="00402116"/>
    <w:rsid w:val="00402381"/>
    <w:rsid w:val="0040243B"/>
    <w:rsid w:val="004024FC"/>
    <w:rsid w:val="004027B5"/>
    <w:rsid w:val="0040287E"/>
    <w:rsid w:val="0040310D"/>
    <w:rsid w:val="004034FE"/>
    <w:rsid w:val="00403664"/>
    <w:rsid w:val="0040391A"/>
    <w:rsid w:val="00403B74"/>
    <w:rsid w:val="0040403A"/>
    <w:rsid w:val="00404499"/>
    <w:rsid w:val="0040450A"/>
    <w:rsid w:val="00404773"/>
    <w:rsid w:val="004047ED"/>
    <w:rsid w:val="00404A55"/>
    <w:rsid w:val="00404B78"/>
    <w:rsid w:val="00404D51"/>
    <w:rsid w:val="00405027"/>
    <w:rsid w:val="0040517A"/>
    <w:rsid w:val="00405286"/>
    <w:rsid w:val="004052DB"/>
    <w:rsid w:val="004054C7"/>
    <w:rsid w:val="004054E1"/>
    <w:rsid w:val="00405E1E"/>
    <w:rsid w:val="00405F4F"/>
    <w:rsid w:val="004064DE"/>
    <w:rsid w:val="0040694A"/>
    <w:rsid w:val="00406AD1"/>
    <w:rsid w:val="00406D52"/>
    <w:rsid w:val="00406FE8"/>
    <w:rsid w:val="004074ED"/>
    <w:rsid w:val="00407B39"/>
    <w:rsid w:val="00407CEA"/>
    <w:rsid w:val="00410140"/>
    <w:rsid w:val="00410241"/>
    <w:rsid w:val="004104F2"/>
    <w:rsid w:val="0041060A"/>
    <w:rsid w:val="00410661"/>
    <w:rsid w:val="00410A88"/>
    <w:rsid w:val="00410BBC"/>
    <w:rsid w:val="00410F18"/>
    <w:rsid w:val="004113DE"/>
    <w:rsid w:val="00411964"/>
    <w:rsid w:val="00411969"/>
    <w:rsid w:val="00411B6E"/>
    <w:rsid w:val="00411C7C"/>
    <w:rsid w:val="00412163"/>
    <w:rsid w:val="004122F9"/>
    <w:rsid w:val="0041256D"/>
    <w:rsid w:val="00412582"/>
    <w:rsid w:val="00412678"/>
    <w:rsid w:val="004126B9"/>
    <w:rsid w:val="0041280C"/>
    <w:rsid w:val="00412829"/>
    <w:rsid w:val="00412BF0"/>
    <w:rsid w:val="00413122"/>
    <w:rsid w:val="0041313A"/>
    <w:rsid w:val="004131B3"/>
    <w:rsid w:val="0041344E"/>
    <w:rsid w:val="00413848"/>
    <w:rsid w:val="00413A0A"/>
    <w:rsid w:val="00413ED9"/>
    <w:rsid w:val="00414140"/>
    <w:rsid w:val="0041416E"/>
    <w:rsid w:val="0041431F"/>
    <w:rsid w:val="00414410"/>
    <w:rsid w:val="0041474C"/>
    <w:rsid w:val="00414CA5"/>
    <w:rsid w:val="00414D67"/>
    <w:rsid w:val="00414DE8"/>
    <w:rsid w:val="00414E74"/>
    <w:rsid w:val="00414FE3"/>
    <w:rsid w:val="004154F0"/>
    <w:rsid w:val="004155A0"/>
    <w:rsid w:val="00415780"/>
    <w:rsid w:val="004158FF"/>
    <w:rsid w:val="00415A1E"/>
    <w:rsid w:val="00415AE5"/>
    <w:rsid w:val="00415C6B"/>
    <w:rsid w:val="00415F24"/>
    <w:rsid w:val="0041616B"/>
    <w:rsid w:val="00416644"/>
    <w:rsid w:val="00416754"/>
    <w:rsid w:val="00416B19"/>
    <w:rsid w:val="004173DA"/>
    <w:rsid w:val="0041762B"/>
    <w:rsid w:val="004190D5"/>
    <w:rsid w:val="004201A6"/>
    <w:rsid w:val="004201BD"/>
    <w:rsid w:val="00420252"/>
    <w:rsid w:val="00420423"/>
    <w:rsid w:val="00420439"/>
    <w:rsid w:val="004204B0"/>
    <w:rsid w:val="00420973"/>
    <w:rsid w:val="0042098A"/>
    <w:rsid w:val="00420C06"/>
    <w:rsid w:val="00420CE0"/>
    <w:rsid w:val="00420E55"/>
    <w:rsid w:val="004210C2"/>
    <w:rsid w:val="00421B1A"/>
    <w:rsid w:val="00421B2A"/>
    <w:rsid w:val="00421D76"/>
    <w:rsid w:val="00421F51"/>
    <w:rsid w:val="0042265C"/>
    <w:rsid w:val="0042274A"/>
    <w:rsid w:val="004228E0"/>
    <w:rsid w:val="00422C02"/>
    <w:rsid w:val="00422DEC"/>
    <w:rsid w:val="00422F9B"/>
    <w:rsid w:val="00422FBC"/>
    <w:rsid w:val="00423CA4"/>
    <w:rsid w:val="00423EB6"/>
    <w:rsid w:val="00424221"/>
    <w:rsid w:val="004243F7"/>
    <w:rsid w:val="00425128"/>
    <w:rsid w:val="0042555E"/>
    <w:rsid w:val="0042578A"/>
    <w:rsid w:val="004259D2"/>
    <w:rsid w:val="00425C25"/>
    <w:rsid w:val="00426025"/>
    <w:rsid w:val="00426775"/>
    <w:rsid w:val="0042698D"/>
    <w:rsid w:val="00426B51"/>
    <w:rsid w:val="00426F13"/>
    <w:rsid w:val="00427426"/>
    <w:rsid w:val="00427715"/>
    <w:rsid w:val="00427B4B"/>
    <w:rsid w:val="0043008A"/>
    <w:rsid w:val="004303F7"/>
    <w:rsid w:val="004305B1"/>
    <w:rsid w:val="00430B8B"/>
    <w:rsid w:val="00430E96"/>
    <w:rsid w:val="0043116A"/>
    <w:rsid w:val="00431204"/>
    <w:rsid w:val="004312F5"/>
    <w:rsid w:val="00431342"/>
    <w:rsid w:val="0043134D"/>
    <w:rsid w:val="0043170C"/>
    <w:rsid w:val="0043175D"/>
    <w:rsid w:val="00431936"/>
    <w:rsid w:val="004319A7"/>
    <w:rsid w:val="00431C5B"/>
    <w:rsid w:val="00431D51"/>
    <w:rsid w:val="00431FFE"/>
    <w:rsid w:val="00432078"/>
    <w:rsid w:val="00432149"/>
    <w:rsid w:val="004328C6"/>
    <w:rsid w:val="004329BD"/>
    <w:rsid w:val="00432CC8"/>
    <w:rsid w:val="00432D39"/>
    <w:rsid w:val="004332B5"/>
    <w:rsid w:val="004336CA"/>
    <w:rsid w:val="00433B46"/>
    <w:rsid w:val="00433E95"/>
    <w:rsid w:val="004344BE"/>
    <w:rsid w:val="004345E1"/>
    <w:rsid w:val="004346B8"/>
    <w:rsid w:val="00434A2A"/>
    <w:rsid w:val="00434B28"/>
    <w:rsid w:val="00434BF8"/>
    <w:rsid w:val="00435191"/>
    <w:rsid w:val="00435242"/>
    <w:rsid w:val="00435246"/>
    <w:rsid w:val="004354DC"/>
    <w:rsid w:val="0043566D"/>
    <w:rsid w:val="00435AC8"/>
    <w:rsid w:val="004360EB"/>
    <w:rsid w:val="00436298"/>
    <w:rsid w:val="004364CE"/>
    <w:rsid w:val="0043668F"/>
    <w:rsid w:val="004366A9"/>
    <w:rsid w:val="00436D6A"/>
    <w:rsid w:val="00436E8D"/>
    <w:rsid w:val="004375FF"/>
    <w:rsid w:val="00437955"/>
    <w:rsid w:val="00437D4B"/>
    <w:rsid w:val="00437DDF"/>
    <w:rsid w:val="00440249"/>
    <w:rsid w:val="004406F5"/>
    <w:rsid w:val="00440806"/>
    <w:rsid w:val="0044093B"/>
    <w:rsid w:val="00440B53"/>
    <w:rsid w:val="004410F1"/>
    <w:rsid w:val="004415CA"/>
    <w:rsid w:val="00441702"/>
    <w:rsid w:val="0044183B"/>
    <w:rsid w:val="00441AC2"/>
    <w:rsid w:val="00441B10"/>
    <w:rsid w:val="00442149"/>
    <w:rsid w:val="004425A7"/>
    <w:rsid w:val="004426FC"/>
    <w:rsid w:val="0044297D"/>
    <w:rsid w:val="00442BA9"/>
    <w:rsid w:val="00442BE3"/>
    <w:rsid w:val="00443180"/>
    <w:rsid w:val="004431BB"/>
    <w:rsid w:val="004435BE"/>
    <w:rsid w:val="00443623"/>
    <w:rsid w:val="0044379F"/>
    <w:rsid w:val="00443ADD"/>
    <w:rsid w:val="00443FD0"/>
    <w:rsid w:val="004440CE"/>
    <w:rsid w:val="00444186"/>
    <w:rsid w:val="00444200"/>
    <w:rsid w:val="00444709"/>
    <w:rsid w:val="0044484A"/>
    <w:rsid w:val="00444CB0"/>
    <w:rsid w:val="00444D03"/>
    <w:rsid w:val="004450B0"/>
    <w:rsid w:val="0044520D"/>
    <w:rsid w:val="0044522E"/>
    <w:rsid w:val="00445973"/>
    <w:rsid w:val="00445A27"/>
    <w:rsid w:val="00445A98"/>
    <w:rsid w:val="00445AF4"/>
    <w:rsid w:val="00445C9B"/>
    <w:rsid w:val="00445EED"/>
    <w:rsid w:val="00446955"/>
    <w:rsid w:val="00446998"/>
    <w:rsid w:val="004469FE"/>
    <w:rsid w:val="00446D8F"/>
    <w:rsid w:val="00446DF8"/>
    <w:rsid w:val="00446E5B"/>
    <w:rsid w:val="00446FE0"/>
    <w:rsid w:val="004470ED"/>
    <w:rsid w:val="00450100"/>
    <w:rsid w:val="004502B3"/>
    <w:rsid w:val="00450300"/>
    <w:rsid w:val="00450CF6"/>
    <w:rsid w:val="00450D4F"/>
    <w:rsid w:val="004511A1"/>
    <w:rsid w:val="00451227"/>
    <w:rsid w:val="00451979"/>
    <w:rsid w:val="00451D03"/>
    <w:rsid w:val="00451D5F"/>
    <w:rsid w:val="00451DA4"/>
    <w:rsid w:val="00452087"/>
    <w:rsid w:val="00452093"/>
    <w:rsid w:val="00452131"/>
    <w:rsid w:val="004522F6"/>
    <w:rsid w:val="004524F3"/>
    <w:rsid w:val="00452565"/>
    <w:rsid w:val="004526B0"/>
    <w:rsid w:val="00452BBE"/>
    <w:rsid w:val="00452BFA"/>
    <w:rsid w:val="0045316A"/>
    <w:rsid w:val="004531AA"/>
    <w:rsid w:val="0045329E"/>
    <w:rsid w:val="00454039"/>
    <w:rsid w:val="004540FD"/>
    <w:rsid w:val="004543E6"/>
    <w:rsid w:val="004549CC"/>
    <w:rsid w:val="00454F5B"/>
    <w:rsid w:val="004550AF"/>
    <w:rsid w:val="004551B8"/>
    <w:rsid w:val="004551F2"/>
    <w:rsid w:val="004556FF"/>
    <w:rsid w:val="00456527"/>
    <w:rsid w:val="0045690D"/>
    <w:rsid w:val="00456A39"/>
    <w:rsid w:val="00456A7C"/>
    <w:rsid w:val="00456D9E"/>
    <w:rsid w:val="00456DC0"/>
    <w:rsid w:val="00456F03"/>
    <w:rsid w:val="004572F8"/>
    <w:rsid w:val="00457987"/>
    <w:rsid w:val="00457D64"/>
    <w:rsid w:val="00457F68"/>
    <w:rsid w:val="00460162"/>
    <w:rsid w:val="004604A5"/>
    <w:rsid w:val="004604D8"/>
    <w:rsid w:val="004604DF"/>
    <w:rsid w:val="00460CB3"/>
    <w:rsid w:val="00460E99"/>
    <w:rsid w:val="00460ED1"/>
    <w:rsid w:val="00460F76"/>
    <w:rsid w:val="0046173B"/>
    <w:rsid w:val="00461855"/>
    <w:rsid w:val="004618F7"/>
    <w:rsid w:val="00461B69"/>
    <w:rsid w:val="00461B8C"/>
    <w:rsid w:val="00461C93"/>
    <w:rsid w:val="00461CA0"/>
    <w:rsid w:val="00461D85"/>
    <w:rsid w:val="00461F4C"/>
    <w:rsid w:val="00461FE6"/>
    <w:rsid w:val="00462107"/>
    <w:rsid w:val="00462260"/>
    <w:rsid w:val="004627B5"/>
    <w:rsid w:val="00462D79"/>
    <w:rsid w:val="004631C6"/>
    <w:rsid w:val="0046330E"/>
    <w:rsid w:val="004633AA"/>
    <w:rsid w:val="00463414"/>
    <w:rsid w:val="0046380F"/>
    <w:rsid w:val="0046385C"/>
    <w:rsid w:val="00463AF6"/>
    <w:rsid w:val="00463E51"/>
    <w:rsid w:val="00463EC6"/>
    <w:rsid w:val="00464221"/>
    <w:rsid w:val="0046480B"/>
    <w:rsid w:val="004649E8"/>
    <w:rsid w:val="00464BF3"/>
    <w:rsid w:val="004650F0"/>
    <w:rsid w:val="004654C9"/>
    <w:rsid w:val="00465FEB"/>
    <w:rsid w:val="00466055"/>
    <w:rsid w:val="004664B3"/>
    <w:rsid w:val="0046696F"/>
    <w:rsid w:val="00466A94"/>
    <w:rsid w:val="004671AF"/>
    <w:rsid w:val="00467321"/>
    <w:rsid w:val="00467469"/>
    <w:rsid w:val="0046755F"/>
    <w:rsid w:val="0046768C"/>
    <w:rsid w:val="00467E5D"/>
    <w:rsid w:val="0047019A"/>
    <w:rsid w:val="004701BA"/>
    <w:rsid w:val="004702D6"/>
    <w:rsid w:val="004703CC"/>
    <w:rsid w:val="00470664"/>
    <w:rsid w:val="004706DA"/>
    <w:rsid w:val="00470815"/>
    <w:rsid w:val="00470A9F"/>
    <w:rsid w:val="00470EF3"/>
    <w:rsid w:val="00470F9B"/>
    <w:rsid w:val="00471268"/>
    <w:rsid w:val="0047218F"/>
    <w:rsid w:val="0047221E"/>
    <w:rsid w:val="00472C9B"/>
    <w:rsid w:val="00472E91"/>
    <w:rsid w:val="004735C9"/>
    <w:rsid w:val="004736B4"/>
    <w:rsid w:val="00473967"/>
    <w:rsid w:val="00473A4D"/>
    <w:rsid w:val="00473B99"/>
    <w:rsid w:val="00473BA6"/>
    <w:rsid w:val="00473C04"/>
    <w:rsid w:val="00473E77"/>
    <w:rsid w:val="00473F09"/>
    <w:rsid w:val="00474259"/>
    <w:rsid w:val="004744B1"/>
    <w:rsid w:val="0047479A"/>
    <w:rsid w:val="0047479C"/>
    <w:rsid w:val="00474CFC"/>
    <w:rsid w:val="004751B9"/>
    <w:rsid w:val="00475234"/>
    <w:rsid w:val="00475277"/>
    <w:rsid w:val="004754CB"/>
    <w:rsid w:val="00475A1A"/>
    <w:rsid w:val="00475BEC"/>
    <w:rsid w:val="00475FCE"/>
    <w:rsid w:val="00476115"/>
    <w:rsid w:val="004763A0"/>
    <w:rsid w:val="0047668E"/>
    <w:rsid w:val="00476C50"/>
    <w:rsid w:val="00476D14"/>
    <w:rsid w:val="00477435"/>
    <w:rsid w:val="004778EB"/>
    <w:rsid w:val="004778F2"/>
    <w:rsid w:val="00477CDA"/>
    <w:rsid w:val="00477D96"/>
    <w:rsid w:val="00477DB0"/>
    <w:rsid w:val="00477FDE"/>
    <w:rsid w:val="00480257"/>
    <w:rsid w:val="004802DD"/>
    <w:rsid w:val="00480707"/>
    <w:rsid w:val="00480773"/>
    <w:rsid w:val="00480F1C"/>
    <w:rsid w:val="00480FAC"/>
    <w:rsid w:val="0048101B"/>
    <w:rsid w:val="00481347"/>
    <w:rsid w:val="004813C4"/>
    <w:rsid w:val="0048150A"/>
    <w:rsid w:val="00482063"/>
    <w:rsid w:val="00482333"/>
    <w:rsid w:val="0048260C"/>
    <w:rsid w:val="00482680"/>
    <w:rsid w:val="00482A33"/>
    <w:rsid w:val="00482A47"/>
    <w:rsid w:val="00482CBE"/>
    <w:rsid w:val="00482D29"/>
    <w:rsid w:val="00482EFB"/>
    <w:rsid w:val="00483217"/>
    <w:rsid w:val="00483291"/>
    <w:rsid w:val="00483828"/>
    <w:rsid w:val="00483977"/>
    <w:rsid w:val="00484088"/>
    <w:rsid w:val="004841DD"/>
    <w:rsid w:val="00484317"/>
    <w:rsid w:val="004844FF"/>
    <w:rsid w:val="00484986"/>
    <w:rsid w:val="00484A07"/>
    <w:rsid w:val="00484E4D"/>
    <w:rsid w:val="0048510F"/>
    <w:rsid w:val="0048557F"/>
    <w:rsid w:val="004858D9"/>
    <w:rsid w:val="00485D1C"/>
    <w:rsid w:val="00485D3F"/>
    <w:rsid w:val="00485D5A"/>
    <w:rsid w:val="0048622A"/>
    <w:rsid w:val="00486260"/>
    <w:rsid w:val="0048635B"/>
    <w:rsid w:val="00486380"/>
    <w:rsid w:val="004864AB"/>
    <w:rsid w:val="00486665"/>
    <w:rsid w:val="00486C45"/>
    <w:rsid w:val="00486D82"/>
    <w:rsid w:val="00486E46"/>
    <w:rsid w:val="00486FBC"/>
    <w:rsid w:val="004873EB"/>
    <w:rsid w:val="004873F1"/>
    <w:rsid w:val="00487431"/>
    <w:rsid w:val="0048745E"/>
    <w:rsid w:val="00487505"/>
    <w:rsid w:val="0048758F"/>
    <w:rsid w:val="00487755"/>
    <w:rsid w:val="00487B21"/>
    <w:rsid w:val="00487B4A"/>
    <w:rsid w:val="00487DEA"/>
    <w:rsid w:val="0049010B"/>
    <w:rsid w:val="0049075D"/>
    <w:rsid w:val="004909CE"/>
    <w:rsid w:val="004909E1"/>
    <w:rsid w:val="00490A42"/>
    <w:rsid w:val="00490D04"/>
    <w:rsid w:val="00490E6B"/>
    <w:rsid w:val="00490F4B"/>
    <w:rsid w:val="00490FFC"/>
    <w:rsid w:val="004910FF"/>
    <w:rsid w:val="00491552"/>
    <w:rsid w:val="00491882"/>
    <w:rsid w:val="00491903"/>
    <w:rsid w:val="00491CF1"/>
    <w:rsid w:val="00492479"/>
    <w:rsid w:val="0049286B"/>
    <w:rsid w:val="004928A9"/>
    <w:rsid w:val="004928E9"/>
    <w:rsid w:val="00492BDD"/>
    <w:rsid w:val="00492C8D"/>
    <w:rsid w:val="00492E28"/>
    <w:rsid w:val="00492FD7"/>
    <w:rsid w:val="00493151"/>
    <w:rsid w:val="00493441"/>
    <w:rsid w:val="00493561"/>
    <w:rsid w:val="00493638"/>
    <w:rsid w:val="004938AA"/>
    <w:rsid w:val="00493D08"/>
    <w:rsid w:val="00494251"/>
    <w:rsid w:val="004942B1"/>
    <w:rsid w:val="0049485A"/>
    <w:rsid w:val="00495403"/>
    <w:rsid w:val="00495419"/>
    <w:rsid w:val="0049567F"/>
    <w:rsid w:val="00495A14"/>
    <w:rsid w:val="0049602C"/>
    <w:rsid w:val="00496377"/>
    <w:rsid w:val="004964EF"/>
    <w:rsid w:val="0049664D"/>
    <w:rsid w:val="004968D0"/>
    <w:rsid w:val="004974ED"/>
    <w:rsid w:val="00497B0B"/>
    <w:rsid w:val="00497D51"/>
    <w:rsid w:val="00497DCC"/>
    <w:rsid w:val="00497FFC"/>
    <w:rsid w:val="004A0058"/>
    <w:rsid w:val="004A015A"/>
    <w:rsid w:val="004A02AA"/>
    <w:rsid w:val="004A0380"/>
    <w:rsid w:val="004A0493"/>
    <w:rsid w:val="004A0951"/>
    <w:rsid w:val="004A0D27"/>
    <w:rsid w:val="004A1004"/>
    <w:rsid w:val="004A11F9"/>
    <w:rsid w:val="004A1570"/>
    <w:rsid w:val="004A1A85"/>
    <w:rsid w:val="004A1A91"/>
    <w:rsid w:val="004A1B03"/>
    <w:rsid w:val="004A1C08"/>
    <w:rsid w:val="004A1CC3"/>
    <w:rsid w:val="004A25ED"/>
    <w:rsid w:val="004A2739"/>
    <w:rsid w:val="004A2A22"/>
    <w:rsid w:val="004A2B4A"/>
    <w:rsid w:val="004A2C53"/>
    <w:rsid w:val="004A2E18"/>
    <w:rsid w:val="004A30A6"/>
    <w:rsid w:val="004A327B"/>
    <w:rsid w:val="004A341B"/>
    <w:rsid w:val="004A3631"/>
    <w:rsid w:val="004A3754"/>
    <w:rsid w:val="004A3947"/>
    <w:rsid w:val="004A3AB4"/>
    <w:rsid w:val="004A3F2C"/>
    <w:rsid w:val="004A48EB"/>
    <w:rsid w:val="004A4942"/>
    <w:rsid w:val="004A495D"/>
    <w:rsid w:val="004A4CBB"/>
    <w:rsid w:val="004A4E66"/>
    <w:rsid w:val="004A4E7B"/>
    <w:rsid w:val="004A4F94"/>
    <w:rsid w:val="004A52C4"/>
    <w:rsid w:val="004A53C7"/>
    <w:rsid w:val="004A5441"/>
    <w:rsid w:val="004A5A80"/>
    <w:rsid w:val="004A60CE"/>
    <w:rsid w:val="004A635F"/>
    <w:rsid w:val="004A6556"/>
    <w:rsid w:val="004A6580"/>
    <w:rsid w:val="004A6A9D"/>
    <w:rsid w:val="004A72CC"/>
    <w:rsid w:val="004A72DC"/>
    <w:rsid w:val="004A767F"/>
    <w:rsid w:val="004A787A"/>
    <w:rsid w:val="004A7BFF"/>
    <w:rsid w:val="004B02E9"/>
    <w:rsid w:val="004B0404"/>
    <w:rsid w:val="004B1287"/>
    <w:rsid w:val="004B12E3"/>
    <w:rsid w:val="004B1339"/>
    <w:rsid w:val="004B1341"/>
    <w:rsid w:val="004B2FB6"/>
    <w:rsid w:val="004B302B"/>
    <w:rsid w:val="004B3741"/>
    <w:rsid w:val="004B3B64"/>
    <w:rsid w:val="004B3C93"/>
    <w:rsid w:val="004B3CDB"/>
    <w:rsid w:val="004B436A"/>
    <w:rsid w:val="004B448F"/>
    <w:rsid w:val="004B45F8"/>
    <w:rsid w:val="004B4763"/>
    <w:rsid w:val="004B4D2E"/>
    <w:rsid w:val="004B4DB0"/>
    <w:rsid w:val="004B4FE5"/>
    <w:rsid w:val="004B547B"/>
    <w:rsid w:val="004B555E"/>
    <w:rsid w:val="004B572F"/>
    <w:rsid w:val="004B59A0"/>
    <w:rsid w:val="004B5B12"/>
    <w:rsid w:val="004B5CAB"/>
    <w:rsid w:val="004B5DF8"/>
    <w:rsid w:val="004B5E91"/>
    <w:rsid w:val="004B61E2"/>
    <w:rsid w:val="004B665B"/>
    <w:rsid w:val="004B6683"/>
    <w:rsid w:val="004B697B"/>
    <w:rsid w:val="004B6BAC"/>
    <w:rsid w:val="004B6E69"/>
    <w:rsid w:val="004B6EC6"/>
    <w:rsid w:val="004B6FB1"/>
    <w:rsid w:val="004B7997"/>
    <w:rsid w:val="004B7A4C"/>
    <w:rsid w:val="004B7AB2"/>
    <w:rsid w:val="004B7CB3"/>
    <w:rsid w:val="004B7DCE"/>
    <w:rsid w:val="004B7F15"/>
    <w:rsid w:val="004C05D6"/>
    <w:rsid w:val="004C075D"/>
    <w:rsid w:val="004C0F1D"/>
    <w:rsid w:val="004C10F7"/>
    <w:rsid w:val="004C1297"/>
    <w:rsid w:val="004C1530"/>
    <w:rsid w:val="004C1669"/>
    <w:rsid w:val="004C183F"/>
    <w:rsid w:val="004C19CF"/>
    <w:rsid w:val="004C1A94"/>
    <w:rsid w:val="004C1ACA"/>
    <w:rsid w:val="004C1C65"/>
    <w:rsid w:val="004C20AC"/>
    <w:rsid w:val="004C2100"/>
    <w:rsid w:val="004C2218"/>
    <w:rsid w:val="004C23F6"/>
    <w:rsid w:val="004C259D"/>
    <w:rsid w:val="004C25F8"/>
    <w:rsid w:val="004C28A7"/>
    <w:rsid w:val="004C2ACE"/>
    <w:rsid w:val="004C2B79"/>
    <w:rsid w:val="004C2C90"/>
    <w:rsid w:val="004C326B"/>
    <w:rsid w:val="004C33B7"/>
    <w:rsid w:val="004C33D2"/>
    <w:rsid w:val="004C35E4"/>
    <w:rsid w:val="004C396E"/>
    <w:rsid w:val="004C3E6B"/>
    <w:rsid w:val="004C427C"/>
    <w:rsid w:val="004C4330"/>
    <w:rsid w:val="004C4453"/>
    <w:rsid w:val="004C4576"/>
    <w:rsid w:val="004C47DC"/>
    <w:rsid w:val="004C5487"/>
    <w:rsid w:val="004C54D1"/>
    <w:rsid w:val="004C5694"/>
    <w:rsid w:val="004C58A2"/>
    <w:rsid w:val="004C5ADC"/>
    <w:rsid w:val="004C5D2C"/>
    <w:rsid w:val="004C5DE7"/>
    <w:rsid w:val="004C5F84"/>
    <w:rsid w:val="004C616C"/>
    <w:rsid w:val="004C62A2"/>
    <w:rsid w:val="004C62A8"/>
    <w:rsid w:val="004C640C"/>
    <w:rsid w:val="004C67B1"/>
    <w:rsid w:val="004C6A15"/>
    <w:rsid w:val="004C6AD5"/>
    <w:rsid w:val="004C6E2A"/>
    <w:rsid w:val="004C6EEF"/>
    <w:rsid w:val="004C720B"/>
    <w:rsid w:val="004C723A"/>
    <w:rsid w:val="004C758E"/>
    <w:rsid w:val="004C7640"/>
    <w:rsid w:val="004C7A22"/>
    <w:rsid w:val="004D015A"/>
    <w:rsid w:val="004D016A"/>
    <w:rsid w:val="004D05C0"/>
    <w:rsid w:val="004D05FE"/>
    <w:rsid w:val="004D08C5"/>
    <w:rsid w:val="004D0910"/>
    <w:rsid w:val="004D091F"/>
    <w:rsid w:val="004D0B9F"/>
    <w:rsid w:val="004D0D08"/>
    <w:rsid w:val="004D0F9B"/>
    <w:rsid w:val="004D11FB"/>
    <w:rsid w:val="004D139C"/>
    <w:rsid w:val="004D18A9"/>
    <w:rsid w:val="004D1960"/>
    <w:rsid w:val="004D1D5F"/>
    <w:rsid w:val="004D21B3"/>
    <w:rsid w:val="004D23B2"/>
    <w:rsid w:val="004D259E"/>
    <w:rsid w:val="004D295D"/>
    <w:rsid w:val="004D2B45"/>
    <w:rsid w:val="004D2DAC"/>
    <w:rsid w:val="004D2E3F"/>
    <w:rsid w:val="004D32F7"/>
    <w:rsid w:val="004D35F9"/>
    <w:rsid w:val="004D37FC"/>
    <w:rsid w:val="004D3941"/>
    <w:rsid w:val="004D3F12"/>
    <w:rsid w:val="004D4B6B"/>
    <w:rsid w:val="004D4F69"/>
    <w:rsid w:val="004D4FA4"/>
    <w:rsid w:val="004D5228"/>
    <w:rsid w:val="004D539A"/>
    <w:rsid w:val="004D5452"/>
    <w:rsid w:val="004D54E7"/>
    <w:rsid w:val="004D5949"/>
    <w:rsid w:val="004D5D67"/>
    <w:rsid w:val="004D5DB4"/>
    <w:rsid w:val="004D5FE3"/>
    <w:rsid w:val="004D636B"/>
    <w:rsid w:val="004D687B"/>
    <w:rsid w:val="004D6939"/>
    <w:rsid w:val="004D6C66"/>
    <w:rsid w:val="004D6CD1"/>
    <w:rsid w:val="004D6E3D"/>
    <w:rsid w:val="004D6F15"/>
    <w:rsid w:val="004D6FAE"/>
    <w:rsid w:val="004D7392"/>
    <w:rsid w:val="004D77B8"/>
    <w:rsid w:val="004D7867"/>
    <w:rsid w:val="004D78F3"/>
    <w:rsid w:val="004D7E90"/>
    <w:rsid w:val="004E0549"/>
    <w:rsid w:val="004E0FE7"/>
    <w:rsid w:val="004E1038"/>
    <w:rsid w:val="004E11B1"/>
    <w:rsid w:val="004E14C8"/>
    <w:rsid w:val="004E1894"/>
    <w:rsid w:val="004E18B3"/>
    <w:rsid w:val="004E1A25"/>
    <w:rsid w:val="004E2133"/>
    <w:rsid w:val="004E234E"/>
    <w:rsid w:val="004E240A"/>
    <w:rsid w:val="004E2839"/>
    <w:rsid w:val="004E2972"/>
    <w:rsid w:val="004E2AFB"/>
    <w:rsid w:val="004E2C76"/>
    <w:rsid w:val="004E2DF1"/>
    <w:rsid w:val="004E3072"/>
    <w:rsid w:val="004E3087"/>
    <w:rsid w:val="004E3162"/>
    <w:rsid w:val="004E3282"/>
    <w:rsid w:val="004E349E"/>
    <w:rsid w:val="004E3681"/>
    <w:rsid w:val="004E36A5"/>
    <w:rsid w:val="004E3B23"/>
    <w:rsid w:val="004E3DF3"/>
    <w:rsid w:val="004E3F39"/>
    <w:rsid w:val="004E3FBE"/>
    <w:rsid w:val="004E4283"/>
    <w:rsid w:val="004E4697"/>
    <w:rsid w:val="004E47E0"/>
    <w:rsid w:val="004E4DDC"/>
    <w:rsid w:val="004E5019"/>
    <w:rsid w:val="004E55F8"/>
    <w:rsid w:val="004E5884"/>
    <w:rsid w:val="004E5CB3"/>
    <w:rsid w:val="004E5E1F"/>
    <w:rsid w:val="004E5E4C"/>
    <w:rsid w:val="004E603C"/>
    <w:rsid w:val="004E61CF"/>
    <w:rsid w:val="004E6247"/>
    <w:rsid w:val="004E63B7"/>
    <w:rsid w:val="004E63CD"/>
    <w:rsid w:val="004E6833"/>
    <w:rsid w:val="004E68DB"/>
    <w:rsid w:val="004E6BD5"/>
    <w:rsid w:val="004E6D69"/>
    <w:rsid w:val="004E6F91"/>
    <w:rsid w:val="004E7062"/>
    <w:rsid w:val="004E7317"/>
    <w:rsid w:val="004E79A7"/>
    <w:rsid w:val="004E7BCA"/>
    <w:rsid w:val="004E7E49"/>
    <w:rsid w:val="004E7EC0"/>
    <w:rsid w:val="004F04C3"/>
    <w:rsid w:val="004F050A"/>
    <w:rsid w:val="004F08BD"/>
    <w:rsid w:val="004F094E"/>
    <w:rsid w:val="004F0B5C"/>
    <w:rsid w:val="004F0C52"/>
    <w:rsid w:val="004F117B"/>
    <w:rsid w:val="004F121D"/>
    <w:rsid w:val="004F1224"/>
    <w:rsid w:val="004F12A8"/>
    <w:rsid w:val="004F12F2"/>
    <w:rsid w:val="004F1648"/>
    <w:rsid w:val="004F1FDE"/>
    <w:rsid w:val="004F2203"/>
    <w:rsid w:val="004F2309"/>
    <w:rsid w:val="004F2758"/>
    <w:rsid w:val="004F2844"/>
    <w:rsid w:val="004F2A31"/>
    <w:rsid w:val="004F2AEA"/>
    <w:rsid w:val="004F2AEB"/>
    <w:rsid w:val="004F2C1D"/>
    <w:rsid w:val="004F319D"/>
    <w:rsid w:val="004F31D3"/>
    <w:rsid w:val="004F31E4"/>
    <w:rsid w:val="004F35F0"/>
    <w:rsid w:val="004F36DD"/>
    <w:rsid w:val="004F371C"/>
    <w:rsid w:val="004F37F7"/>
    <w:rsid w:val="004F4036"/>
    <w:rsid w:val="004F4404"/>
    <w:rsid w:val="004F45DD"/>
    <w:rsid w:val="004F46C1"/>
    <w:rsid w:val="004F4815"/>
    <w:rsid w:val="004F4892"/>
    <w:rsid w:val="004F48B4"/>
    <w:rsid w:val="004F48FF"/>
    <w:rsid w:val="004F4B36"/>
    <w:rsid w:val="004F4D62"/>
    <w:rsid w:val="004F4EA7"/>
    <w:rsid w:val="004F5068"/>
    <w:rsid w:val="004F50D9"/>
    <w:rsid w:val="004F526A"/>
    <w:rsid w:val="004F5673"/>
    <w:rsid w:val="004F5886"/>
    <w:rsid w:val="004F5D33"/>
    <w:rsid w:val="004F5F6D"/>
    <w:rsid w:val="004F5FB0"/>
    <w:rsid w:val="004F616A"/>
    <w:rsid w:val="004F6969"/>
    <w:rsid w:val="004F6BE0"/>
    <w:rsid w:val="004F6BE1"/>
    <w:rsid w:val="004F6EA7"/>
    <w:rsid w:val="004F6F8B"/>
    <w:rsid w:val="004F6FCB"/>
    <w:rsid w:val="004F7532"/>
    <w:rsid w:val="004F7A00"/>
    <w:rsid w:val="0050009F"/>
    <w:rsid w:val="00500172"/>
    <w:rsid w:val="005001ED"/>
    <w:rsid w:val="005002B6"/>
    <w:rsid w:val="00500827"/>
    <w:rsid w:val="0050093E"/>
    <w:rsid w:val="00500B9B"/>
    <w:rsid w:val="00500BFC"/>
    <w:rsid w:val="00501193"/>
    <w:rsid w:val="0050155D"/>
    <w:rsid w:val="00501B03"/>
    <w:rsid w:val="00501E70"/>
    <w:rsid w:val="00501EF4"/>
    <w:rsid w:val="005020BA"/>
    <w:rsid w:val="00502439"/>
    <w:rsid w:val="00502735"/>
    <w:rsid w:val="0050273E"/>
    <w:rsid w:val="00502AE3"/>
    <w:rsid w:val="00502B42"/>
    <w:rsid w:val="00503247"/>
    <w:rsid w:val="00503313"/>
    <w:rsid w:val="005036DC"/>
    <w:rsid w:val="005039AE"/>
    <w:rsid w:val="00503E5E"/>
    <w:rsid w:val="00503F31"/>
    <w:rsid w:val="00504293"/>
    <w:rsid w:val="0050437F"/>
    <w:rsid w:val="00504F58"/>
    <w:rsid w:val="00505251"/>
    <w:rsid w:val="005054B5"/>
    <w:rsid w:val="00505590"/>
    <w:rsid w:val="005055B4"/>
    <w:rsid w:val="005055C5"/>
    <w:rsid w:val="00505705"/>
    <w:rsid w:val="00505890"/>
    <w:rsid w:val="00505AD0"/>
    <w:rsid w:val="00505B77"/>
    <w:rsid w:val="00505B92"/>
    <w:rsid w:val="00505CC2"/>
    <w:rsid w:val="0050609C"/>
    <w:rsid w:val="0050629C"/>
    <w:rsid w:val="005062D3"/>
    <w:rsid w:val="005064EA"/>
    <w:rsid w:val="00506922"/>
    <w:rsid w:val="00506C2C"/>
    <w:rsid w:val="00506C43"/>
    <w:rsid w:val="00507235"/>
    <w:rsid w:val="00507566"/>
    <w:rsid w:val="00507AA7"/>
    <w:rsid w:val="00507DDE"/>
    <w:rsid w:val="00507F5D"/>
    <w:rsid w:val="00507FC2"/>
    <w:rsid w:val="005101E0"/>
    <w:rsid w:val="00510217"/>
    <w:rsid w:val="00510468"/>
    <w:rsid w:val="00510B7C"/>
    <w:rsid w:val="00511407"/>
    <w:rsid w:val="005115F5"/>
    <w:rsid w:val="0051180C"/>
    <w:rsid w:val="00511986"/>
    <w:rsid w:val="00511D16"/>
    <w:rsid w:val="00511F1F"/>
    <w:rsid w:val="00511F2F"/>
    <w:rsid w:val="00512263"/>
    <w:rsid w:val="00512353"/>
    <w:rsid w:val="0051271B"/>
    <w:rsid w:val="005128F3"/>
    <w:rsid w:val="00513212"/>
    <w:rsid w:val="00513400"/>
    <w:rsid w:val="0051348D"/>
    <w:rsid w:val="005135B4"/>
    <w:rsid w:val="00513924"/>
    <w:rsid w:val="00513BD2"/>
    <w:rsid w:val="00513EB5"/>
    <w:rsid w:val="005141E8"/>
    <w:rsid w:val="0051460D"/>
    <w:rsid w:val="0051472C"/>
    <w:rsid w:val="00514860"/>
    <w:rsid w:val="00514A0C"/>
    <w:rsid w:val="00514B04"/>
    <w:rsid w:val="00514B71"/>
    <w:rsid w:val="00514D03"/>
    <w:rsid w:val="00514E72"/>
    <w:rsid w:val="00515568"/>
    <w:rsid w:val="005159A9"/>
    <w:rsid w:val="00515BCA"/>
    <w:rsid w:val="005161E4"/>
    <w:rsid w:val="00516409"/>
    <w:rsid w:val="00516435"/>
    <w:rsid w:val="00516614"/>
    <w:rsid w:val="00516854"/>
    <w:rsid w:val="00516902"/>
    <w:rsid w:val="005169F1"/>
    <w:rsid w:val="00516D21"/>
    <w:rsid w:val="00516F1D"/>
    <w:rsid w:val="00517316"/>
    <w:rsid w:val="00517336"/>
    <w:rsid w:val="00517372"/>
    <w:rsid w:val="005174EF"/>
    <w:rsid w:val="00517CF8"/>
    <w:rsid w:val="00517D06"/>
    <w:rsid w:val="00517D34"/>
    <w:rsid w:val="00517FEF"/>
    <w:rsid w:val="005204C1"/>
    <w:rsid w:val="00520A4B"/>
    <w:rsid w:val="00520D8E"/>
    <w:rsid w:val="005211FB"/>
    <w:rsid w:val="0052140C"/>
    <w:rsid w:val="00521B4D"/>
    <w:rsid w:val="00521B55"/>
    <w:rsid w:val="00522269"/>
    <w:rsid w:val="005222AA"/>
    <w:rsid w:val="00522661"/>
    <w:rsid w:val="005227B9"/>
    <w:rsid w:val="00522C91"/>
    <w:rsid w:val="00522CD7"/>
    <w:rsid w:val="00522E3F"/>
    <w:rsid w:val="00523013"/>
    <w:rsid w:val="0052304B"/>
    <w:rsid w:val="00523292"/>
    <w:rsid w:val="005233F3"/>
    <w:rsid w:val="0052346A"/>
    <w:rsid w:val="005235EF"/>
    <w:rsid w:val="00523C6E"/>
    <w:rsid w:val="00523FE5"/>
    <w:rsid w:val="0052431D"/>
    <w:rsid w:val="00524CC3"/>
    <w:rsid w:val="00524D16"/>
    <w:rsid w:val="00525271"/>
    <w:rsid w:val="0052542F"/>
    <w:rsid w:val="00525845"/>
    <w:rsid w:val="00525897"/>
    <w:rsid w:val="00525969"/>
    <w:rsid w:val="00525A18"/>
    <w:rsid w:val="00525C71"/>
    <w:rsid w:val="00525DFF"/>
    <w:rsid w:val="00525E33"/>
    <w:rsid w:val="00526057"/>
    <w:rsid w:val="00526544"/>
    <w:rsid w:val="0052658F"/>
    <w:rsid w:val="00526834"/>
    <w:rsid w:val="00526B22"/>
    <w:rsid w:val="00526C93"/>
    <w:rsid w:val="00526F24"/>
    <w:rsid w:val="00526F49"/>
    <w:rsid w:val="0052706C"/>
    <w:rsid w:val="005273CD"/>
    <w:rsid w:val="0052752B"/>
    <w:rsid w:val="005278F5"/>
    <w:rsid w:val="00527A62"/>
    <w:rsid w:val="00527CF3"/>
    <w:rsid w:val="005301B4"/>
    <w:rsid w:val="0053084B"/>
    <w:rsid w:val="005308F4"/>
    <w:rsid w:val="00530B55"/>
    <w:rsid w:val="00530B85"/>
    <w:rsid w:val="00530BEB"/>
    <w:rsid w:val="00530CA6"/>
    <w:rsid w:val="00530E11"/>
    <w:rsid w:val="0053134A"/>
    <w:rsid w:val="005314DC"/>
    <w:rsid w:val="00531523"/>
    <w:rsid w:val="00531745"/>
    <w:rsid w:val="005319DD"/>
    <w:rsid w:val="00531ACA"/>
    <w:rsid w:val="00531BBB"/>
    <w:rsid w:val="00531C32"/>
    <w:rsid w:val="00531E18"/>
    <w:rsid w:val="0053271D"/>
    <w:rsid w:val="00532767"/>
    <w:rsid w:val="005328BB"/>
    <w:rsid w:val="00532A67"/>
    <w:rsid w:val="00532C6C"/>
    <w:rsid w:val="00532F56"/>
    <w:rsid w:val="00533877"/>
    <w:rsid w:val="00533F95"/>
    <w:rsid w:val="00534391"/>
    <w:rsid w:val="005344DC"/>
    <w:rsid w:val="005345C2"/>
    <w:rsid w:val="00534826"/>
    <w:rsid w:val="00534AEB"/>
    <w:rsid w:val="00534BE4"/>
    <w:rsid w:val="00534C59"/>
    <w:rsid w:val="00534C74"/>
    <w:rsid w:val="00535290"/>
    <w:rsid w:val="005352B7"/>
    <w:rsid w:val="00535371"/>
    <w:rsid w:val="005353BD"/>
    <w:rsid w:val="00535540"/>
    <w:rsid w:val="005356E6"/>
    <w:rsid w:val="00535C3C"/>
    <w:rsid w:val="00535DD1"/>
    <w:rsid w:val="00535F13"/>
    <w:rsid w:val="00536163"/>
    <w:rsid w:val="00536267"/>
    <w:rsid w:val="005364FD"/>
    <w:rsid w:val="005365EC"/>
    <w:rsid w:val="0053670E"/>
    <w:rsid w:val="00537928"/>
    <w:rsid w:val="00537C14"/>
    <w:rsid w:val="005400AC"/>
    <w:rsid w:val="005401A4"/>
    <w:rsid w:val="00540601"/>
    <w:rsid w:val="00540685"/>
    <w:rsid w:val="005407A0"/>
    <w:rsid w:val="00540802"/>
    <w:rsid w:val="0054095B"/>
    <w:rsid w:val="0054098B"/>
    <w:rsid w:val="00540BF4"/>
    <w:rsid w:val="00540D97"/>
    <w:rsid w:val="00541638"/>
    <w:rsid w:val="00541732"/>
    <w:rsid w:val="0054175B"/>
    <w:rsid w:val="00541C33"/>
    <w:rsid w:val="00541F4B"/>
    <w:rsid w:val="005421F9"/>
    <w:rsid w:val="00542369"/>
    <w:rsid w:val="005423E9"/>
    <w:rsid w:val="00542570"/>
    <w:rsid w:val="0054257D"/>
    <w:rsid w:val="00542656"/>
    <w:rsid w:val="005426C1"/>
    <w:rsid w:val="0054298D"/>
    <w:rsid w:val="00542EBB"/>
    <w:rsid w:val="005433AB"/>
    <w:rsid w:val="005433BA"/>
    <w:rsid w:val="00543456"/>
    <w:rsid w:val="00543ADA"/>
    <w:rsid w:val="00543D3F"/>
    <w:rsid w:val="00543F46"/>
    <w:rsid w:val="00543F4B"/>
    <w:rsid w:val="00544229"/>
    <w:rsid w:val="005448F3"/>
    <w:rsid w:val="005449E1"/>
    <w:rsid w:val="00544CF5"/>
    <w:rsid w:val="00544DC2"/>
    <w:rsid w:val="00544E24"/>
    <w:rsid w:val="00544E25"/>
    <w:rsid w:val="00544F24"/>
    <w:rsid w:val="00545361"/>
    <w:rsid w:val="00545561"/>
    <w:rsid w:val="005458E7"/>
    <w:rsid w:val="005458F0"/>
    <w:rsid w:val="00545937"/>
    <w:rsid w:val="0054594E"/>
    <w:rsid w:val="005459C5"/>
    <w:rsid w:val="00545A0B"/>
    <w:rsid w:val="00545BA0"/>
    <w:rsid w:val="005460CF"/>
    <w:rsid w:val="00546269"/>
    <w:rsid w:val="00546437"/>
    <w:rsid w:val="00546721"/>
    <w:rsid w:val="00546BCD"/>
    <w:rsid w:val="00546E66"/>
    <w:rsid w:val="005470DD"/>
    <w:rsid w:val="0054730E"/>
    <w:rsid w:val="00547504"/>
    <w:rsid w:val="0054785A"/>
    <w:rsid w:val="005479C6"/>
    <w:rsid w:val="00547B5D"/>
    <w:rsid w:val="00547B5F"/>
    <w:rsid w:val="00547E02"/>
    <w:rsid w:val="00547E70"/>
    <w:rsid w:val="00547F64"/>
    <w:rsid w:val="00547F9C"/>
    <w:rsid w:val="00550936"/>
    <w:rsid w:val="005509DF"/>
    <w:rsid w:val="00550AFC"/>
    <w:rsid w:val="00550BA1"/>
    <w:rsid w:val="00550BF6"/>
    <w:rsid w:val="00550F99"/>
    <w:rsid w:val="00550FC4"/>
    <w:rsid w:val="005516AA"/>
    <w:rsid w:val="00551890"/>
    <w:rsid w:val="0055197F"/>
    <w:rsid w:val="005520CB"/>
    <w:rsid w:val="0055210E"/>
    <w:rsid w:val="00552479"/>
    <w:rsid w:val="005524CF"/>
    <w:rsid w:val="0055278F"/>
    <w:rsid w:val="005528B6"/>
    <w:rsid w:val="00552A6A"/>
    <w:rsid w:val="00552EC4"/>
    <w:rsid w:val="0055315A"/>
    <w:rsid w:val="0055375C"/>
    <w:rsid w:val="0055386E"/>
    <w:rsid w:val="00553D4A"/>
    <w:rsid w:val="00554075"/>
    <w:rsid w:val="005541E2"/>
    <w:rsid w:val="00554318"/>
    <w:rsid w:val="005546FD"/>
    <w:rsid w:val="0055479B"/>
    <w:rsid w:val="00554A6F"/>
    <w:rsid w:val="00554B18"/>
    <w:rsid w:val="00554B7A"/>
    <w:rsid w:val="00554C6B"/>
    <w:rsid w:val="00555742"/>
    <w:rsid w:val="005559CD"/>
    <w:rsid w:val="00555CC8"/>
    <w:rsid w:val="00555D4A"/>
    <w:rsid w:val="00555E86"/>
    <w:rsid w:val="00555F25"/>
    <w:rsid w:val="00555FD7"/>
    <w:rsid w:val="00556217"/>
    <w:rsid w:val="00556985"/>
    <w:rsid w:val="005569EB"/>
    <w:rsid w:val="00556C71"/>
    <w:rsid w:val="00556F7C"/>
    <w:rsid w:val="00557070"/>
    <w:rsid w:val="005570D9"/>
    <w:rsid w:val="0055720A"/>
    <w:rsid w:val="005575E3"/>
    <w:rsid w:val="0055768E"/>
    <w:rsid w:val="005576DE"/>
    <w:rsid w:val="005577E9"/>
    <w:rsid w:val="0055790E"/>
    <w:rsid w:val="00557974"/>
    <w:rsid w:val="00557A11"/>
    <w:rsid w:val="00557C04"/>
    <w:rsid w:val="00557CFA"/>
    <w:rsid w:val="00557DF3"/>
    <w:rsid w:val="00557EC7"/>
    <w:rsid w:val="005601AC"/>
    <w:rsid w:val="00560332"/>
    <w:rsid w:val="005603C9"/>
    <w:rsid w:val="005607A6"/>
    <w:rsid w:val="00560863"/>
    <w:rsid w:val="005609E0"/>
    <w:rsid w:val="00560A77"/>
    <w:rsid w:val="00560AF7"/>
    <w:rsid w:val="0056125E"/>
    <w:rsid w:val="00561572"/>
    <w:rsid w:val="00561582"/>
    <w:rsid w:val="00561750"/>
    <w:rsid w:val="00561AFE"/>
    <w:rsid w:val="00561B39"/>
    <w:rsid w:val="00561C45"/>
    <w:rsid w:val="00561ED4"/>
    <w:rsid w:val="00561F06"/>
    <w:rsid w:val="0056242A"/>
    <w:rsid w:val="00562457"/>
    <w:rsid w:val="00562976"/>
    <w:rsid w:val="00562A13"/>
    <w:rsid w:val="00562BBB"/>
    <w:rsid w:val="00562EE1"/>
    <w:rsid w:val="00562FC7"/>
    <w:rsid w:val="00563909"/>
    <w:rsid w:val="00563CF2"/>
    <w:rsid w:val="00563E60"/>
    <w:rsid w:val="00563F3B"/>
    <w:rsid w:val="005641FD"/>
    <w:rsid w:val="00564212"/>
    <w:rsid w:val="005648C0"/>
    <w:rsid w:val="005648F4"/>
    <w:rsid w:val="00564E14"/>
    <w:rsid w:val="00564E76"/>
    <w:rsid w:val="00564E77"/>
    <w:rsid w:val="00564ED8"/>
    <w:rsid w:val="00564EE1"/>
    <w:rsid w:val="005653D4"/>
    <w:rsid w:val="00565508"/>
    <w:rsid w:val="00565580"/>
    <w:rsid w:val="005658FD"/>
    <w:rsid w:val="00565CDA"/>
    <w:rsid w:val="00565D03"/>
    <w:rsid w:val="00565EDF"/>
    <w:rsid w:val="00565EF9"/>
    <w:rsid w:val="005664C0"/>
    <w:rsid w:val="005665AD"/>
    <w:rsid w:val="005665E9"/>
    <w:rsid w:val="005666C3"/>
    <w:rsid w:val="005668EE"/>
    <w:rsid w:val="00566B09"/>
    <w:rsid w:val="00566BB7"/>
    <w:rsid w:val="00567001"/>
    <w:rsid w:val="00567043"/>
    <w:rsid w:val="00567215"/>
    <w:rsid w:val="0056762E"/>
    <w:rsid w:val="005676E6"/>
    <w:rsid w:val="00567AF3"/>
    <w:rsid w:val="00567B43"/>
    <w:rsid w:val="00567CCE"/>
    <w:rsid w:val="00567F95"/>
    <w:rsid w:val="00570082"/>
    <w:rsid w:val="00570450"/>
    <w:rsid w:val="005704E7"/>
    <w:rsid w:val="00570745"/>
    <w:rsid w:val="005708E1"/>
    <w:rsid w:val="00570A42"/>
    <w:rsid w:val="00570AA9"/>
    <w:rsid w:val="00570ADF"/>
    <w:rsid w:val="00570CCC"/>
    <w:rsid w:val="00570CFE"/>
    <w:rsid w:val="00570F64"/>
    <w:rsid w:val="00570FE5"/>
    <w:rsid w:val="005711E0"/>
    <w:rsid w:val="005712E6"/>
    <w:rsid w:val="0057170E"/>
    <w:rsid w:val="005718E1"/>
    <w:rsid w:val="005719B2"/>
    <w:rsid w:val="005721A2"/>
    <w:rsid w:val="0057233B"/>
    <w:rsid w:val="00572613"/>
    <w:rsid w:val="005726FE"/>
    <w:rsid w:val="005728D9"/>
    <w:rsid w:val="00572A33"/>
    <w:rsid w:val="00572D95"/>
    <w:rsid w:val="00573396"/>
    <w:rsid w:val="00573664"/>
    <w:rsid w:val="00573829"/>
    <w:rsid w:val="00573A8E"/>
    <w:rsid w:val="00573B3F"/>
    <w:rsid w:val="00573C67"/>
    <w:rsid w:val="0057463E"/>
    <w:rsid w:val="00574769"/>
    <w:rsid w:val="00574B47"/>
    <w:rsid w:val="00574BE8"/>
    <w:rsid w:val="00574D32"/>
    <w:rsid w:val="00574F3F"/>
    <w:rsid w:val="0057503D"/>
    <w:rsid w:val="005753AE"/>
    <w:rsid w:val="0057552C"/>
    <w:rsid w:val="00575D99"/>
    <w:rsid w:val="005761F0"/>
    <w:rsid w:val="005763F1"/>
    <w:rsid w:val="0057642E"/>
    <w:rsid w:val="005765B6"/>
    <w:rsid w:val="00576641"/>
    <w:rsid w:val="005766E1"/>
    <w:rsid w:val="005768B3"/>
    <w:rsid w:val="005769A9"/>
    <w:rsid w:val="00576C9F"/>
    <w:rsid w:val="00576CFD"/>
    <w:rsid w:val="00577036"/>
    <w:rsid w:val="005770C4"/>
    <w:rsid w:val="00577376"/>
    <w:rsid w:val="00577698"/>
    <w:rsid w:val="0057773A"/>
    <w:rsid w:val="00577B8C"/>
    <w:rsid w:val="00577DAA"/>
    <w:rsid w:val="00577F84"/>
    <w:rsid w:val="005806D1"/>
    <w:rsid w:val="00580777"/>
    <w:rsid w:val="00580BD9"/>
    <w:rsid w:val="005811AC"/>
    <w:rsid w:val="00581826"/>
    <w:rsid w:val="00581897"/>
    <w:rsid w:val="00581988"/>
    <w:rsid w:val="00581F9F"/>
    <w:rsid w:val="0058211E"/>
    <w:rsid w:val="005828CC"/>
    <w:rsid w:val="00582D56"/>
    <w:rsid w:val="005834EA"/>
    <w:rsid w:val="00583817"/>
    <w:rsid w:val="00583823"/>
    <w:rsid w:val="0058385F"/>
    <w:rsid w:val="00583D08"/>
    <w:rsid w:val="00583FD9"/>
    <w:rsid w:val="0058412A"/>
    <w:rsid w:val="005841F5"/>
    <w:rsid w:val="0058479D"/>
    <w:rsid w:val="00584A2B"/>
    <w:rsid w:val="00584CB9"/>
    <w:rsid w:val="00584E9E"/>
    <w:rsid w:val="0058500C"/>
    <w:rsid w:val="0058526B"/>
    <w:rsid w:val="00585930"/>
    <w:rsid w:val="00585EEC"/>
    <w:rsid w:val="00586162"/>
    <w:rsid w:val="00586236"/>
    <w:rsid w:val="00586460"/>
    <w:rsid w:val="005866D4"/>
    <w:rsid w:val="005868BB"/>
    <w:rsid w:val="00586B0D"/>
    <w:rsid w:val="00586EAA"/>
    <w:rsid w:val="00587042"/>
    <w:rsid w:val="005870B2"/>
    <w:rsid w:val="005875A6"/>
    <w:rsid w:val="005878E1"/>
    <w:rsid w:val="00587939"/>
    <w:rsid w:val="00587BEE"/>
    <w:rsid w:val="00587C88"/>
    <w:rsid w:val="00587C9E"/>
    <w:rsid w:val="0058B43E"/>
    <w:rsid w:val="0059000C"/>
    <w:rsid w:val="005900A7"/>
    <w:rsid w:val="005900AF"/>
    <w:rsid w:val="005900E9"/>
    <w:rsid w:val="005902A3"/>
    <w:rsid w:val="0059062F"/>
    <w:rsid w:val="00590B7B"/>
    <w:rsid w:val="00590F19"/>
    <w:rsid w:val="0059108C"/>
    <w:rsid w:val="0059132C"/>
    <w:rsid w:val="00591573"/>
    <w:rsid w:val="00591A41"/>
    <w:rsid w:val="005920BA"/>
    <w:rsid w:val="005921C9"/>
    <w:rsid w:val="005927F4"/>
    <w:rsid w:val="005927FD"/>
    <w:rsid w:val="00592BDF"/>
    <w:rsid w:val="00593062"/>
    <w:rsid w:val="0059310B"/>
    <w:rsid w:val="0059310D"/>
    <w:rsid w:val="00593308"/>
    <w:rsid w:val="005933A0"/>
    <w:rsid w:val="00593841"/>
    <w:rsid w:val="00594305"/>
    <w:rsid w:val="00594700"/>
    <w:rsid w:val="00594820"/>
    <w:rsid w:val="00594BD6"/>
    <w:rsid w:val="00594C20"/>
    <w:rsid w:val="00594F77"/>
    <w:rsid w:val="00594F8A"/>
    <w:rsid w:val="005950E8"/>
    <w:rsid w:val="005951FD"/>
    <w:rsid w:val="00595286"/>
    <w:rsid w:val="00595374"/>
    <w:rsid w:val="00595532"/>
    <w:rsid w:val="00595CCB"/>
    <w:rsid w:val="00595F6E"/>
    <w:rsid w:val="00596309"/>
    <w:rsid w:val="00596358"/>
    <w:rsid w:val="00596486"/>
    <w:rsid w:val="0059683A"/>
    <w:rsid w:val="00596B37"/>
    <w:rsid w:val="00596C5E"/>
    <w:rsid w:val="00596DA5"/>
    <w:rsid w:val="00596EC6"/>
    <w:rsid w:val="005972CC"/>
    <w:rsid w:val="0059731F"/>
    <w:rsid w:val="00597696"/>
    <w:rsid w:val="0059785A"/>
    <w:rsid w:val="00597A2B"/>
    <w:rsid w:val="00597C13"/>
    <w:rsid w:val="00597F2D"/>
    <w:rsid w:val="005A02B4"/>
    <w:rsid w:val="005A05EB"/>
    <w:rsid w:val="005A088B"/>
    <w:rsid w:val="005A09D2"/>
    <w:rsid w:val="005A0E5D"/>
    <w:rsid w:val="005A144E"/>
    <w:rsid w:val="005A170B"/>
    <w:rsid w:val="005A1C84"/>
    <w:rsid w:val="005A1DAB"/>
    <w:rsid w:val="005A1E8B"/>
    <w:rsid w:val="005A2144"/>
    <w:rsid w:val="005A231D"/>
    <w:rsid w:val="005A28B3"/>
    <w:rsid w:val="005A2982"/>
    <w:rsid w:val="005A2C21"/>
    <w:rsid w:val="005A2C3B"/>
    <w:rsid w:val="005A2EBF"/>
    <w:rsid w:val="005A34DF"/>
    <w:rsid w:val="005A35BE"/>
    <w:rsid w:val="005A3E66"/>
    <w:rsid w:val="005A4003"/>
    <w:rsid w:val="005A4372"/>
    <w:rsid w:val="005A44B8"/>
    <w:rsid w:val="005A4B0F"/>
    <w:rsid w:val="005A52DF"/>
    <w:rsid w:val="005A53C1"/>
    <w:rsid w:val="005A58B9"/>
    <w:rsid w:val="005A5961"/>
    <w:rsid w:val="005A5E21"/>
    <w:rsid w:val="005A5E35"/>
    <w:rsid w:val="005A671F"/>
    <w:rsid w:val="005A69AF"/>
    <w:rsid w:val="005A6FAB"/>
    <w:rsid w:val="005A6FB3"/>
    <w:rsid w:val="005A7458"/>
    <w:rsid w:val="005A7881"/>
    <w:rsid w:val="005B0252"/>
    <w:rsid w:val="005B0514"/>
    <w:rsid w:val="005B0529"/>
    <w:rsid w:val="005B05A8"/>
    <w:rsid w:val="005B08BE"/>
    <w:rsid w:val="005B0AE0"/>
    <w:rsid w:val="005B0B2C"/>
    <w:rsid w:val="005B0C1B"/>
    <w:rsid w:val="005B0C22"/>
    <w:rsid w:val="005B0C93"/>
    <w:rsid w:val="005B0E18"/>
    <w:rsid w:val="005B123A"/>
    <w:rsid w:val="005B1251"/>
    <w:rsid w:val="005B14C0"/>
    <w:rsid w:val="005B167A"/>
    <w:rsid w:val="005B1BA9"/>
    <w:rsid w:val="005B1D6C"/>
    <w:rsid w:val="005B1E06"/>
    <w:rsid w:val="005B21B3"/>
    <w:rsid w:val="005B2262"/>
    <w:rsid w:val="005B22A6"/>
    <w:rsid w:val="005B2365"/>
    <w:rsid w:val="005B2492"/>
    <w:rsid w:val="005B298C"/>
    <w:rsid w:val="005B2A65"/>
    <w:rsid w:val="005B2E49"/>
    <w:rsid w:val="005B306B"/>
    <w:rsid w:val="005B3269"/>
    <w:rsid w:val="005B33AA"/>
    <w:rsid w:val="005B3560"/>
    <w:rsid w:val="005B3992"/>
    <w:rsid w:val="005B3A3D"/>
    <w:rsid w:val="005B3E3F"/>
    <w:rsid w:val="005B3E84"/>
    <w:rsid w:val="005B3F0E"/>
    <w:rsid w:val="005B4046"/>
    <w:rsid w:val="005B43EA"/>
    <w:rsid w:val="005B45F8"/>
    <w:rsid w:val="005B4713"/>
    <w:rsid w:val="005B48AC"/>
    <w:rsid w:val="005B4AE8"/>
    <w:rsid w:val="005B4C05"/>
    <w:rsid w:val="005B527F"/>
    <w:rsid w:val="005B570A"/>
    <w:rsid w:val="005B5A84"/>
    <w:rsid w:val="005B5A92"/>
    <w:rsid w:val="005B5BAB"/>
    <w:rsid w:val="005B5D34"/>
    <w:rsid w:val="005B68E7"/>
    <w:rsid w:val="005B6E12"/>
    <w:rsid w:val="005B713F"/>
    <w:rsid w:val="005B7853"/>
    <w:rsid w:val="005B7C22"/>
    <w:rsid w:val="005BCE47"/>
    <w:rsid w:val="005C0064"/>
    <w:rsid w:val="005C06FA"/>
    <w:rsid w:val="005C106D"/>
    <w:rsid w:val="005C115F"/>
    <w:rsid w:val="005C11D9"/>
    <w:rsid w:val="005C15EF"/>
    <w:rsid w:val="005C175E"/>
    <w:rsid w:val="005C181D"/>
    <w:rsid w:val="005C1897"/>
    <w:rsid w:val="005C1F7F"/>
    <w:rsid w:val="005C20B9"/>
    <w:rsid w:val="005C20D6"/>
    <w:rsid w:val="005C23B8"/>
    <w:rsid w:val="005C2B47"/>
    <w:rsid w:val="005C2BE4"/>
    <w:rsid w:val="005C2C0A"/>
    <w:rsid w:val="005C3097"/>
    <w:rsid w:val="005C30EF"/>
    <w:rsid w:val="005C31E4"/>
    <w:rsid w:val="005C36D9"/>
    <w:rsid w:val="005C3772"/>
    <w:rsid w:val="005C38B6"/>
    <w:rsid w:val="005C3995"/>
    <w:rsid w:val="005C3C0B"/>
    <w:rsid w:val="005C3FB1"/>
    <w:rsid w:val="005C403A"/>
    <w:rsid w:val="005C43B1"/>
    <w:rsid w:val="005C4EDF"/>
    <w:rsid w:val="005C4F1D"/>
    <w:rsid w:val="005C5D19"/>
    <w:rsid w:val="005C60D3"/>
    <w:rsid w:val="005C623E"/>
    <w:rsid w:val="005C631C"/>
    <w:rsid w:val="005C6607"/>
    <w:rsid w:val="005C679B"/>
    <w:rsid w:val="005C69CB"/>
    <w:rsid w:val="005C6AD5"/>
    <w:rsid w:val="005C6D48"/>
    <w:rsid w:val="005C6EAF"/>
    <w:rsid w:val="005C70F6"/>
    <w:rsid w:val="005C720B"/>
    <w:rsid w:val="005C722C"/>
    <w:rsid w:val="005C74E0"/>
    <w:rsid w:val="005C7603"/>
    <w:rsid w:val="005C7738"/>
    <w:rsid w:val="005C782E"/>
    <w:rsid w:val="005C7AEA"/>
    <w:rsid w:val="005D00E6"/>
    <w:rsid w:val="005D028E"/>
    <w:rsid w:val="005D0301"/>
    <w:rsid w:val="005D03F9"/>
    <w:rsid w:val="005D04FE"/>
    <w:rsid w:val="005D051F"/>
    <w:rsid w:val="005D0526"/>
    <w:rsid w:val="005D0BA7"/>
    <w:rsid w:val="005D11CC"/>
    <w:rsid w:val="005D1644"/>
    <w:rsid w:val="005D16C3"/>
    <w:rsid w:val="005D1795"/>
    <w:rsid w:val="005D1969"/>
    <w:rsid w:val="005D1A31"/>
    <w:rsid w:val="005D1BE6"/>
    <w:rsid w:val="005D1ED0"/>
    <w:rsid w:val="005D2319"/>
    <w:rsid w:val="005D2A09"/>
    <w:rsid w:val="005D2AA6"/>
    <w:rsid w:val="005D2D09"/>
    <w:rsid w:val="005D2EB1"/>
    <w:rsid w:val="005D363F"/>
    <w:rsid w:val="005D36AD"/>
    <w:rsid w:val="005D37A2"/>
    <w:rsid w:val="005D38D7"/>
    <w:rsid w:val="005D3A15"/>
    <w:rsid w:val="005D3B69"/>
    <w:rsid w:val="005D3C74"/>
    <w:rsid w:val="005D3DE9"/>
    <w:rsid w:val="005D4210"/>
    <w:rsid w:val="005D4962"/>
    <w:rsid w:val="005D49BF"/>
    <w:rsid w:val="005D4FD5"/>
    <w:rsid w:val="005D51AD"/>
    <w:rsid w:val="005D5607"/>
    <w:rsid w:val="005D56EF"/>
    <w:rsid w:val="005D5C51"/>
    <w:rsid w:val="005D5C73"/>
    <w:rsid w:val="005D5D0D"/>
    <w:rsid w:val="005D603C"/>
    <w:rsid w:val="005D604B"/>
    <w:rsid w:val="005D607E"/>
    <w:rsid w:val="005D623E"/>
    <w:rsid w:val="005D62C6"/>
    <w:rsid w:val="005D6523"/>
    <w:rsid w:val="005D6C23"/>
    <w:rsid w:val="005D715B"/>
    <w:rsid w:val="005D7680"/>
    <w:rsid w:val="005D7C99"/>
    <w:rsid w:val="005D7CF2"/>
    <w:rsid w:val="005D7DBF"/>
    <w:rsid w:val="005D7DF8"/>
    <w:rsid w:val="005D7F12"/>
    <w:rsid w:val="005E044D"/>
    <w:rsid w:val="005E04C9"/>
    <w:rsid w:val="005E099D"/>
    <w:rsid w:val="005E0D7F"/>
    <w:rsid w:val="005E10D0"/>
    <w:rsid w:val="005E156A"/>
    <w:rsid w:val="005E1702"/>
    <w:rsid w:val="005E18E9"/>
    <w:rsid w:val="005E1A46"/>
    <w:rsid w:val="005E1AB3"/>
    <w:rsid w:val="005E1BEF"/>
    <w:rsid w:val="005E1F1A"/>
    <w:rsid w:val="005E2093"/>
    <w:rsid w:val="005E20AC"/>
    <w:rsid w:val="005E228C"/>
    <w:rsid w:val="005E2370"/>
    <w:rsid w:val="005E2488"/>
    <w:rsid w:val="005E2686"/>
    <w:rsid w:val="005E26E3"/>
    <w:rsid w:val="005E2BC0"/>
    <w:rsid w:val="005E2F32"/>
    <w:rsid w:val="005E30FE"/>
    <w:rsid w:val="005E35C8"/>
    <w:rsid w:val="005E35E0"/>
    <w:rsid w:val="005E36C8"/>
    <w:rsid w:val="005E3A72"/>
    <w:rsid w:val="005E3BE2"/>
    <w:rsid w:val="005E3E23"/>
    <w:rsid w:val="005E4198"/>
    <w:rsid w:val="005E4286"/>
    <w:rsid w:val="005E4392"/>
    <w:rsid w:val="005E44A9"/>
    <w:rsid w:val="005E45C4"/>
    <w:rsid w:val="005E4851"/>
    <w:rsid w:val="005E49F0"/>
    <w:rsid w:val="005E4B00"/>
    <w:rsid w:val="005E4B2A"/>
    <w:rsid w:val="005E4BE2"/>
    <w:rsid w:val="005E4CDD"/>
    <w:rsid w:val="005E5304"/>
    <w:rsid w:val="005E5318"/>
    <w:rsid w:val="005E5BB7"/>
    <w:rsid w:val="005E5C59"/>
    <w:rsid w:val="005E5D2B"/>
    <w:rsid w:val="005E5D39"/>
    <w:rsid w:val="005E5ED1"/>
    <w:rsid w:val="005E5F6F"/>
    <w:rsid w:val="005E60F6"/>
    <w:rsid w:val="005E6117"/>
    <w:rsid w:val="005E6235"/>
    <w:rsid w:val="005E6875"/>
    <w:rsid w:val="005E6DBE"/>
    <w:rsid w:val="005E75E5"/>
    <w:rsid w:val="005E7A6B"/>
    <w:rsid w:val="005E7C0A"/>
    <w:rsid w:val="005E7CAA"/>
    <w:rsid w:val="005E7CCB"/>
    <w:rsid w:val="005F0316"/>
    <w:rsid w:val="005F0967"/>
    <w:rsid w:val="005F0C98"/>
    <w:rsid w:val="005F0D0B"/>
    <w:rsid w:val="005F15B6"/>
    <w:rsid w:val="005F1C21"/>
    <w:rsid w:val="005F1E31"/>
    <w:rsid w:val="005F1FE4"/>
    <w:rsid w:val="005F2010"/>
    <w:rsid w:val="005F2233"/>
    <w:rsid w:val="005F2486"/>
    <w:rsid w:val="005F27EB"/>
    <w:rsid w:val="005F287C"/>
    <w:rsid w:val="005F29F5"/>
    <w:rsid w:val="005F2CA6"/>
    <w:rsid w:val="005F3290"/>
    <w:rsid w:val="005F333E"/>
    <w:rsid w:val="005F33AF"/>
    <w:rsid w:val="005F369E"/>
    <w:rsid w:val="005F3908"/>
    <w:rsid w:val="005F3A8B"/>
    <w:rsid w:val="005F3AD0"/>
    <w:rsid w:val="005F3E9F"/>
    <w:rsid w:val="005F3F29"/>
    <w:rsid w:val="005F4281"/>
    <w:rsid w:val="005F461C"/>
    <w:rsid w:val="005F4795"/>
    <w:rsid w:val="005F49FA"/>
    <w:rsid w:val="005F4B85"/>
    <w:rsid w:val="005F4B96"/>
    <w:rsid w:val="005F4CD6"/>
    <w:rsid w:val="005F4F25"/>
    <w:rsid w:val="005F52A2"/>
    <w:rsid w:val="005F5327"/>
    <w:rsid w:val="005F5363"/>
    <w:rsid w:val="005F53EA"/>
    <w:rsid w:val="005F55BD"/>
    <w:rsid w:val="005F5918"/>
    <w:rsid w:val="005F6267"/>
    <w:rsid w:val="005F62D1"/>
    <w:rsid w:val="005F64C1"/>
    <w:rsid w:val="005F65C0"/>
    <w:rsid w:val="005F667C"/>
    <w:rsid w:val="005F68F3"/>
    <w:rsid w:val="005F6967"/>
    <w:rsid w:val="005F6B1E"/>
    <w:rsid w:val="005F6B23"/>
    <w:rsid w:val="005F6B31"/>
    <w:rsid w:val="005F6B58"/>
    <w:rsid w:val="005F6CBD"/>
    <w:rsid w:val="005F6DEC"/>
    <w:rsid w:val="005F6E36"/>
    <w:rsid w:val="005F6E39"/>
    <w:rsid w:val="005F7836"/>
    <w:rsid w:val="005F7A74"/>
    <w:rsid w:val="005F7C41"/>
    <w:rsid w:val="005F7ED0"/>
    <w:rsid w:val="00600209"/>
    <w:rsid w:val="006004D5"/>
    <w:rsid w:val="006004FA"/>
    <w:rsid w:val="006006BC"/>
    <w:rsid w:val="006008A9"/>
    <w:rsid w:val="00600999"/>
    <w:rsid w:val="006013D1"/>
    <w:rsid w:val="0060158A"/>
    <w:rsid w:val="006015F7"/>
    <w:rsid w:val="00601B19"/>
    <w:rsid w:val="00601C14"/>
    <w:rsid w:val="00601D61"/>
    <w:rsid w:val="00601DD1"/>
    <w:rsid w:val="00601F36"/>
    <w:rsid w:val="00601FE5"/>
    <w:rsid w:val="00602425"/>
    <w:rsid w:val="006027EF"/>
    <w:rsid w:val="00602B45"/>
    <w:rsid w:val="00602CE5"/>
    <w:rsid w:val="00602D58"/>
    <w:rsid w:val="006030B4"/>
    <w:rsid w:val="00603388"/>
    <w:rsid w:val="006037B8"/>
    <w:rsid w:val="00603801"/>
    <w:rsid w:val="0060382B"/>
    <w:rsid w:val="006038C6"/>
    <w:rsid w:val="00603AD0"/>
    <w:rsid w:val="00603DBE"/>
    <w:rsid w:val="006041BB"/>
    <w:rsid w:val="0060452E"/>
    <w:rsid w:val="00604D8C"/>
    <w:rsid w:val="00604FF7"/>
    <w:rsid w:val="0060575B"/>
    <w:rsid w:val="006057C0"/>
    <w:rsid w:val="006058F8"/>
    <w:rsid w:val="00605DF3"/>
    <w:rsid w:val="00605EA5"/>
    <w:rsid w:val="00606151"/>
    <w:rsid w:val="00606381"/>
    <w:rsid w:val="006071E1"/>
    <w:rsid w:val="006077BF"/>
    <w:rsid w:val="00607823"/>
    <w:rsid w:val="0060794E"/>
    <w:rsid w:val="0061031B"/>
    <w:rsid w:val="00610C9A"/>
    <w:rsid w:val="00610F14"/>
    <w:rsid w:val="00611138"/>
    <w:rsid w:val="006111DA"/>
    <w:rsid w:val="00611252"/>
    <w:rsid w:val="0061138F"/>
    <w:rsid w:val="0061177F"/>
    <w:rsid w:val="00611A37"/>
    <w:rsid w:val="00611A65"/>
    <w:rsid w:val="00611DA1"/>
    <w:rsid w:val="00611EEB"/>
    <w:rsid w:val="006122B6"/>
    <w:rsid w:val="00612322"/>
    <w:rsid w:val="00612327"/>
    <w:rsid w:val="0061241A"/>
    <w:rsid w:val="0061243C"/>
    <w:rsid w:val="006125D1"/>
    <w:rsid w:val="00612601"/>
    <w:rsid w:val="00612D4E"/>
    <w:rsid w:val="00612FD0"/>
    <w:rsid w:val="00613304"/>
    <w:rsid w:val="00613567"/>
    <w:rsid w:val="00613569"/>
    <w:rsid w:val="006138E7"/>
    <w:rsid w:val="00613974"/>
    <w:rsid w:val="00613B99"/>
    <w:rsid w:val="00613F87"/>
    <w:rsid w:val="0061409D"/>
    <w:rsid w:val="0061425C"/>
    <w:rsid w:val="006143C9"/>
    <w:rsid w:val="0061477D"/>
    <w:rsid w:val="00614782"/>
    <w:rsid w:val="00614828"/>
    <w:rsid w:val="0061484A"/>
    <w:rsid w:val="00614F89"/>
    <w:rsid w:val="00615496"/>
    <w:rsid w:val="0061550E"/>
    <w:rsid w:val="00615560"/>
    <w:rsid w:val="006156DF"/>
    <w:rsid w:val="00615B56"/>
    <w:rsid w:val="00615E09"/>
    <w:rsid w:val="00615E2D"/>
    <w:rsid w:val="006160EA"/>
    <w:rsid w:val="0061610F"/>
    <w:rsid w:val="006161B3"/>
    <w:rsid w:val="00616282"/>
    <w:rsid w:val="00616744"/>
    <w:rsid w:val="006167D3"/>
    <w:rsid w:val="00616A96"/>
    <w:rsid w:val="00616B8D"/>
    <w:rsid w:val="006170F4"/>
    <w:rsid w:val="006172DD"/>
    <w:rsid w:val="006175D9"/>
    <w:rsid w:val="006175F8"/>
    <w:rsid w:val="00617DE3"/>
    <w:rsid w:val="00617FB6"/>
    <w:rsid w:val="00620320"/>
    <w:rsid w:val="00620394"/>
    <w:rsid w:val="006203E3"/>
    <w:rsid w:val="00620684"/>
    <w:rsid w:val="0062089C"/>
    <w:rsid w:val="00620C56"/>
    <w:rsid w:val="00620F3E"/>
    <w:rsid w:val="0062134D"/>
    <w:rsid w:val="00621635"/>
    <w:rsid w:val="006217AF"/>
    <w:rsid w:val="00621A5B"/>
    <w:rsid w:val="00621E27"/>
    <w:rsid w:val="00621EB0"/>
    <w:rsid w:val="00621F47"/>
    <w:rsid w:val="00622029"/>
    <w:rsid w:val="00622C1A"/>
    <w:rsid w:val="00622DAD"/>
    <w:rsid w:val="00622EBC"/>
    <w:rsid w:val="0062301F"/>
    <w:rsid w:val="006230C3"/>
    <w:rsid w:val="00623470"/>
    <w:rsid w:val="006235F9"/>
    <w:rsid w:val="0062364E"/>
    <w:rsid w:val="00623702"/>
    <w:rsid w:val="00623845"/>
    <w:rsid w:val="00623EB6"/>
    <w:rsid w:val="00623EEE"/>
    <w:rsid w:val="00623F7F"/>
    <w:rsid w:val="0062419E"/>
    <w:rsid w:val="006242F3"/>
    <w:rsid w:val="00624934"/>
    <w:rsid w:val="00624A2F"/>
    <w:rsid w:val="00624B20"/>
    <w:rsid w:val="006257A9"/>
    <w:rsid w:val="00625C4A"/>
    <w:rsid w:val="00625F61"/>
    <w:rsid w:val="006264FE"/>
    <w:rsid w:val="0062683D"/>
    <w:rsid w:val="0062683E"/>
    <w:rsid w:val="0062687E"/>
    <w:rsid w:val="00626AD3"/>
    <w:rsid w:val="00626FD3"/>
    <w:rsid w:val="00626FFF"/>
    <w:rsid w:val="00627307"/>
    <w:rsid w:val="00627467"/>
    <w:rsid w:val="006276B8"/>
    <w:rsid w:val="00627739"/>
    <w:rsid w:val="00627770"/>
    <w:rsid w:val="006279B7"/>
    <w:rsid w:val="00627D4A"/>
    <w:rsid w:val="006303C1"/>
    <w:rsid w:val="00630538"/>
    <w:rsid w:val="0063062F"/>
    <w:rsid w:val="006306D8"/>
    <w:rsid w:val="00630745"/>
    <w:rsid w:val="006309BA"/>
    <w:rsid w:val="00630B31"/>
    <w:rsid w:val="00630E09"/>
    <w:rsid w:val="00630F14"/>
    <w:rsid w:val="00631452"/>
    <w:rsid w:val="00631497"/>
    <w:rsid w:val="006317D6"/>
    <w:rsid w:val="006317EE"/>
    <w:rsid w:val="00631C09"/>
    <w:rsid w:val="0063213D"/>
    <w:rsid w:val="00632196"/>
    <w:rsid w:val="006322A0"/>
    <w:rsid w:val="00632D03"/>
    <w:rsid w:val="00632F9E"/>
    <w:rsid w:val="00633290"/>
    <w:rsid w:val="0063351B"/>
    <w:rsid w:val="006338E7"/>
    <w:rsid w:val="00633967"/>
    <w:rsid w:val="00633A56"/>
    <w:rsid w:val="00633AA5"/>
    <w:rsid w:val="00633E7C"/>
    <w:rsid w:val="0063407C"/>
    <w:rsid w:val="0063417C"/>
    <w:rsid w:val="0063428A"/>
    <w:rsid w:val="0063445C"/>
    <w:rsid w:val="006347DF"/>
    <w:rsid w:val="006349ED"/>
    <w:rsid w:val="00634DDF"/>
    <w:rsid w:val="00634E4E"/>
    <w:rsid w:val="00634EB7"/>
    <w:rsid w:val="00634FB6"/>
    <w:rsid w:val="006351EF"/>
    <w:rsid w:val="0063526E"/>
    <w:rsid w:val="00635695"/>
    <w:rsid w:val="006357DD"/>
    <w:rsid w:val="00635CCC"/>
    <w:rsid w:val="00636088"/>
    <w:rsid w:val="0063615B"/>
    <w:rsid w:val="00636489"/>
    <w:rsid w:val="00636D10"/>
    <w:rsid w:val="0063771F"/>
    <w:rsid w:val="00637AE4"/>
    <w:rsid w:val="00640226"/>
    <w:rsid w:val="0064046C"/>
    <w:rsid w:val="006405DE"/>
    <w:rsid w:val="00640662"/>
    <w:rsid w:val="006406DE"/>
    <w:rsid w:val="00640A78"/>
    <w:rsid w:val="00640DA3"/>
    <w:rsid w:val="00640E30"/>
    <w:rsid w:val="006410C2"/>
    <w:rsid w:val="00641411"/>
    <w:rsid w:val="00641683"/>
    <w:rsid w:val="00641CCF"/>
    <w:rsid w:val="00641E8B"/>
    <w:rsid w:val="00641EAB"/>
    <w:rsid w:val="00641F33"/>
    <w:rsid w:val="006424F6"/>
    <w:rsid w:val="006426CC"/>
    <w:rsid w:val="00642702"/>
    <w:rsid w:val="00642EE2"/>
    <w:rsid w:val="006431CF"/>
    <w:rsid w:val="00643437"/>
    <w:rsid w:val="006434BD"/>
    <w:rsid w:val="006439B3"/>
    <w:rsid w:val="00643A3B"/>
    <w:rsid w:val="00644073"/>
    <w:rsid w:val="006440F5"/>
    <w:rsid w:val="00644165"/>
    <w:rsid w:val="006442C3"/>
    <w:rsid w:val="00644408"/>
    <w:rsid w:val="0064451A"/>
    <w:rsid w:val="00644619"/>
    <w:rsid w:val="00644761"/>
    <w:rsid w:val="00644CE2"/>
    <w:rsid w:val="006450C1"/>
    <w:rsid w:val="0064518D"/>
    <w:rsid w:val="006456E5"/>
    <w:rsid w:val="00645745"/>
    <w:rsid w:val="00645B87"/>
    <w:rsid w:val="00645C14"/>
    <w:rsid w:val="0064600C"/>
    <w:rsid w:val="0064615D"/>
    <w:rsid w:val="006462FC"/>
    <w:rsid w:val="006463B8"/>
    <w:rsid w:val="006466A6"/>
    <w:rsid w:val="00646904"/>
    <w:rsid w:val="00646A05"/>
    <w:rsid w:val="00646AFE"/>
    <w:rsid w:val="00646B45"/>
    <w:rsid w:val="00646B90"/>
    <w:rsid w:val="0064701B"/>
    <w:rsid w:val="00647073"/>
    <w:rsid w:val="006475FA"/>
    <w:rsid w:val="006478C8"/>
    <w:rsid w:val="00647F9D"/>
    <w:rsid w:val="00650087"/>
    <w:rsid w:val="006503EB"/>
    <w:rsid w:val="0065050B"/>
    <w:rsid w:val="00650560"/>
    <w:rsid w:val="006509D4"/>
    <w:rsid w:val="00650A95"/>
    <w:rsid w:val="00650AB0"/>
    <w:rsid w:val="00650C35"/>
    <w:rsid w:val="00650CD2"/>
    <w:rsid w:val="00651021"/>
    <w:rsid w:val="006510D1"/>
    <w:rsid w:val="0065168B"/>
    <w:rsid w:val="006516A7"/>
    <w:rsid w:val="00652086"/>
    <w:rsid w:val="006526D6"/>
    <w:rsid w:val="00652B04"/>
    <w:rsid w:val="00652DA4"/>
    <w:rsid w:val="0065305E"/>
    <w:rsid w:val="006534E9"/>
    <w:rsid w:val="0065368C"/>
    <w:rsid w:val="00653DBA"/>
    <w:rsid w:val="00653EEB"/>
    <w:rsid w:val="0065421A"/>
    <w:rsid w:val="00654822"/>
    <w:rsid w:val="0065482C"/>
    <w:rsid w:val="00654870"/>
    <w:rsid w:val="00654A06"/>
    <w:rsid w:val="00654B40"/>
    <w:rsid w:val="00655064"/>
    <w:rsid w:val="0065550E"/>
    <w:rsid w:val="0065568B"/>
    <w:rsid w:val="00656030"/>
    <w:rsid w:val="006561B7"/>
    <w:rsid w:val="00656FE9"/>
    <w:rsid w:val="00657B99"/>
    <w:rsid w:val="00660270"/>
    <w:rsid w:val="006602A2"/>
    <w:rsid w:val="00660653"/>
    <w:rsid w:val="00660751"/>
    <w:rsid w:val="00660CEF"/>
    <w:rsid w:val="00661085"/>
    <w:rsid w:val="0066172E"/>
    <w:rsid w:val="006619DC"/>
    <w:rsid w:val="00661D43"/>
    <w:rsid w:val="00661E26"/>
    <w:rsid w:val="00661F71"/>
    <w:rsid w:val="00662115"/>
    <w:rsid w:val="00662142"/>
    <w:rsid w:val="0066225A"/>
    <w:rsid w:val="00662449"/>
    <w:rsid w:val="006625C9"/>
    <w:rsid w:val="006625D7"/>
    <w:rsid w:val="0066272B"/>
    <w:rsid w:val="006628D4"/>
    <w:rsid w:val="006629D1"/>
    <w:rsid w:val="00662A4B"/>
    <w:rsid w:val="00662C7A"/>
    <w:rsid w:val="00662C9F"/>
    <w:rsid w:val="00662CB9"/>
    <w:rsid w:val="006633F1"/>
    <w:rsid w:val="00663763"/>
    <w:rsid w:val="0066395F"/>
    <w:rsid w:val="006639D6"/>
    <w:rsid w:val="00663EEB"/>
    <w:rsid w:val="006642FA"/>
    <w:rsid w:val="00664C43"/>
    <w:rsid w:val="006651CA"/>
    <w:rsid w:val="00665645"/>
    <w:rsid w:val="006657FF"/>
    <w:rsid w:val="006658ED"/>
    <w:rsid w:val="006659DD"/>
    <w:rsid w:val="0066619F"/>
    <w:rsid w:val="00666884"/>
    <w:rsid w:val="00666B4D"/>
    <w:rsid w:val="00666C5D"/>
    <w:rsid w:val="00666D17"/>
    <w:rsid w:val="00666D93"/>
    <w:rsid w:val="00667106"/>
    <w:rsid w:val="0066722F"/>
    <w:rsid w:val="0066734D"/>
    <w:rsid w:val="0066791F"/>
    <w:rsid w:val="00667ADF"/>
    <w:rsid w:val="00667C81"/>
    <w:rsid w:val="00670207"/>
    <w:rsid w:val="006706E6"/>
    <w:rsid w:val="0067078C"/>
    <w:rsid w:val="006708E0"/>
    <w:rsid w:val="00670A93"/>
    <w:rsid w:val="00670B04"/>
    <w:rsid w:val="00670BBF"/>
    <w:rsid w:val="00670C2A"/>
    <w:rsid w:val="006712C1"/>
    <w:rsid w:val="0067139A"/>
    <w:rsid w:val="00671596"/>
    <w:rsid w:val="0067160C"/>
    <w:rsid w:val="00671A62"/>
    <w:rsid w:val="00671F94"/>
    <w:rsid w:val="00672BE1"/>
    <w:rsid w:val="00672E37"/>
    <w:rsid w:val="00672F06"/>
    <w:rsid w:val="00673321"/>
    <w:rsid w:val="00673468"/>
    <w:rsid w:val="00673DE0"/>
    <w:rsid w:val="006741CE"/>
    <w:rsid w:val="00674442"/>
    <w:rsid w:val="006748D6"/>
    <w:rsid w:val="006748E9"/>
    <w:rsid w:val="00674B9D"/>
    <w:rsid w:val="00674DC6"/>
    <w:rsid w:val="00674F34"/>
    <w:rsid w:val="00674F41"/>
    <w:rsid w:val="006750B2"/>
    <w:rsid w:val="006751A7"/>
    <w:rsid w:val="00675722"/>
    <w:rsid w:val="00675753"/>
    <w:rsid w:val="00675797"/>
    <w:rsid w:val="00675840"/>
    <w:rsid w:val="00675E3D"/>
    <w:rsid w:val="00675E6F"/>
    <w:rsid w:val="006764C7"/>
    <w:rsid w:val="00676581"/>
    <w:rsid w:val="00676661"/>
    <w:rsid w:val="006766FF"/>
    <w:rsid w:val="00676AC4"/>
    <w:rsid w:val="00676B65"/>
    <w:rsid w:val="006771E9"/>
    <w:rsid w:val="006779A5"/>
    <w:rsid w:val="00677D58"/>
    <w:rsid w:val="00677D59"/>
    <w:rsid w:val="00677EEC"/>
    <w:rsid w:val="0068007C"/>
    <w:rsid w:val="00680084"/>
    <w:rsid w:val="006801E0"/>
    <w:rsid w:val="0068020E"/>
    <w:rsid w:val="00680213"/>
    <w:rsid w:val="006803C3"/>
    <w:rsid w:val="0068053F"/>
    <w:rsid w:val="006813FE"/>
    <w:rsid w:val="00681696"/>
    <w:rsid w:val="006817A3"/>
    <w:rsid w:val="00681EDE"/>
    <w:rsid w:val="006822FE"/>
    <w:rsid w:val="00682336"/>
    <w:rsid w:val="00682464"/>
    <w:rsid w:val="0068295A"/>
    <w:rsid w:val="0068299D"/>
    <w:rsid w:val="006829C1"/>
    <w:rsid w:val="00682DF1"/>
    <w:rsid w:val="00682F46"/>
    <w:rsid w:val="00682FE7"/>
    <w:rsid w:val="00683917"/>
    <w:rsid w:val="00683BE3"/>
    <w:rsid w:val="00683C03"/>
    <w:rsid w:val="00684346"/>
    <w:rsid w:val="0068434B"/>
    <w:rsid w:val="00684543"/>
    <w:rsid w:val="00684568"/>
    <w:rsid w:val="006855F3"/>
    <w:rsid w:val="00685841"/>
    <w:rsid w:val="006858A0"/>
    <w:rsid w:val="00685AC6"/>
    <w:rsid w:val="00685BD5"/>
    <w:rsid w:val="00685D32"/>
    <w:rsid w:val="00685D35"/>
    <w:rsid w:val="006868AF"/>
    <w:rsid w:val="0068697D"/>
    <w:rsid w:val="00686E82"/>
    <w:rsid w:val="006871A3"/>
    <w:rsid w:val="006872A8"/>
    <w:rsid w:val="006873D7"/>
    <w:rsid w:val="0068756C"/>
    <w:rsid w:val="006876AE"/>
    <w:rsid w:val="0068784B"/>
    <w:rsid w:val="0068A312"/>
    <w:rsid w:val="0069055F"/>
    <w:rsid w:val="0069079C"/>
    <w:rsid w:val="0069086B"/>
    <w:rsid w:val="006908A7"/>
    <w:rsid w:val="0069091E"/>
    <w:rsid w:val="00690AA1"/>
    <w:rsid w:val="00690E1C"/>
    <w:rsid w:val="00690F91"/>
    <w:rsid w:val="00691181"/>
    <w:rsid w:val="00691578"/>
    <w:rsid w:val="00691620"/>
    <w:rsid w:val="00691634"/>
    <w:rsid w:val="0069225B"/>
    <w:rsid w:val="006923AD"/>
    <w:rsid w:val="0069248A"/>
    <w:rsid w:val="006926C0"/>
    <w:rsid w:val="00692859"/>
    <w:rsid w:val="00692A6E"/>
    <w:rsid w:val="00692F37"/>
    <w:rsid w:val="00692F9A"/>
    <w:rsid w:val="00692FD4"/>
    <w:rsid w:val="0069303C"/>
    <w:rsid w:val="0069318A"/>
    <w:rsid w:val="00693200"/>
    <w:rsid w:val="00693285"/>
    <w:rsid w:val="006938FF"/>
    <w:rsid w:val="00693A49"/>
    <w:rsid w:val="00693A57"/>
    <w:rsid w:val="00693B31"/>
    <w:rsid w:val="00693E16"/>
    <w:rsid w:val="00694121"/>
    <w:rsid w:val="0069468C"/>
    <w:rsid w:val="006947B2"/>
    <w:rsid w:val="00694859"/>
    <w:rsid w:val="0069488A"/>
    <w:rsid w:val="00694A12"/>
    <w:rsid w:val="00694D44"/>
    <w:rsid w:val="00694FAE"/>
    <w:rsid w:val="0069518F"/>
    <w:rsid w:val="006951E3"/>
    <w:rsid w:val="006955B5"/>
    <w:rsid w:val="0069566C"/>
    <w:rsid w:val="00695901"/>
    <w:rsid w:val="006959E4"/>
    <w:rsid w:val="00695DD3"/>
    <w:rsid w:val="00695E5F"/>
    <w:rsid w:val="006961E0"/>
    <w:rsid w:val="0069643A"/>
    <w:rsid w:val="00696A48"/>
    <w:rsid w:val="00696A4F"/>
    <w:rsid w:val="00696C15"/>
    <w:rsid w:val="00696E38"/>
    <w:rsid w:val="00696EF2"/>
    <w:rsid w:val="00696F51"/>
    <w:rsid w:val="00696F63"/>
    <w:rsid w:val="00697390"/>
    <w:rsid w:val="00697396"/>
    <w:rsid w:val="006976E1"/>
    <w:rsid w:val="00697EDF"/>
    <w:rsid w:val="00697F35"/>
    <w:rsid w:val="006A000A"/>
    <w:rsid w:val="006A00BE"/>
    <w:rsid w:val="006A03FC"/>
    <w:rsid w:val="006A0697"/>
    <w:rsid w:val="006A08C5"/>
    <w:rsid w:val="006A0A9D"/>
    <w:rsid w:val="006A101A"/>
    <w:rsid w:val="006A1281"/>
    <w:rsid w:val="006A1847"/>
    <w:rsid w:val="006A1DDE"/>
    <w:rsid w:val="006A1EF1"/>
    <w:rsid w:val="006A22C1"/>
    <w:rsid w:val="006A2430"/>
    <w:rsid w:val="006A291C"/>
    <w:rsid w:val="006A29F5"/>
    <w:rsid w:val="006A32D1"/>
    <w:rsid w:val="006A3B0B"/>
    <w:rsid w:val="006A3BD0"/>
    <w:rsid w:val="006A3C94"/>
    <w:rsid w:val="006A3D14"/>
    <w:rsid w:val="006A42FD"/>
    <w:rsid w:val="006A4629"/>
    <w:rsid w:val="006A4A7D"/>
    <w:rsid w:val="006A4B77"/>
    <w:rsid w:val="006A4D6D"/>
    <w:rsid w:val="006A5140"/>
    <w:rsid w:val="006A51FC"/>
    <w:rsid w:val="006A54BA"/>
    <w:rsid w:val="006A5839"/>
    <w:rsid w:val="006A58FF"/>
    <w:rsid w:val="006A5C8A"/>
    <w:rsid w:val="006A5D9D"/>
    <w:rsid w:val="006A5F58"/>
    <w:rsid w:val="006A609A"/>
    <w:rsid w:val="006A61D2"/>
    <w:rsid w:val="006A620E"/>
    <w:rsid w:val="006A67E2"/>
    <w:rsid w:val="006A7159"/>
    <w:rsid w:val="006A7761"/>
    <w:rsid w:val="006AAE46"/>
    <w:rsid w:val="006B0070"/>
    <w:rsid w:val="006B00B1"/>
    <w:rsid w:val="006B0765"/>
    <w:rsid w:val="006B11B0"/>
    <w:rsid w:val="006B121A"/>
    <w:rsid w:val="006B142A"/>
    <w:rsid w:val="006B1942"/>
    <w:rsid w:val="006B1ABA"/>
    <w:rsid w:val="006B1CFA"/>
    <w:rsid w:val="006B1F2E"/>
    <w:rsid w:val="006B1FD7"/>
    <w:rsid w:val="006B1FE2"/>
    <w:rsid w:val="006B214A"/>
    <w:rsid w:val="006B2190"/>
    <w:rsid w:val="006B219E"/>
    <w:rsid w:val="006B2312"/>
    <w:rsid w:val="006B27D6"/>
    <w:rsid w:val="006B29D8"/>
    <w:rsid w:val="006B2C9D"/>
    <w:rsid w:val="006B2D07"/>
    <w:rsid w:val="006B2D5C"/>
    <w:rsid w:val="006B2EA3"/>
    <w:rsid w:val="006B307F"/>
    <w:rsid w:val="006B30E4"/>
    <w:rsid w:val="006B3139"/>
    <w:rsid w:val="006B31AF"/>
    <w:rsid w:val="006B3289"/>
    <w:rsid w:val="006B346F"/>
    <w:rsid w:val="006B34CC"/>
    <w:rsid w:val="006B3C81"/>
    <w:rsid w:val="006B3D96"/>
    <w:rsid w:val="006B3F2A"/>
    <w:rsid w:val="006B3F38"/>
    <w:rsid w:val="006B4029"/>
    <w:rsid w:val="006B429F"/>
    <w:rsid w:val="006B4994"/>
    <w:rsid w:val="006B4A57"/>
    <w:rsid w:val="006B4AF9"/>
    <w:rsid w:val="006B4BD0"/>
    <w:rsid w:val="006B5003"/>
    <w:rsid w:val="006B5685"/>
    <w:rsid w:val="006B5BA4"/>
    <w:rsid w:val="006B5E7E"/>
    <w:rsid w:val="006B5EFB"/>
    <w:rsid w:val="006B605C"/>
    <w:rsid w:val="006B62B9"/>
    <w:rsid w:val="006B65CB"/>
    <w:rsid w:val="006B69AE"/>
    <w:rsid w:val="006B6A3C"/>
    <w:rsid w:val="006B6A7F"/>
    <w:rsid w:val="006B6B1B"/>
    <w:rsid w:val="006B6EAA"/>
    <w:rsid w:val="006B6F20"/>
    <w:rsid w:val="006B70DD"/>
    <w:rsid w:val="006B72C0"/>
    <w:rsid w:val="006B7626"/>
    <w:rsid w:val="006B765B"/>
    <w:rsid w:val="006B7A07"/>
    <w:rsid w:val="006B7AAB"/>
    <w:rsid w:val="006B7E4E"/>
    <w:rsid w:val="006C0170"/>
    <w:rsid w:val="006C018F"/>
    <w:rsid w:val="006C0244"/>
    <w:rsid w:val="006C0503"/>
    <w:rsid w:val="006C0521"/>
    <w:rsid w:val="006C052B"/>
    <w:rsid w:val="006C079F"/>
    <w:rsid w:val="006C089C"/>
    <w:rsid w:val="006C10E8"/>
    <w:rsid w:val="006C16E9"/>
    <w:rsid w:val="006C17E4"/>
    <w:rsid w:val="006C1B9E"/>
    <w:rsid w:val="006C1D6D"/>
    <w:rsid w:val="006C202D"/>
    <w:rsid w:val="006C2095"/>
    <w:rsid w:val="006C21C4"/>
    <w:rsid w:val="006C24C5"/>
    <w:rsid w:val="006C24DE"/>
    <w:rsid w:val="006C254B"/>
    <w:rsid w:val="006C27E8"/>
    <w:rsid w:val="006C2A36"/>
    <w:rsid w:val="006C2C8D"/>
    <w:rsid w:val="006C2D47"/>
    <w:rsid w:val="006C2FF7"/>
    <w:rsid w:val="006C31EA"/>
    <w:rsid w:val="006C35A3"/>
    <w:rsid w:val="006C39CB"/>
    <w:rsid w:val="006C3A75"/>
    <w:rsid w:val="006C3EA1"/>
    <w:rsid w:val="006C4056"/>
    <w:rsid w:val="006C4235"/>
    <w:rsid w:val="006C4392"/>
    <w:rsid w:val="006C4436"/>
    <w:rsid w:val="006C4E82"/>
    <w:rsid w:val="006C4FE1"/>
    <w:rsid w:val="006C554B"/>
    <w:rsid w:val="006C57F9"/>
    <w:rsid w:val="006C5801"/>
    <w:rsid w:val="006C5A8A"/>
    <w:rsid w:val="006C5B09"/>
    <w:rsid w:val="006C5F00"/>
    <w:rsid w:val="006C5FC7"/>
    <w:rsid w:val="006C6247"/>
    <w:rsid w:val="006C64A6"/>
    <w:rsid w:val="006C67A0"/>
    <w:rsid w:val="006C69B9"/>
    <w:rsid w:val="006C6D2F"/>
    <w:rsid w:val="006C71B6"/>
    <w:rsid w:val="006C737F"/>
    <w:rsid w:val="006C7598"/>
    <w:rsid w:val="006C75A9"/>
    <w:rsid w:val="006C7907"/>
    <w:rsid w:val="006C7DB7"/>
    <w:rsid w:val="006D0069"/>
    <w:rsid w:val="006D052A"/>
    <w:rsid w:val="006D057F"/>
    <w:rsid w:val="006D0617"/>
    <w:rsid w:val="006D0722"/>
    <w:rsid w:val="006D0B7A"/>
    <w:rsid w:val="006D0D89"/>
    <w:rsid w:val="006D1102"/>
    <w:rsid w:val="006D1674"/>
    <w:rsid w:val="006D18A8"/>
    <w:rsid w:val="006D1C2E"/>
    <w:rsid w:val="006D1EF5"/>
    <w:rsid w:val="006D224E"/>
    <w:rsid w:val="006D2392"/>
    <w:rsid w:val="006D2B51"/>
    <w:rsid w:val="006D2C5E"/>
    <w:rsid w:val="006D2E65"/>
    <w:rsid w:val="006D2F7C"/>
    <w:rsid w:val="006D3025"/>
    <w:rsid w:val="006D3067"/>
    <w:rsid w:val="006D33BF"/>
    <w:rsid w:val="006D35A1"/>
    <w:rsid w:val="006D3BB4"/>
    <w:rsid w:val="006D3E7E"/>
    <w:rsid w:val="006D3EE9"/>
    <w:rsid w:val="006D41C7"/>
    <w:rsid w:val="006D4784"/>
    <w:rsid w:val="006D4981"/>
    <w:rsid w:val="006D4C24"/>
    <w:rsid w:val="006D4D5F"/>
    <w:rsid w:val="006D5797"/>
    <w:rsid w:val="006D6014"/>
    <w:rsid w:val="006D620C"/>
    <w:rsid w:val="006D629A"/>
    <w:rsid w:val="006D6472"/>
    <w:rsid w:val="006D680D"/>
    <w:rsid w:val="006D68C4"/>
    <w:rsid w:val="006D690E"/>
    <w:rsid w:val="006D6E6B"/>
    <w:rsid w:val="006D6F18"/>
    <w:rsid w:val="006D739C"/>
    <w:rsid w:val="006D73A4"/>
    <w:rsid w:val="006D748C"/>
    <w:rsid w:val="006D74C9"/>
    <w:rsid w:val="006D76FD"/>
    <w:rsid w:val="006D7865"/>
    <w:rsid w:val="006D79B5"/>
    <w:rsid w:val="006D7C5E"/>
    <w:rsid w:val="006E0048"/>
    <w:rsid w:val="006E01E8"/>
    <w:rsid w:val="006E0252"/>
    <w:rsid w:val="006E02E6"/>
    <w:rsid w:val="006E04FA"/>
    <w:rsid w:val="006E076F"/>
    <w:rsid w:val="006E099E"/>
    <w:rsid w:val="006E0B7F"/>
    <w:rsid w:val="006E0EFB"/>
    <w:rsid w:val="006E1183"/>
    <w:rsid w:val="006E11E8"/>
    <w:rsid w:val="006E141B"/>
    <w:rsid w:val="006E1464"/>
    <w:rsid w:val="006E1657"/>
    <w:rsid w:val="006E1855"/>
    <w:rsid w:val="006E1A2B"/>
    <w:rsid w:val="006E1D31"/>
    <w:rsid w:val="006E1E8E"/>
    <w:rsid w:val="006E1FAB"/>
    <w:rsid w:val="006E2087"/>
    <w:rsid w:val="006E209A"/>
    <w:rsid w:val="006E20AC"/>
    <w:rsid w:val="006E264B"/>
    <w:rsid w:val="006E2E36"/>
    <w:rsid w:val="006E3088"/>
    <w:rsid w:val="006E3401"/>
    <w:rsid w:val="006E34B0"/>
    <w:rsid w:val="006E34E9"/>
    <w:rsid w:val="006E38FF"/>
    <w:rsid w:val="006E3BD3"/>
    <w:rsid w:val="006E3CA7"/>
    <w:rsid w:val="006E3F86"/>
    <w:rsid w:val="006E43CF"/>
    <w:rsid w:val="006E46CD"/>
    <w:rsid w:val="006E46CE"/>
    <w:rsid w:val="006E46D4"/>
    <w:rsid w:val="006E4718"/>
    <w:rsid w:val="006E4812"/>
    <w:rsid w:val="006E49EA"/>
    <w:rsid w:val="006E4A5A"/>
    <w:rsid w:val="006E537D"/>
    <w:rsid w:val="006E545F"/>
    <w:rsid w:val="006E5544"/>
    <w:rsid w:val="006E57B8"/>
    <w:rsid w:val="006E5DF7"/>
    <w:rsid w:val="006E5E52"/>
    <w:rsid w:val="006E5F86"/>
    <w:rsid w:val="006E61EB"/>
    <w:rsid w:val="006E65C2"/>
    <w:rsid w:val="006E6959"/>
    <w:rsid w:val="006E6BAC"/>
    <w:rsid w:val="006E6CA5"/>
    <w:rsid w:val="006E6E34"/>
    <w:rsid w:val="006E700E"/>
    <w:rsid w:val="006E7165"/>
    <w:rsid w:val="006E72AD"/>
    <w:rsid w:val="006E75A1"/>
    <w:rsid w:val="006E7A9A"/>
    <w:rsid w:val="006E7B91"/>
    <w:rsid w:val="006E7BA1"/>
    <w:rsid w:val="006E7F5E"/>
    <w:rsid w:val="006F00DB"/>
    <w:rsid w:val="006F01D1"/>
    <w:rsid w:val="006F04AD"/>
    <w:rsid w:val="006F0508"/>
    <w:rsid w:val="006F09A0"/>
    <w:rsid w:val="006F0A0D"/>
    <w:rsid w:val="006F0AA8"/>
    <w:rsid w:val="006F0AFB"/>
    <w:rsid w:val="006F0BA7"/>
    <w:rsid w:val="006F0D23"/>
    <w:rsid w:val="006F1164"/>
    <w:rsid w:val="006F14CE"/>
    <w:rsid w:val="006F16B1"/>
    <w:rsid w:val="006F16B3"/>
    <w:rsid w:val="006F2666"/>
    <w:rsid w:val="006F27B6"/>
    <w:rsid w:val="006F27BB"/>
    <w:rsid w:val="006F29E6"/>
    <w:rsid w:val="006F2CCD"/>
    <w:rsid w:val="006F2CE6"/>
    <w:rsid w:val="006F3A5E"/>
    <w:rsid w:val="006F3E82"/>
    <w:rsid w:val="006F416B"/>
    <w:rsid w:val="006F4259"/>
    <w:rsid w:val="006F4298"/>
    <w:rsid w:val="006F481B"/>
    <w:rsid w:val="006F4918"/>
    <w:rsid w:val="006F4ACD"/>
    <w:rsid w:val="006F50C3"/>
    <w:rsid w:val="006F55FA"/>
    <w:rsid w:val="006F580C"/>
    <w:rsid w:val="006F5CA4"/>
    <w:rsid w:val="006F5D72"/>
    <w:rsid w:val="006F5F78"/>
    <w:rsid w:val="006F6194"/>
    <w:rsid w:val="006F6362"/>
    <w:rsid w:val="006F65D9"/>
    <w:rsid w:val="006F67B1"/>
    <w:rsid w:val="006F6F0B"/>
    <w:rsid w:val="006F7064"/>
    <w:rsid w:val="006F72F7"/>
    <w:rsid w:val="006F753E"/>
    <w:rsid w:val="006F789A"/>
    <w:rsid w:val="006F7A3E"/>
    <w:rsid w:val="006F7AA9"/>
    <w:rsid w:val="006F7AF7"/>
    <w:rsid w:val="006F7C06"/>
    <w:rsid w:val="006F7D82"/>
    <w:rsid w:val="006F7EFD"/>
    <w:rsid w:val="0070020D"/>
    <w:rsid w:val="00700314"/>
    <w:rsid w:val="007004C6"/>
    <w:rsid w:val="00700680"/>
    <w:rsid w:val="007006A7"/>
    <w:rsid w:val="007008A9"/>
    <w:rsid w:val="00700BE9"/>
    <w:rsid w:val="00700C77"/>
    <w:rsid w:val="00700E2F"/>
    <w:rsid w:val="00700FF9"/>
    <w:rsid w:val="007011BB"/>
    <w:rsid w:val="007014DD"/>
    <w:rsid w:val="0070152C"/>
    <w:rsid w:val="00701A86"/>
    <w:rsid w:val="00701CD3"/>
    <w:rsid w:val="00701D1D"/>
    <w:rsid w:val="00702011"/>
    <w:rsid w:val="00702080"/>
    <w:rsid w:val="00702765"/>
    <w:rsid w:val="007027DC"/>
    <w:rsid w:val="007027EF"/>
    <w:rsid w:val="007029AD"/>
    <w:rsid w:val="00702A07"/>
    <w:rsid w:val="00702AFD"/>
    <w:rsid w:val="00702B54"/>
    <w:rsid w:val="00702B67"/>
    <w:rsid w:val="00702D0D"/>
    <w:rsid w:val="00703054"/>
    <w:rsid w:val="00703184"/>
    <w:rsid w:val="00703860"/>
    <w:rsid w:val="007038AE"/>
    <w:rsid w:val="00703952"/>
    <w:rsid w:val="007039D6"/>
    <w:rsid w:val="007040F4"/>
    <w:rsid w:val="0070441A"/>
    <w:rsid w:val="007049AC"/>
    <w:rsid w:val="00704D6C"/>
    <w:rsid w:val="0070561B"/>
    <w:rsid w:val="00705A61"/>
    <w:rsid w:val="00705D63"/>
    <w:rsid w:val="00706399"/>
    <w:rsid w:val="00706513"/>
    <w:rsid w:val="00706864"/>
    <w:rsid w:val="00706A74"/>
    <w:rsid w:val="00706A9E"/>
    <w:rsid w:val="00706E15"/>
    <w:rsid w:val="00706EDC"/>
    <w:rsid w:val="00707210"/>
    <w:rsid w:val="00707430"/>
    <w:rsid w:val="0070752C"/>
    <w:rsid w:val="0070759C"/>
    <w:rsid w:val="00707684"/>
    <w:rsid w:val="00707ABF"/>
    <w:rsid w:val="00707BE3"/>
    <w:rsid w:val="00707DEC"/>
    <w:rsid w:val="00710072"/>
    <w:rsid w:val="007101F8"/>
    <w:rsid w:val="007102BF"/>
    <w:rsid w:val="0071051E"/>
    <w:rsid w:val="00710A3C"/>
    <w:rsid w:val="00710BDB"/>
    <w:rsid w:val="00710C4A"/>
    <w:rsid w:val="00710CCE"/>
    <w:rsid w:val="00710E66"/>
    <w:rsid w:val="00710F25"/>
    <w:rsid w:val="00711138"/>
    <w:rsid w:val="00711355"/>
    <w:rsid w:val="0071137D"/>
    <w:rsid w:val="00711904"/>
    <w:rsid w:val="00711C69"/>
    <w:rsid w:val="00711F1F"/>
    <w:rsid w:val="007122EC"/>
    <w:rsid w:val="00712389"/>
    <w:rsid w:val="00712A2F"/>
    <w:rsid w:val="00712BF6"/>
    <w:rsid w:val="00712D2F"/>
    <w:rsid w:val="00713767"/>
    <w:rsid w:val="007139B4"/>
    <w:rsid w:val="00713CB7"/>
    <w:rsid w:val="00713FEA"/>
    <w:rsid w:val="00714512"/>
    <w:rsid w:val="00714755"/>
    <w:rsid w:val="00714826"/>
    <w:rsid w:val="00714869"/>
    <w:rsid w:val="00714BEC"/>
    <w:rsid w:val="00715006"/>
    <w:rsid w:val="00715423"/>
    <w:rsid w:val="007156F0"/>
    <w:rsid w:val="0071577F"/>
    <w:rsid w:val="007157E7"/>
    <w:rsid w:val="0071599E"/>
    <w:rsid w:val="00715F90"/>
    <w:rsid w:val="007169EF"/>
    <w:rsid w:val="00716A28"/>
    <w:rsid w:val="00716A74"/>
    <w:rsid w:val="00716CFB"/>
    <w:rsid w:val="00716D83"/>
    <w:rsid w:val="00716EE2"/>
    <w:rsid w:val="0071708C"/>
    <w:rsid w:val="007172E9"/>
    <w:rsid w:val="00717504"/>
    <w:rsid w:val="0071752E"/>
    <w:rsid w:val="007175A2"/>
    <w:rsid w:val="007176D3"/>
    <w:rsid w:val="0071770D"/>
    <w:rsid w:val="0071786D"/>
    <w:rsid w:val="00717C23"/>
    <w:rsid w:val="00717CDD"/>
    <w:rsid w:val="0072003F"/>
    <w:rsid w:val="00720493"/>
    <w:rsid w:val="00720F4F"/>
    <w:rsid w:val="00721426"/>
    <w:rsid w:val="007214C7"/>
    <w:rsid w:val="00721B00"/>
    <w:rsid w:val="00721CE8"/>
    <w:rsid w:val="00721D14"/>
    <w:rsid w:val="00722829"/>
    <w:rsid w:val="00722831"/>
    <w:rsid w:val="00722C15"/>
    <w:rsid w:val="00722DFB"/>
    <w:rsid w:val="0072312F"/>
    <w:rsid w:val="007232C1"/>
    <w:rsid w:val="00723539"/>
    <w:rsid w:val="007235C7"/>
    <w:rsid w:val="00723B5D"/>
    <w:rsid w:val="00723E38"/>
    <w:rsid w:val="00724163"/>
    <w:rsid w:val="007246BF"/>
    <w:rsid w:val="00724B6E"/>
    <w:rsid w:val="00724C58"/>
    <w:rsid w:val="00724D25"/>
    <w:rsid w:val="00724F6B"/>
    <w:rsid w:val="00724FA5"/>
    <w:rsid w:val="007250A5"/>
    <w:rsid w:val="007252D0"/>
    <w:rsid w:val="00725535"/>
    <w:rsid w:val="0072579F"/>
    <w:rsid w:val="00725D11"/>
    <w:rsid w:val="00726030"/>
    <w:rsid w:val="00726193"/>
    <w:rsid w:val="007264FC"/>
    <w:rsid w:val="00726A0B"/>
    <w:rsid w:val="00726CD7"/>
    <w:rsid w:val="00726E99"/>
    <w:rsid w:val="0072702C"/>
    <w:rsid w:val="0072723B"/>
    <w:rsid w:val="0072727A"/>
    <w:rsid w:val="007273EA"/>
    <w:rsid w:val="00727648"/>
    <w:rsid w:val="00727701"/>
    <w:rsid w:val="007277AA"/>
    <w:rsid w:val="00727BDB"/>
    <w:rsid w:val="00727ED4"/>
    <w:rsid w:val="00730307"/>
    <w:rsid w:val="0073033A"/>
    <w:rsid w:val="007303E1"/>
    <w:rsid w:val="00730518"/>
    <w:rsid w:val="007307DF"/>
    <w:rsid w:val="00730CCD"/>
    <w:rsid w:val="00730E6E"/>
    <w:rsid w:val="0073158C"/>
    <w:rsid w:val="00731666"/>
    <w:rsid w:val="00731B75"/>
    <w:rsid w:val="00731D02"/>
    <w:rsid w:val="00732275"/>
    <w:rsid w:val="0073232F"/>
    <w:rsid w:val="0073244E"/>
    <w:rsid w:val="00732505"/>
    <w:rsid w:val="0073256A"/>
    <w:rsid w:val="007326C3"/>
    <w:rsid w:val="0073288A"/>
    <w:rsid w:val="00732AAA"/>
    <w:rsid w:val="00732AB7"/>
    <w:rsid w:val="00732E22"/>
    <w:rsid w:val="007330D3"/>
    <w:rsid w:val="007331C7"/>
    <w:rsid w:val="007333D3"/>
    <w:rsid w:val="00733451"/>
    <w:rsid w:val="0073355C"/>
    <w:rsid w:val="007335DD"/>
    <w:rsid w:val="007337F2"/>
    <w:rsid w:val="00733937"/>
    <w:rsid w:val="00733990"/>
    <w:rsid w:val="00733C68"/>
    <w:rsid w:val="00733EC8"/>
    <w:rsid w:val="007340DF"/>
    <w:rsid w:val="007341F7"/>
    <w:rsid w:val="00734369"/>
    <w:rsid w:val="007344A2"/>
    <w:rsid w:val="0073463F"/>
    <w:rsid w:val="00734BAC"/>
    <w:rsid w:val="00734C10"/>
    <w:rsid w:val="00734CC4"/>
    <w:rsid w:val="00734CD8"/>
    <w:rsid w:val="00734E7D"/>
    <w:rsid w:val="0073504C"/>
    <w:rsid w:val="00735412"/>
    <w:rsid w:val="007354CB"/>
    <w:rsid w:val="0073569F"/>
    <w:rsid w:val="007357FF"/>
    <w:rsid w:val="00735C1C"/>
    <w:rsid w:val="00735D28"/>
    <w:rsid w:val="00735E58"/>
    <w:rsid w:val="00736227"/>
    <w:rsid w:val="00736340"/>
    <w:rsid w:val="00736595"/>
    <w:rsid w:val="00736773"/>
    <w:rsid w:val="0073682F"/>
    <w:rsid w:val="00736854"/>
    <w:rsid w:val="00736D13"/>
    <w:rsid w:val="00736ED3"/>
    <w:rsid w:val="007375C6"/>
    <w:rsid w:val="007376CF"/>
    <w:rsid w:val="00737B2A"/>
    <w:rsid w:val="0074027B"/>
    <w:rsid w:val="0074033F"/>
    <w:rsid w:val="007403FF"/>
    <w:rsid w:val="00740532"/>
    <w:rsid w:val="007407D4"/>
    <w:rsid w:val="00740966"/>
    <w:rsid w:val="007409B8"/>
    <w:rsid w:val="00741128"/>
    <w:rsid w:val="007413A0"/>
    <w:rsid w:val="0074142D"/>
    <w:rsid w:val="00741636"/>
    <w:rsid w:val="00741ABF"/>
    <w:rsid w:val="00741DA1"/>
    <w:rsid w:val="00741F66"/>
    <w:rsid w:val="00741FD8"/>
    <w:rsid w:val="007420DC"/>
    <w:rsid w:val="007420F2"/>
    <w:rsid w:val="00742151"/>
    <w:rsid w:val="0074216E"/>
    <w:rsid w:val="007425A1"/>
    <w:rsid w:val="00742609"/>
    <w:rsid w:val="00742663"/>
    <w:rsid w:val="007426AD"/>
    <w:rsid w:val="00742A6E"/>
    <w:rsid w:val="00742D65"/>
    <w:rsid w:val="00743267"/>
    <w:rsid w:val="007432C6"/>
    <w:rsid w:val="007432D0"/>
    <w:rsid w:val="0074338E"/>
    <w:rsid w:val="00743C25"/>
    <w:rsid w:val="00743C5E"/>
    <w:rsid w:val="00743C7C"/>
    <w:rsid w:val="00743F95"/>
    <w:rsid w:val="00744324"/>
    <w:rsid w:val="0074471C"/>
    <w:rsid w:val="00744B0E"/>
    <w:rsid w:val="00744BC7"/>
    <w:rsid w:val="00745320"/>
    <w:rsid w:val="007454DB"/>
    <w:rsid w:val="007455A6"/>
    <w:rsid w:val="00745A7C"/>
    <w:rsid w:val="00745AEE"/>
    <w:rsid w:val="00745B65"/>
    <w:rsid w:val="00745E1E"/>
    <w:rsid w:val="00746026"/>
    <w:rsid w:val="0074608C"/>
    <w:rsid w:val="007460F1"/>
    <w:rsid w:val="007462D5"/>
    <w:rsid w:val="007464A0"/>
    <w:rsid w:val="007467DE"/>
    <w:rsid w:val="00746976"/>
    <w:rsid w:val="00746DE5"/>
    <w:rsid w:val="0074707B"/>
    <w:rsid w:val="00747462"/>
    <w:rsid w:val="00747515"/>
    <w:rsid w:val="00747C39"/>
    <w:rsid w:val="00747D01"/>
    <w:rsid w:val="00747D39"/>
    <w:rsid w:val="0074B009"/>
    <w:rsid w:val="0075011A"/>
    <w:rsid w:val="00750232"/>
    <w:rsid w:val="00750252"/>
    <w:rsid w:val="00750446"/>
    <w:rsid w:val="0075063C"/>
    <w:rsid w:val="00750713"/>
    <w:rsid w:val="00750A1E"/>
    <w:rsid w:val="00750AD8"/>
    <w:rsid w:val="00750D5C"/>
    <w:rsid w:val="00750DEC"/>
    <w:rsid w:val="00750E48"/>
    <w:rsid w:val="00750EE9"/>
    <w:rsid w:val="007510C8"/>
    <w:rsid w:val="007512A0"/>
    <w:rsid w:val="007512AF"/>
    <w:rsid w:val="007513AC"/>
    <w:rsid w:val="00751465"/>
    <w:rsid w:val="00751494"/>
    <w:rsid w:val="0075157D"/>
    <w:rsid w:val="0075165C"/>
    <w:rsid w:val="00751DE4"/>
    <w:rsid w:val="00751F3E"/>
    <w:rsid w:val="00752055"/>
    <w:rsid w:val="0075209C"/>
    <w:rsid w:val="007523DB"/>
    <w:rsid w:val="007524CE"/>
    <w:rsid w:val="00752ED2"/>
    <w:rsid w:val="00753836"/>
    <w:rsid w:val="00753CD0"/>
    <w:rsid w:val="00753F29"/>
    <w:rsid w:val="0075411C"/>
    <w:rsid w:val="007542ED"/>
    <w:rsid w:val="00754349"/>
    <w:rsid w:val="00754355"/>
    <w:rsid w:val="00754518"/>
    <w:rsid w:val="007552D0"/>
    <w:rsid w:val="007555EB"/>
    <w:rsid w:val="0075583B"/>
    <w:rsid w:val="007559F2"/>
    <w:rsid w:val="00755AC1"/>
    <w:rsid w:val="00755C82"/>
    <w:rsid w:val="00755EEC"/>
    <w:rsid w:val="007561C0"/>
    <w:rsid w:val="00756225"/>
    <w:rsid w:val="007568C6"/>
    <w:rsid w:val="00756A35"/>
    <w:rsid w:val="00756A47"/>
    <w:rsid w:val="00756C42"/>
    <w:rsid w:val="00756D60"/>
    <w:rsid w:val="00756FAF"/>
    <w:rsid w:val="007578D6"/>
    <w:rsid w:val="007578E1"/>
    <w:rsid w:val="00757B06"/>
    <w:rsid w:val="00757D0C"/>
    <w:rsid w:val="00757FAA"/>
    <w:rsid w:val="007602E5"/>
    <w:rsid w:val="007602ED"/>
    <w:rsid w:val="007606D5"/>
    <w:rsid w:val="00760969"/>
    <w:rsid w:val="00760C65"/>
    <w:rsid w:val="00760C97"/>
    <w:rsid w:val="007610B9"/>
    <w:rsid w:val="007610FE"/>
    <w:rsid w:val="00761141"/>
    <w:rsid w:val="00761678"/>
    <w:rsid w:val="00761BD1"/>
    <w:rsid w:val="00761C21"/>
    <w:rsid w:val="00761C51"/>
    <w:rsid w:val="00762723"/>
    <w:rsid w:val="00762C0C"/>
    <w:rsid w:val="007630C2"/>
    <w:rsid w:val="0076321B"/>
    <w:rsid w:val="007633F9"/>
    <w:rsid w:val="00763492"/>
    <w:rsid w:val="007635A1"/>
    <w:rsid w:val="0076366A"/>
    <w:rsid w:val="00763693"/>
    <w:rsid w:val="00763A48"/>
    <w:rsid w:val="00763DF3"/>
    <w:rsid w:val="00764347"/>
    <w:rsid w:val="0076446D"/>
    <w:rsid w:val="007647A2"/>
    <w:rsid w:val="00764EF4"/>
    <w:rsid w:val="00765003"/>
    <w:rsid w:val="00765147"/>
    <w:rsid w:val="0076546C"/>
    <w:rsid w:val="00765624"/>
    <w:rsid w:val="00765664"/>
    <w:rsid w:val="0076566A"/>
    <w:rsid w:val="0076587B"/>
    <w:rsid w:val="00765A01"/>
    <w:rsid w:val="00765B10"/>
    <w:rsid w:val="00765EDC"/>
    <w:rsid w:val="00766313"/>
    <w:rsid w:val="00766803"/>
    <w:rsid w:val="0076681B"/>
    <w:rsid w:val="00766A4B"/>
    <w:rsid w:val="00766BC6"/>
    <w:rsid w:val="00766C99"/>
    <w:rsid w:val="00766DDB"/>
    <w:rsid w:val="00766EAE"/>
    <w:rsid w:val="00766FBD"/>
    <w:rsid w:val="00766FDE"/>
    <w:rsid w:val="00767536"/>
    <w:rsid w:val="007677B6"/>
    <w:rsid w:val="007678F2"/>
    <w:rsid w:val="00767B2C"/>
    <w:rsid w:val="00767C60"/>
    <w:rsid w:val="00767CF0"/>
    <w:rsid w:val="00770004"/>
    <w:rsid w:val="00770356"/>
    <w:rsid w:val="007704FF"/>
    <w:rsid w:val="00770E94"/>
    <w:rsid w:val="0077130D"/>
    <w:rsid w:val="0077173C"/>
    <w:rsid w:val="00771882"/>
    <w:rsid w:val="00771906"/>
    <w:rsid w:val="00771B26"/>
    <w:rsid w:val="00771C92"/>
    <w:rsid w:val="00771CD6"/>
    <w:rsid w:val="00771E29"/>
    <w:rsid w:val="00772235"/>
    <w:rsid w:val="0077270E"/>
    <w:rsid w:val="00772954"/>
    <w:rsid w:val="00772C5B"/>
    <w:rsid w:val="007730CC"/>
    <w:rsid w:val="007733A1"/>
    <w:rsid w:val="00773AB9"/>
    <w:rsid w:val="00773B54"/>
    <w:rsid w:val="00773B7C"/>
    <w:rsid w:val="00773E40"/>
    <w:rsid w:val="00774184"/>
    <w:rsid w:val="007741E5"/>
    <w:rsid w:val="0077430E"/>
    <w:rsid w:val="0077443F"/>
    <w:rsid w:val="007747A1"/>
    <w:rsid w:val="0077482F"/>
    <w:rsid w:val="0077490A"/>
    <w:rsid w:val="00774BDC"/>
    <w:rsid w:val="00774CF9"/>
    <w:rsid w:val="00774E04"/>
    <w:rsid w:val="00774E7D"/>
    <w:rsid w:val="00774F87"/>
    <w:rsid w:val="00775047"/>
    <w:rsid w:val="0077548C"/>
    <w:rsid w:val="0077557F"/>
    <w:rsid w:val="00775B9A"/>
    <w:rsid w:val="00775DD9"/>
    <w:rsid w:val="00775E1F"/>
    <w:rsid w:val="00776016"/>
    <w:rsid w:val="007760DB"/>
    <w:rsid w:val="00776165"/>
    <w:rsid w:val="007762A7"/>
    <w:rsid w:val="00776614"/>
    <w:rsid w:val="00776B37"/>
    <w:rsid w:val="00776C36"/>
    <w:rsid w:val="00777251"/>
    <w:rsid w:val="007772E0"/>
    <w:rsid w:val="00777513"/>
    <w:rsid w:val="00777736"/>
    <w:rsid w:val="0077782D"/>
    <w:rsid w:val="00777A05"/>
    <w:rsid w:val="00777D92"/>
    <w:rsid w:val="00777DFA"/>
    <w:rsid w:val="0077A1A6"/>
    <w:rsid w:val="0078006B"/>
    <w:rsid w:val="0078043C"/>
    <w:rsid w:val="007804D3"/>
    <w:rsid w:val="00780540"/>
    <w:rsid w:val="0078055E"/>
    <w:rsid w:val="00780A39"/>
    <w:rsid w:val="00780E3F"/>
    <w:rsid w:val="00780F0F"/>
    <w:rsid w:val="00780F5A"/>
    <w:rsid w:val="00781222"/>
    <w:rsid w:val="007812FA"/>
    <w:rsid w:val="0078132C"/>
    <w:rsid w:val="00781392"/>
    <w:rsid w:val="0078145F"/>
    <w:rsid w:val="0078192F"/>
    <w:rsid w:val="0078194C"/>
    <w:rsid w:val="00781997"/>
    <w:rsid w:val="00781EFD"/>
    <w:rsid w:val="007821FE"/>
    <w:rsid w:val="007829F8"/>
    <w:rsid w:val="00782B15"/>
    <w:rsid w:val="00782ECB"/>
    <w:rsid w:val="007830BF"/>
    <w:rsid w:val="00783214"/>
    <w:rsid w:val="00783498"/>
    <w:rsid w:val="0078369E"/>
    <w:rsid w:val="0078383F"/>
    <w:rsid w:val="0078387A"/>
    <w:rsid w:val="00783A1F"/>
    <w:rsid w:val="00783B28"/>
    <w:rsid w:val="00783CCB"/>
    <w:rsid w:val="007841BE"/>
    <w:rsid w:val="00784805"/>
    <w:rsid w:val="00784A06"/>
    <w:rsid w:val="007853BA"/>
    <w:rsid w:val="00785494"/>
    <w:rsid w:val="00785751"/>
    <w:rsid w:val="007857AD"/>
    <w:rsid w:val="00785A9A"/>
    <w:rsid w:val="00785C60"/>
    <w:rsid w:val="00785D76"/>
    <w:rsid w:val="007861B1"/>
    <w:rsid w:val="007861C6"/>
    <w:rsid w:val="00786469"/>
    <w:rsid w:val="0078661F"/>
    <w:rsid w:val="00786716"/>
    <w:rsid w:val="0078691F"/>
    <w:rsid w:val="007869F3"/>
    <w:rsid w:val="00786B21"/>
    <w:rsid w:val="00786C7E"/>
    <w:rsid w:val="00786D1B"/>
    <w:rsid w:val="00787852"/>
    <w:rsid w:val="00787B9F"/>
    <w:rsid w:val="00787C07"/>
    <w:rsid w:val="00787C38"/>
    <w:rsid w:val="00787D0C"/>
    <w:rsid w:val="00787F3C"/>
    <w:rsid w:val="00787FC5"/>
    <w:rsid w:val="0078B8E9"/>
    <w:rsid w:val="007903C0"/>
    <w:rsid w:val="0079046E"/>
    <w:rsid w:val="00790A75"/>
    <w:rsid w:val="00790F7D"/>
    <w:rsid w:val="0079129A"/>
    <w:rsid w:val="007914E7"/>
    <w:rsid w:val="007916A1"/>
    <w:rsid w:val="007918ED"/>
    <w:rsid w:val="00791AA4"/>
    <w:rsid w:val="00791DB8"/>
    <w:rsid w:val="00791E42"/>
    <w:rsid w:val="00791E81"/>
    <w:rsid w:val="00791F85"/>
    <w:rsid w:val="00792135"/>
    <w:rsid w:val="0079226E"/>
    <w:rsid w:val="007924CE"/>
    <w:rsid w:val="007925BA"/>
    <w:rsid w:val="007927E7"/>
    <w:rsid w:val="007929E4"/>
    <w:rsid w:val="00792E37"/>
    <w:rsid w:val="00792F8E"/>
    <w:rsid w:val="007932EF"/>
    <w:rsid w:val="0079367D"/>
    <w:rsid w:val="007936FE"/>
    <w:rsid w:val="00793A45"/>
    <w:rsid w:val="00793BA1"/>
    <w:rsid w:val="007944F5"/>
    <w:rsid w:val="007945CC"/>
    <w:rsid w:val="00794711"/>
    <w:rsid w:val="00794748"/>
    <w:rsid w:val="00794BC7"/>
    <w:rsid w:val="00794C3E"/>
    <w:rsid w:val="00794D7C"/>
    <w:rsid w:val="00794E4F"/>
    <w:rsid w:val="00794E8A"/>
    <w:rsid w:val="00794EC3"/>
    <w:rsid w:val="007952F3"/>
    <w:rsid w:val="007954DA"/>
    <w:rsid w:val="007955EE"/>
    <w:rsid w:val="00795ED5"/>
    <w:rsid w:val="00795EF7"/>
    <w:rsid w:val="00796126"/>
    <w:rsid w:val="0079633D"/>
    <w:rsid w:val="007966F5"/>
    <w:rsid w:val="007967D9"/>
    <w:rsid w:val="00796C6F"/>
    <w:rsid w:val="00796D87"/>
    <w:rsid w:val="0079700D"/>
    <w:rsid w:val="007970E0"/>
    <w:rsid w:val="00797109"/>
    <w:rsid w:val="0079735A"/>
    <w:rsid w:val="00797368"/>
    <w:rsid w:val="007977F1"/>
    <w:rsid w:val="007978DC"/>
    <w:rsid w:val="00797B83"/>
    <w:rsid w:val="007A03F3"/>
    <w:rsid w:val="007A0512"/>
    <w:rsid w:val="007A06E1"/>
    <w:rsid w:val="007A0891"/>
    <w:rsid w:val="007A0AAD"/>
    <w:rsid w:val="007A0AC6"/>
    <w:rsid w:val="007A0ACF"/>
    <w:rsid w:val="007A0CDC"/>
    <w:rsid w:val="007A0F77"/>
    <w:rsid w:val="007A1022"/>
    <w:rsid w:val="007A128B"/>
    <w:rsid w:val="007A1452"/>
    <w:rsid w:val="007A146A"/>
    <w:rsid w:val="007A1487"/>
    <w:rsid w:val="007A18DA"/>
    <w:rsid w:val="007A197F"/>
    <w:rsid w:val="007A1A87"/>
    <w:rsid w:val="007A1E58"/>
    <w:rsid w:val="007A2267"/>
    <w:rsid w:val="007A290E"/>
    <w:rsid w:val="007A2A51"/>
    <w:rsid w:val="007A308E"/>
    <w:rsid w:val="007A32E8"/>
    <w:rsid w:val="007A3429"/>
    <w:rsid w:val="007A3650"/>
    <w:rsid w:val="007A36B4"/>
    <w:rsid w:val="007A36C2"/>
    <w:rsid w:val="007A3847"/>
    <w:rsid w:val="007A3AA3"/>
    <w:rsid w:val="007A3B10"/>
    <w:rsid w:val="007A3DE0"/>
    <w:rsid w:val="007A3EDC"/>
    <w:rsid w:val="007A425B"/>
    <w:rsid w:val="007A4452"/>
    <w:rsid w:val="007A4574"/>
    <w:rsid w:val="007A4713"/>
    <w:rsid w:val="007A48F4"/>
    <w:rsid w:val="007A492B"/>
    <w:rsid w:val="007A4FB4"/>
    <w:rsid w:val="007A5505"/>
    <w:rsid w:val="007A551B"/>
    <w:rsid w:val="007A55E3"/>
    <w:rsid w:val="007A5639"/>
    <w:rsid w:val="007A57DC"/>
    <w:rsid w:val="007A5922"/>
    <w:rsid w:val="007A5C52"/>
    <w:rsid w:val="007A5CC3"/>
    <w:rsid w:val="007A5D57"/>
    <w:rsid w:val="007A5DED"/>
    <w:rsid w:val="007A5FA3"/>
    <w:rsid w:val="007A6139"/>
    <w:rsid w:val="007A622D"/>
    <w:rsid w:val="007A6DD2"/>
    <w:rsid w:val="007A7201"/>
    <w:rsid w:val="007A7206"/>
    <w:rsid w:val="007A795D"/>
    <w:rsid w:val="007A7B4C"/>
    <w:rsid w:val="007A7BC5"/>
    <w:rsid w:val="007A7DBB"/>
    <w:rsid w:val="007B0265"/>
    <w:rsid w:val="007B0434"/>
    <w:rsid w:val="007B07AC"/>
    <w:rsid w:val="007B091E"/>
    <w:rsid w:val="007B0B2B"/>
    <w:rsid w:val="007B0EA8"/>
    <w:rsid w:val="007B0FBD"/>
    <w:rsid w:val="007B106D"/>
    <w:rsid w:val="007B1258"/>
    <w:rsid w:val="007B12F0"/>
    <w:rsid w:val="007B1367"/>
    <w:rsid w:val="007B1705"/>
    <w:rsid w:val="007B196E"/>
    <w:rsid w:val="007B1A11"/>
    <w:rsid w:val="007B1A52"/>
    <w:rsid w:val="007B1FB8"/>
    <w:rsid w:val="007B22ED"/>
    <w:rsid w:val="007B23C2"/>
    <w:rsid w:val="007B28F3"/>
    <w:rsid w:val="007B2EEC"/>
    <w:rsid w:val="007B39ED"/>
    <w:rsid w:val="007B3DB2"/>
    <w:rsid w:val="007B448E"/>
    <w:rsid w:val="007B4580"/>
    <w:rsid w:val="007B4A36"/>
    <w:rsid w:val="007B4BC9"/>
    <w:rsid w:val="007B4E84"/>
    <w:rsid w:val="007B4F9D"/>
    <w:rsid w:val="007B5006"/>
    <w:rsid w:val="007B515E"/>
    <w:rsid w:val="007B588D"/>
    <w:rsid w:val="007B59F1"/>
    <w:rsid w:val="007B5C9E"/>
    <w:rsid w:val="007B6055"/>
    <w:rsid w:val="007B60CF"/>
    <w:rsid w:val="007B67FC"/>
    <w:rsid w:val="007B6AFB"/>
    <w:rsid w:val="007B6B16"/>
    <w:rsid w:val="007B6F98"/>
    <w:rsid w:val="007B70E4"/>
    <w:rsid w:val="007B78EA"/>
    <w:rsid w:val="007B79EF"/>
    <w:rsid w:val="007B7B6C"/>
    <w:rsid w:val="007B7BFE"/>
    <w:rsid w:val="007B7C0F"/>
    <w:rsid w:val="007B7FDC"/>
    <w:rsid w:val="007C05B8"/>
    <w:rsid w:val="007C0675"/>
    <w:rsid w:val="007C0A49"/>
    <w:rsid w:val="007C0D76"/>
    <w:rsid w:val="007C0DE3"/>
    <w:rsid w:val="007C0E52"/>
    <w:rsid w:val="007C0F71"/>
    <w:rsid w:val="007C10A4"/>
    <w:rsid w:val="007C1105"/>
    <w:rsid w:val="007C179A"/>
    <w:rsid w:val="007C181A"/>
    <w:rsid w:val="007C1860"/>
    <w:rsid w:val="007C1AB0"/>
    <w:rsid w:val="007C1D7E"/>
    <w:rsid w:val="007C1D89"/>
    <w:rsid w:val="007C1E6A"/>
    <w:rsid w:val="007C29D7"/>
    <w:rsid w:val="007C29DD"/>
    <w:rsid w:val="007C2BD5"/>
    <w:rsid w:val="007C341C"/>
    <w:rsid w:val="007C360F"/>
    <w:rsid w:val="007C3775"/>
    <w:rsid w:val="007C38D7"/>
    <w:rsid w:val="007C3A3E"/>
    <w:rsid w:val="007C3B01"/>
    <w:rsid w:val="007C41D2"/>
    <w:rsid w:val="007C4853"/>
    <w:rsid w:val="007C4855"/>
    <w:rsid w:val="007C4C79"/>
    <w:rsid w:val="007C4D0D"/>
    <w:rsid w:val="007C4D50"/>
    <w:rsid w:val="007C4DD2"/>
    <w:rsid w:val="007C4DF8"/>
    <w:rsid w:val="007C4E55"/>
    <w:rsid w:val="007C501E"/>
    <w:rsid w:val="007C521D"/>
    <w:rsid w:val="007C53C2"/>
    <w:rsid w:val="007C5520"/>
    <w:rsid w:val="007C55B7"/>
    <w:rsid w:val="007C5C9C"/>
    <w:rsid w:val="007C5E1C"/>
    <w:rsid w:val="007C5EBB"/>
    <w:rsid w:val="007C66E2"/>
    <w:rsid w:val="007C6A43"/>
    <w:rsid w:val="007C72C2"/>
    <w:rsid w:val="007C7393"/>
    <w:rsid w:val="007C7562"/>
    <w:rsid w:val="007C764C"/>
    <w:rsid w:val="007C76F5"/>
    <w:rsid w:val="007C7794"/>
    <w:rsid w:val="007D000E"/>
    <w:rsid w:val="007D025C"/>
    <w:rsid w:val="007D02AF"/>
    <w:rsid w:val="007D0486"/>
    <w:rsid w:val="007D09B2"/>
    <w:rsid w:val="007D11D8"/>
    <w:rsid w:val="007D1296"/>
    <w:rsid w:val="007D15E0"/>
    <w:rsid w:val="007D1DDD"/>
    <w:rsid w:val="007D22FE"/>
    <w:rsid w:val="007D2477"/>
    <w:rsid w:val="007D2573"/>
    <w:rsid w:val="007D25F5"/>
    <w:rsid w:val="007D2621"/>
    <w:rsid w:val="007D26E7"/>
    <w:rsid w:val="007D2851"/>
    <w:rsid w:val="007D3449"/>
    <w:rsid w:val="007D35E8"/>
    <w:rsid w:val="007D393E"/>
    <w:rsid w:val="007D3B6E"/>
    <w:rsid w:val="007D3ECC"/>
    <w:rsid w:val="007D41DF"/>
    <w:rsid w:val="007D43A9"/>
    <w:rsid w:val="007D467B"/>
    <w:rsid w:val="007D4759"/>
    <w:rsid w:val="007D499D"/>
    <w:rsid w:val="007D4AA6"/>
    <w:rsid w:val="007D4B90"/>
    <w:rsid w:val="007D4FCC"/>
    <w:rsid w:val="007D50E0"/>
    <w:rsid w:val="007D535C"/>
    <w:rsid w:val="007D568E"/>
    <w:rsid w:val="007D58D9"/>
    <w:rsid w:val="007D5E4D"/>
    <w:rsid w:val="007D64FC"/>
    <w:rsid w:val="007D654E"/>
    <w:rsid w:val="007D6649"/>
    <w:rsid w:val="007D67C4"/>
    <w:rsid w:val="007D67E9"/>
    <w:rsid w:val="007D68C0"/>
    <w:rsid w:val="007D6A63"/>
    <w:rsid w:val="007D6B36"/>
    <w:rsid w:val="007D75E3"/>
    <w:rsid w:val="007D769C"/>
    <w:rsid w:val="007D7995"/>
    <w:rsid w:val="007D7A8C"/>
    <w:rsid w:val="007D7C26"/>
    <w:rsid w:val="007D7D4A"/>
    <w:rsid w:val="007D7FEB"/>
    <w:rsid w:val="007E03E8"/>
    <w:rsid w:val="007E09A0"/>
    <w:rsid w:val="007E0BE2"/>
    <w:rsid w:val="007E0CE4"/>
    <w:rsid w:val="007E0E41"/>
    <w:rsid w:val="007E0EDB"/>
    <w:rsid w:val="007E0EF7"/>
    <w:rsid w:val="007E159B"/>
    <w:rsid w:val="007E15C7"/>
    <w:rsid w:val="007E1EAB"/>
    <w:rsid w:val="007E203B"/>
    <w:rsid w:val="007E20EF"/>
    <w:rsid w:val="007E21C6"/>
    <w:rsid w:val="007E2379"/>
    <w:rsid w:val="007E2535"/>
    <w:rsid w:val="007E286A"/>
    <w:rsid w:val="007E2940"/>
    <w:rsid w:val="007E2AEC"/>
    <w:rsid w:val="007E2AFD"/>
    <w:rsid w:val="007E2C30"/>
    <w:rsid w:val="007E2C69"/>
    <w:rsid w:val="007E2C96"/>
    <w:rsid w:val="007E2E1B"/>
    <w:rsid w:val="007E2FB4"/>
    <w:rsid w:val="007E32EA"/>
    <w:rsid w:val="007E38E8"/>
    <w:rsid w:val="007E3BAC"/>
    <w:rsid w:val="007E3C21"/>
    <w:rsid w:val="007E3DD3"/>
    <w:rsid w:val="007E3DFC"/>
    <w:rsid w:val="007E3EB6"/>
    <w:rsid w:val="007E3F99"/>
    <w:rsid w:val="007E417E"/>
    <w:rsid w:val="007E426B"/>
    <w:rsid w:val="007E4491"/>
    <w:rsid w:val="007E4960"/>
    <w:rsid w:val="007E4A91"/>
    <w:rsid w:val="007E4A93"/>
    <w:rsid w:val="007E4C0C"/>
    <w:rsid w:val="007E4F20"/>
    <w:rsid w:val="007E53F6"/>
    <w:rsid w:val="007E57CF"/>
    <w:rsid w:val="007E5810"/>
    <w:rsid w:val="007E595A"/>
    <w:rsid w:val="007E6AC2"/>
    <w:rsid w:val="007E6B4C"/>
    <w:rsid w:val="007E6CF4"/>
    <w:rsid w:val="007E6D99"/>
    <w:rsid w:val="007E71C4"/>
    <w:rsid w:val="007E7665"/>
    <w:rsid w:val="007E7BF2"/>
    <w:rsid w:val="007E7DCE"/>
    <w:rsid w:val="007E7F73"/>
    <w:rsid w:val="007EA68D"/>
    <w:rsid w:val="007F0021"/>
    <w:rsid w:val="007F00B0"/>
    <w:rsid w:val="007F012C"/>
    <w:rsid w:val="007F064D"/>
    <w:rsid w:val="007F073F"/>
    <w:rsid w:val="007F0746"/>
    <w:rsid w:val="007F0929"/>
    <w:rsid w:val="007F0A6D"/>
    <w:rsid w:val="007F0A9C"/>
    <w:rsid w:val="007F0B50"/>
    <w:rsid w:val="007F0C9D"/>
    <w:rsid w:val="007F0FC4"/>
    <w:rsid w:val="007F100D"/>
    <w:rsid w:val="007F121E"/>
    <w:rsid w:val="007F12DA"/>
    <w:rsid w:val="007F14BA"/>
    <w:rsid w:val="007F165B"/>
    <w:rsid w:val="007F170F"/>
    <w:rsid w:val="007F1C96"/>
    <w:rsid w:val="007F1EC5"/>
    <w:rsid w:val="007F20AE"/>
    <w:rsid w:val="007F2274"/>
    <w:rsid w:val="007F2765"/>
    <w:rsid w:val="007F2795"/>
    <w:rsid w:val="007F2F13"/>
    <w:rsid w:val="007F3155"/>
    <w:rsid w:val="007F3167"/>
    <w:rsid w:val="007F334D"/>
    <w:rsid w:val="007F3379"/>
    <w:rsid w:val="007F33D6"/>
    <w:rsid w:val="007F35F8"/>
    <w:rsid w:val="007F3646"/>
    <w:rsid w:val="007F3710"/>
    <w:rsid w:val="007F3852"/>
    <w:rsid w:val="007F4329"/>
    <w:rsid w:val="007F451C"/>
    <w:rsid w:val="007F47E4"/>
    <w:rsid w:val="007F486F"/>
    <w:rsid w:val="007F4DC9"/>
    <w:rsid w:val="007F4EE9"/>
    <w:rsid w:val="007F4F59"/>
    <w:rsid w:val="007F53CC"/>
    <w:rsid w:val="007F57B1"/>
    <w:rsid w:val="007F58DF"/>
    <w:rsid w:val="007F61BC"/>
    <w:rsid w:val="007F62C8"/>
    <w:rsid w:val="007F6306"/>
    <w:rsid w:val="007F666D"/>
    <w:rsid w:val="007F66BF"/>
    <w:rsid w:val="007F66FF"/>
    <w:rsid w:val="007F6A8D"/>
    <w:rsid w:val="007F6AC9"/>
    <w:rsid w:val="007F70D5"/>
    <w:rsid w:val="007F7346"/>
    <w:rsid w:val="007F74BF"/>
    <w:rsid w:val="007F7836"/>
    <w:rsid w:val="007F7923"/>
    <w:rsid w:val="008002AA"/>
    <w:rsid w:val="00800302"/>
    <w:rsid w:val="008003C0"/>
    <w:rsid w:val="0080048E"/>
    <w:rsid w:val="00800602"/>
    <w:rsid w:val="008007B8"/>
    <w:rsid w:val="0080080F"/>
    <w:rsid w:val="00800D12"/>
    <w:rsid w:val="00800E22"/>
    <w:rsid w:val="00800EA6"/>
    <w:rsid w:val="00800F46"/>
    <w:rsid w:val="00801040"/>
    <w:rsid w:val="00801123"/>
    <w:rsid w:val="0080115B"/>
    <w:rsid w:val="008019F8"/>
    <w:rsid w:val="00801B18"/>
    <w:rsid w:val="00801B70"/>
    <w:rsid w:val="00801C97"/>
    <w:rsid w:val="00801CAA"/>
    <w:rsid w:val="00801EB3"/>
    <w:rsid w:val="00801F73"/>
    <w:rsid w:val="00802231"/>
    <w:rsid w:val="008022AE"/>
    <w:rsid w:val="0080260E"/>
    <w:rsid w:val="008027D5"/>
    <w:rsid w:val="008028B6"/>
    <w:rsid w:val="00802B0B"/>
    <w:rsid w:val="00802B92"/>
    <w:rsid w:val="00802C34"/>
    <w:rsid w:val="00802F9F"/>
    <w:rsid w:val="0080317C"/>
    <w:rsid w:val="0080333B"/>
    <w:rsid w:val="008037A3"/>
    <w:rsid w:val="0080385E"/>
    <w:rsid w:val="00803865"/>
    <w:rsid w:val="00803898"/>
    <w:rsid w:val="00803B05"/>
    <w:rsid w:val="00803EC1"/>
    <w:rsid w:val="0080429B"/>
    <w:rsid w:val="008045C7"/>
    <w:rsid w:val="008046C3"/>
    <w:rsid w:val="008048A2"/>
    <w:rsid w:val="00804A3A"/>
    <w:rsid w:val="00804B70"/>
    <w:rsid w:val="00804BF2"/>
    <w:rsid w:val="008050D1"/>
    <w:rsid w:val="008050EB"/>
    <w:rsid w:val="0080555E"/>
    <w:rsid w:val="008057CB"/>
    <w:rsid w:val="008057E8"/>
    <w:rsid w:val="00805805"/>
    <w:rsid w:val="00805DF3"/>
    <w:rsid w:val="00806839"/>
    <w:rsid w:val="008068E1"/>
    <w:rsid w:val="00806990"/>
    <w:rsid w:val="00806D31"/>
    <w:rsid w:val="00806E02"/>
    <w:rsid w:val="00806E9E"/>
    <w:rsid w:val="00806F72"/>
    <w:rsid w:val="008073A5"/>
    <w:rsid w:val="00807588"/>
    <w:rsid w:val="008077BB"/>
    <w:rsid w:val="008077FA"/>
    <w:rsid w:val="0080792B"/>
    <w:rsid w:val="00807A09"/>
    <w:rsid w:val="00807C52"/>
    <w:rsid w:val="00807C8D"/>
    <w:rsid w:val="00807D03"/>
    <w:rsid w:val="00807DDB"/>
    <w:rsid w:val="00810123"/>
    <w:rsid w:val="008104B7"/>
    <w:rsid w:val="00810913"/>
    <w:rsid w:val="00810B9D"/>
    <w:rsid w:val="00810C04"/>
    <w:rsid w:val="008111C6"/>
    <w:rsid w:val="00811563"/>
    <w:rsid w:val="008115B3"/>
    <w:rsid w:val="00811B67"/>
    <w:rsid w:val="00811CA1"/>
    <w:rsid w:val="00811FDB"/>
    <w:rsid w:val="00812125"/>
    <w:rsid w:val="00812127"/>
    <w:rsid w:val="00812279"/>
    <w:rsid w:val="00812446"/>
    <w:rsid w:val="008128D1"/>
    <w:rsid w:val="00812B63"/>
    <w:rsid w:val="00812E92"/>
    <w:rsid w:val="00812F90"/>
    <w:rsid w:val="008130D2"/>
    <w:rsid w:val="008132DF"/>
    <w:rsid w:val="0081334A"/>
    <w:rsid w:val="00813444"/>
    <w:rsid w:val="00813A2D"/>
    <w:rsid w:val="00813AD3"/>
    <w:rsid w:val="00813E5C"/>
    <w:rsid w:val="00813E82"/>
    <w:rsid w:val="00814023"/>
    <w:rsid w:val="0081428C"/>
    <w:rsid w:val="008142AE"/>
    <w:rsid w:val="00814357"/>
    <w:rsid w:val="008144C1"/>
    <w:rsid w:val="008144F3"/>
    <w:rsid w:val="008146B4"/>
    <w:rsid w:val="00814B2E"/>
    <w:rsid w:val="00815240"/>
    <w:rsid w:val="008152DF"/>
    <w:rsid w:val="0081540D"/>
    <w:rsid w:val="00815721"/>
    <w:rsid w:val="00815815"/>
    <w:rsid w:val="0081581B"/>
    <w:rsid w:val="00815BD9"/>
    <w:rsid w:val="00815FEC"/>
    <w:rsid w:val="008162DA"/>
    <w:rsid w:val="008162DD"/>
    <w:rsid w:val="00816650"/>
    <w:rsid w:val="008167D6"/>
    <w:rsid w:val="00816C3A"/>
    <w:rsid w:val="00816EF5"/>
    <w:rsid w:val="00817024"/>
    <w:rsid w:val="00817AC2"/>
    <w:rsid w:val="0081CD06"/>
    <w:rsid w:val="0082018C"/>
    <w:rsid w:val="008201D6"/>
    <w:rsid w:val="0082047D"/>
    <w:rsid w:val="00820591"/>
    <w:rsid w:val="008206E2"/>
    <w:rsid w:val="008206F1"/>
    <w:rsid w:val="00820703"/>
    <w:rsid w:val="008207C7"/>
    <w:rsid w:val="008208B8"/>
    <w:rsid w:val="00820C69"/>
    <w:rsid w:val="0082119B"/>
    <w:rsid w:val="00821495"/>
    <w:rsid w:val="00821CD0"/>
    <w:rsid w:val="00821E6F"/>
    <w:rsid w:val="00821E71"/>
    <w:rsid w:val="0082229C"/>
    <w:rsid w:val="0082229F"/>
    <w:rsid w:val="008223D7"/>
    <w:rsid w:val="008224BF"/>
    <w:rsid w:val="008226FA"/>
    <w:rsid w:val="0082287B"/>
    <w:rsid w:val="00822C41"/>
    <w:rsid w:val="0082302C"/>
    <w:rsid w:val="008231A3"/>
    <w:rsid w:val="00823C57"/>
    <w:rsid w:val="00823E21"/>
    <w:rsid w:val="008242BC"/>
    <w:rsid w:val="00824740"/>
    <w:rsid w:val="00824E3E"/>
    <w:rsid w:val="00824F32"/>
    <w:rsid w:val="00824FEE"/>
    <w:rsid w:val="008260D2"/>
    <w:rsid w:val="00826191"/>
    <w:rsid w:val="008264E1"/>
    <w:rsid w:val="008264E7"/>
    <w:rsid w:val="0082661F"/>
    <w:rsid w:val="00826658"/>
    <w:rsid w:val="008266E5"/>
    <w:rsid w:val="00826808"/>
    <w:rsid w:val="00826B91"/>
    <w:rsid w:val="00826CE8"/>
    <w:rsid w:val="00826CFB"/>
    <w:rsid w:val="00826D21"/>
    <w:rsid w:val="008271E1"/>
    <w:rsid w:val="008273E4"/>
    <w:rsid w:val="0082740E"/>
    <w:rsid w:val="0082772D"/>
    <w:rsid w:val="00827813"/>
    <w:rsid w:val="00827912"/>
    <w:rsid w:val="00827949"/>
    <w:rsid w:val="00827B83"/>
    <w:rsid w:val="00827CD9"/>
    <w:rsid w:val="00830307"/>
    <w:rsid w:val="00830468"/>
    <w:rsid w:val="00830685"/>
    <w:rsid w:val="00830F2E"/>
    <w:rsid w:val="0083114E"/>
    <w:rsid w:val="00831605"/>
    <w:rsid w:val="0083179A"/>
    <w:rsid w:val="00831BDE"/>
    <w:rsid w:val="00831FAB"/>
    <w:rsid w:val="00832089"/>
    <w:rsid w:val="008320D5"/>
    <w:rsid w:val="008321F7"/>
    <w:rsid w:val="0083246D"/>
    <w:rsid w:val="00832915"/>
    <w:rsid w:val="00832C92"/>
    <w:rsid w:val="00832D4F"/>
    <w:rsid w:val="00832F6C"/>
    <w:rsid w:val="00832FAB"/>
    <w:rsid w:val="008334DC"/>
    <w:rsid w:val="00833512"/>
    <w:rsid w:val="008335B4"/>
    <w:rsid w:val="0083384B"/>
    <w:rsid w:val="00833A48"/>
    <w:rsid w:val="00833C4A"/>
    <w:rsid w:val="00833CA6"/>
    <w:rsid w:val="00833CFE"/>
    <w:rsid w:val="00833D39"/>
    <w:rsid w:val="0083435E"/>
    <w:rsid w:val="0083471A"/>
    <w:rsid w:val="00834975"/>
    <w:rsid w:val="00834AFC"/>
    <w:rsid w:val="00834B8D"/>
    <w:rsid w:val="00834B94"/>
    <w:rsid w:val="00834F71"/>
    <w:rsid w:val="00835084"/>
    <w:rsid w:val="008353AF"/>
    <w:rsid w:val="0083544E"/>
    <w:rsid w:val="008356B0"/>
    <w:rsid w:val="008356C1"/>
    <w:rsid w:val="008357C9"/>
    <w:rsid w:val="00835FEF"/>
    <w:rsid w:val="0083637A"/>
    <w:rsid w:val="00836799"/>
    <w:rsid w:val="00836846"/>
    <w:rsid w:val="00836D7E"/>
    <w:rsid w:val="008371A2"/>
    <w:rsid w:val="0083755A"/>
    <w:rsid w:val="008375FD"/>
    <w:rsid w:val="00837C71"/>
    <w:rsid w:val="00837CC0"/>
    <w:rsid w:val="00837D40"/>
    <w:rsid w:val="00839DBC"/>
    <w:rsid w:val="00840077"/>
    <w:rsid w:val="008401B7"/>
    <w:rsid w:val="00840555"/>
    <w:rsid w:val="008406DE"/>
    <w:rsid w:val="00840911"/>
    <w:rsid w:val="008409C1"/>
    <w:rsid w:val="00841534"/>
    <w:rsid w:val="008417E3"/>
    <w:rsid w:val="00841891"/>
    <w:rsid w:val="008418AE"/>
    <w:rsid w:val="008418CE"/>
    <w:rsid w:val="008418E8"/>
    <w:rsid w:val="00841B98"/>
    <w:rsid w:val="00841C23"/>
    <w:rsid w:val="008420E0"/>
    <w:rsid w:val="0084215E"/>
    <w:rsid w:val="00842196"/>
    <w:rsid w:val="008426E0"/>
    <w:rsid w:val="008427C4"/>
    <w:rsid w:val="00842EE4"/>
    <w:rsid w:val="008434E7"/>
    <w:rsid w:val="00843755"/>
    <w:rsid w:val="00843762"/>
    <w:rsid w:val="00843C15"/>
    <w:rsid w:val="00843CB4"/>
    <w:rsid w:val="0084440A"/>
    <w:rsid w:val="00844CEF"/>
    <w:rsid w:val="00844EC9"/>
    <w:rsid w:val="00844F7F"/>
    <w:rsid w:val="008457F3"/>
    <w:rsid w:val="00845A87"/>
    <w:rsid w:val="00845DB6"/>
    <w:rsid w:val="00846401"/>
    <w:rsid w:val="00846786"/>
    <w:rsid w:val="00846940"/>
    <w:rsid w:val="00846A4E"/>
    <w:rsid w:val="00846C35"/>
    <w:rsid w:val="00846C7F"/>
    <w:rsid w:val="00846CDC"/>
    <w:rsid w:val="00846D0E"/>
    <w:rsid w:val="00846E5E"/>
    <w:rsid w:val="00846E6D"/>
    <w:rsid w:val="0084734E"/>
    <w:rsid w:val="00847B83"/>
    <w:rsid w:val="00847D5B"/>
    <w:rsid w:val="00850393"/>
    <w:rsid w:val="00850913"/>
    <w:rsid w:val="00850CB5"/>
    <w:rsid w:val="00850D8A"/>
    <w:rsid w:val="0085140C"/>
    <w:rsid w:val="00851417"/>
    <w:rsid w:val="008515C9"/>
    <w:rsid w:val="0085189E"/>
    <w:rsid w:val="00851DB0"/>
    <w:rsid w:val="00852361"/>
    <w:rsid w:val="00852861"/>
    <w:rsid w:val="008528C7"/>
    <w:rsid w:val="00852B29"/>
    <w:rsid w:val="00852E75"/>
    <w:rsid w:val="00852FE9"/>
    <w:rsid w:val="00853517"/>
    <w:rsid w:val="00853727"/>
    <w:rsid w:val="008538A7"/>
    <w:rsid w:val="00853BD1"/>
    <w:rsid w:val="00853CF1"/>
    <w:rsid w:val="00853D2D"/>
    <w:rsid w:val="008541FE"/>
    <w:rsid w:val="00854251"/>
    <w:rsid w:val="008543C8"/>
    <w:rsid w:val="008543D2"/>
    <w:rsid w:val="00854466"/>
    <w:rsid w:val="0085457E"/>
    <w:rsid w:val="00854B1B"/>
    <w:rsid w:val="00854D83"/>
    <w:rsid w:val="00854E22"/>
    <w:rsid w:val="00854FCA"/>
    <w:rsid w:val="00855090"/>
    <w:rsid w:val="00855375"/>
    <w:rsid w:val="008553CB"/>
    <w:rsid w:val="00855905"/>
    <w:rsid w:val="00855988"/>
    <w:rsid w:val="00856199"/>
    <w:rsid w:val="008564CB"/>
    <w:rsid w:val="00856655"/>
    <w:rsid w:val="00856759"/>
    <w:rsid w:val="00856903"/>
    <w:rsid w:val="00856934"/>
    <w:rsid w:val="0085694B"/>
    <w:rsid w:val="00856C15"/>
    <w:rsid w:val="00856C1C"/>
    <w:rsid w:val="00856D41"/>
    <w:rsid w:val="00856EEA"/>
    <w:rsid w:val="00857510"/>
    <w:rsid w:val="0085762F"/>
    <w:rsid w:val="0085776C"/>
    <w:rsid w:val="00857831"/>
    <w:rsid w:val="00857A10"/>
    <w:rsid w:val="00857BA1"/>
    <w:rsid w:val="00857DEF"/>
    <w:rsid w:val="00857E3F"/>
    <w:rsid w:val="00857EC6"/>
    <w:rsid w:val="0086018A"/>
    <w:rsid w:val="00860191"/>
    <w:rsid w:val="00860308"/>
    <w:rsid w:val="00860535"/>
    <w:rsid w:val="008607AE"/>
    <w:rsid w:val="00860FB4"/>
    <w:rsid w:val="008610C0"/>
    <w:rsid w:val="008610D3"/>
    <w:rsid w:val="008610EB"/>
    <w:rsid w:val="008612AB"/>
    <w:rsid w:val="00861395"/>
    <w:rsid w:val="0086179E"/>
    <w:rsid w:val="008617AE"/>
    <w:rsid w:val="00861809"/>
    <w:rsid w:val="00861B51"/>
    <w:rsid w:val="00861F00"/>
    <w:rsid w:val="00862116"/>
    <w:rsid w:val="0086213B"/>
    <w:rsid w:val="00862219"/>
    <w:rsid w:val="00862398"/>
    <w:rsid w:val="008624A0"/>
    <w:rsid w:val="0086273D"/>
    <w:rsid w:val="00862888"/>
    <w:rsid w:val="00862D15"/>
    <w:rsid w:val="00862FA1"/>
    <w:rsid w:val="008631D0"/>
    <w:rsid w:val="008633AF"/>
    <w:rsid w:val="00863D78"/>
    <w:rsid w:val="00863F62"/>
    <w:rsid w:val="008642F0"/>
    <w:rsid w:val="00864477"/>
    <w:rsid w:val="0086464B"/>
    <w:rsid w:val="008649C1"/>
    <w:rsid w:val="00864BCC"/>
    <w:rsid w:val="00864DD9"/>
    <w:rsid w:val="0086511A"/>
    <w:rsid w:val="008652DA"/>
    <w:rsid w:val="00865356"/>
    <w:rsid w:val="008654D8"/>
    <w:rsid w:val="0086550B"/>
    <w:rsid w:val="008659FA"/>
    <w:rsid w:val="00865A13"/>
    <w:rsid w:val="00865DBA"/>
    <w:rsid w:val="008661F0"/>
    <w:rsid w:val="00866419"/>
    <w:rsid w:val="00866803"/>
    <w:rsid w:val="00866F10"/>
    <w:rsid w:val="00866F11"/>
    <w:rsid w:val="00867022"/>
    <w:rsid w:val="00867187"/>
    <w:rsid w:val="0086721E"/>
    <w:rsid w:val="0086727B"/>
    <w:rsid w:val="008672B9"/>
    <w:rsid w:val="008676A3"/>
    <w:rsid w:val="008678B1"/>
    <w:rsid w:val="00867EAF"/>
    <w:rsid w:val="00867EE9"/>
    <w:rsid w:val="00870029"/>
    <w:rsid w:val="00870187"/>
    <w:rsid w:val="008704F0"/>
    <w:rsid w:val="00870817"/>
    <w:rsid w:val="00870B9C"/>
    <w:rsid w:val="00870D20"/>
    <w:rsid w:val="00870E94"/>
    <w:rsid w:val="0087100B"/>
    <w:rsid w:val="008714FB"/>
    <w:rsid w:val="00871675"/>
    <w:rsid w:val="00871B7B"/>
    <w:rsid w:val="00871BF5"/>
    <w:rsid w:val="00871FF6"/>
    <w:rsid w:val="008724D0"/>
    <w:rsid w:val="008725A7"/>
    <w:rsid w:val="00872683"/>
    <w:rsid w:val="00872702"/>
    <w:rsid w:val="008728D4"/>
    <w:rsid w:val="00872E40"/>
    <w:rsid w:val="00872E78"/>
    <w:rsid w:val="00872EC0"/>
    <w:rsid w:val="00872F09"/>
    <w:rsid w:val="0087306A"/>
    <w:rsid w:val="008730E7"/>
    <w:rsid w:val="008735E5"/>
    <w:rsid w:val="008735E7"/>
    <w:rsid w:val="00873676"/>
    <w:rsid w:val="00873991"/>
    <w:rsid w:val="00873CDE"/>
    <w:rsid w:val="0087405D"/>
    <w:rsid w:val="00874481"/>
    <w:rsid w:val="00874B90"/>
    <w:rsid w:val="00874BE2"/>
    <w:rsid w:val="0087503D"/>
    <w:rsid w:val="00875057"/>
    <w:rsid w:val="008750F8"/>
    <w:rsid w:val="00875249"/>
    <w:rsid w:val="00875279"/>
    <w:rsid w:val="008752AC"/>
    <w:rsid w:val="00875546"/>
    <w:rsid w:val="00875794"/>
    <w:rsid w:val="0087586D"/>
    <w:rsid w:val="008758DC"/>
    <w:rsid w:val="00875CA4"/>
    <w:rsid w:val="00875DCA"/>
    <w:rsid w:val="00876100"/>
    <w:rsid w:val="00876607"/>
    <w:rsid w:val="0087689A"/>
    <w:rsid w:val="00876B99"/>
    <w:rsid w:val="00876C61"/>
    <w:rsid w:val="00876CC6"/>
    <w:rsid w:val="008772CF"/>
    <w:rsid w:val="00877565"/>
    <w:rsid w:val="00877577"/>
    <w:rsid w:val="008775A0"/>
    <w:rsid w:val="00877766"/>
    <w:rsid w:val="00877C32"/>
    <w:rsid w:val="00877CF0"/>
    <w:rsid w:val="00877D3B"/>
    <w:rsid w:val="00880C06"/>
    <w:rsid w:val="00880DC9"/>
    <w:rsid w:val="00880F4E"/>
    <w:rsid w:val="00881340"/>
    <w:rsid w:val="00881502"/>
    <w:rsid w:val="00881872"/>
    <w:rsid w:val="008818E1"/>
    <w:rsid w:val="00881ABE"/>
    <w:rsid w:val="00881AE9"/>
    <w:rsid w:val="00881FC9"/>
    <w:rsid w:val="008820E5"/>
    <w:rsid w:val="008826C4"/>
    <w:rsid w:val="00882847"/>
    <w:rsid w:val="00882859"/>
    <w:rsid w:val="00882B35"/>
    <w:rsid w:val="00883359"/>
    <w:rsid w:val="0088377F"/>
    <w:rsid w:val="00883B47"/>
    <w:rsid w:val="00883CA8"/>
    <w:rsid w:val="00883E93"/>
    <w:rsid w:val="008841E6"/>
    <w:rsid w:val="008844A1"/>
    <w:rsid w:val="008845C5"/>
    <w:rsid w:val="0088476A"/>
    <w:rsid w:val="008847C4"/>
    <w:rsid w:val="00884884"/>
    <w:rsid w:val="008848A2"/>
    <w:rsid w:val="00884A0D"/>
    <w:rsid w:val="00884AB1"/>
    <w:rsid w:val="0088570B"/>
    <w:rsid w:val="00885B71"/>
    <w:rsid w:val="00885EFC"/>
    <w:rsid w:val="00885F32"/>
    <w:rsid w:val="00885FA9"/>
    <w:rsid w:val="00886220"/>
    <w:rsid w:val="00886282"/>
    <w:rsid w:val="00886639"/>
    <w:rsid w:val="008866D6"/>
    <w:rsid w:val="00886AC2"/>
    <w:rsid w:val="00886C5F"/>
    <w:rsid w:val="00886FE8"/>
    <w:rsid w:val="008873A4"/>
    <w:rsid w:val="00887433"/>
    <w:rsid w:val="008876A9"/>
    <w:rsid w:val="008877B4"/>
    <w:rsid w:val="00887909"/>
    <w:rsid w:val="00887ABF"/>
    <w:rsid w:val="00887B5E"/>
    <w:rsid w:val="00887C35"/>
    <w:rsid w:val="00887EA4"/>
    <w:rsid w:val="0088ED71"/>
    <w:rsid w:val="00890063"/>
    <w:rsid w:val="008900AF"/>
    <w:rsid w:val="00890576"/>
    <w:rsid w:val="00890B3B"/>
    <w:rsid w:val="00890BCE"/>
    <w:rsid w:val="0089119A"/>
    <w:rsid w:val="00891324"/>
    <w:rsid w:val="00891400"/>
    <w:rsid w:val="0089143C"/>
    <w:rsid w:val="008915C2"/>
    <w:rsid w:val="008918E2"/>
    <w:rsid w:val="00891A17"/>
    <w:rsid w:val="00891D44"/>
    <w:rsid w:val="008920FE"/>
    <w:rsid w:val="00892102"/>
    <w:rsid w:val="00892166"/>
    <w:rsid w:val="0089232E"/>
    <w:rsid w:val="00892421"/>
    <w:rsid w:val="0089244D"/>
    <w:rsid w:val="008924B9"/>
    <w:rsid w:val="008929F3"/>
    <w:rsid w:val="00892B65"/>
    <w:rsid w:val="00892B91"/>
    <w:rsid w:val="00892BA1"/>
    <w:rsid w:val="00892CDB"/>
    <w:rsid w:val="00892E4A"/>
    <w:rsid w:val="00892E52"/>
    <w:rsid w:val="00892ECD"/>
    <w:rsid w:val="00893045"/>
    <w:rsid w:val="0089309A"/>
    <w:rsid w:val="008932E6"/>
    <w:rsid w:val="008937B0"/>
    <w:rsid w:val="00893911"/>
    <w:rsid w:val="00893D47"/>
    <w:rsid w:val="00893DB1"/>
    <w:rsid w:val="0089414F"/>
    <w:rsid w:val="0089451D"/>
    <w:rsid w:val="00894A3E"/>
    <w:rsid w:val="00894AA8"/>
    <w:rsid w:val="00894BCB"/>
    <w:rsid w:val="00894EE8"/>
    <w:rsid w:val="008950F8"/>
    <w:rsid w:val="00895B72"/>
    <w:rsid w:val="00895EB0"/>
    <w:rsid w:val="00896161"/>
    <w:rsid w:val="0089622F"/>
    <w:rsid w:val="00896404"/>
    <w:rsid w:val="0089643B"/>
    <w:rsid w:val="00896821"/>
    <w:rsid w:val="008968A6"/>
    <w:rsid w:val="008968DA"/>
    <w:rsid w:val="00896B1E"/>
    <w:rsid w:val="00896C3F"/>
    <w:rsid w:val="00896F3C"/>
    <w:rsid w:val="00897053"/>
    <w:rsid w:val="0089737D"/>
    <w:rsid w:val="0089790A"/>
    <w:rsid w:val="00897A4B"/>
    <w:rsid w:val="00897FD6"/>
    <w:rsid w:val="008A08C5"/>
    <w:rsid w:val="008A0A89"/>
    <w:rsid w:val="008A0C3C"/>
    <w:rsid w:val="008A0C99"/>
    <w:rsid w:val="008A0E32"/>
    <w:rsid w:val="008A1007"/>
    <w:rsid w:val="008A1480"/>
    <w:rsid w:val="008A14EB"/>
    <w:rsid w:val="008A1BDC"/>
    <w:rsid w:val="008A1F79"/>
    <w:rsid w:val="008A25C6"/>
    <w:rsid w:val="008A2923"/>
    <w:rsid w:val="008A29AE"/>
    <w:rsid w:val="008A2A69"/>
    <w:rsid w:val="008A2B40"/>
    <w:rsid w:val="008A30B3"/>
    <w:rsid w:val="008A36EB"/>
    <w:rsid w:val="008A37B0"/>
    <w:rsid w:val="008A3856"/>
    <w:rsid w:val="008A3966"/>
    <w:rsid w:val="008A3A8D"/>
    <w:rsid w:val="008A4093"/>
    <w:rsid w:val="008A43F6"/>
    <w:rsid w:val="008A44E8"/>
    <w:rsid w:val="008A45A0"/>
    <w:rsid w:val="008A461E"/>
    <w:rsid w:val="008A464E"/>
    <w:rsid w:val="008A4889"/>
    <w:rsid w:val="008A4A19"/>
    <w:rsid w:val="008A4A99"/>
    <w:rsid w:val="008A4CF2"/>
    <w:rsid w:val="008A4D48"/>
    <w:rsid w:val="008A4D9E"/>
    <w:rsid w:val="008A4E96"/>
    <w:rsid w:val="008A524A"/>
    <w:rsid w:val="008A55E0"/>
    <w:rsid w:val="008A57C7"/>
    <w:rsid w:val="008A5B03"/>
    <w:rsid w:val="008A5C3F"/>
    <w:rsid w:val="008A630F"/>
    <w:rsid w:val="008A6356"/>
    <w:rsid w:val="008A66D4"/>
    <w:rsid w:val="008A6A16"/>
    <w:rsid w:val="008A6BD4"/>
    <w:rsid w:val="008A6E22"/>
    <w:rsid w:val="008A6FED"/>
    <w:rsid w:val="008A72D5"/>
    <w:rsid w:val="008A73E0"/>
    <w:rsid w:val="008A75BC"/>
    <w:rsid w:val="008A75E6"/>
    <w:rsid w:val="008B0114"/>
    <w:rsid w:val="008B07C2"/>
    <w:rsid w:val="008B0839"/>
    <w:rsid w:val="008B0FD2"/>
    <w:rsid w:val="008B1143"/>
    <w:rsid w:val="008B13BF"/>
    <w:rsid w:val="008B1468"/>
    <w:rsid w:val="008B18DB"/>
    <w:rsid w:val="008B1BD5"/>
    <w:rsid w:val="008B232C"/>
    <w:rsid w:val="008B24CA"/>
    <w:rsid w:val="008B265F"/>
    <w:rsid w:val="008B2C2A"/>
    <w:rsid w:val="008B3148"/>
    <w:rsid w:val="008B323C"/>
    <w:rsid w:val="008B35EB"/>
    <w:rsid w:val="008B3A03"/>
    <w:rsid w:val="008B3DD4"/>
    <w:rsid w:val="008B3EF3"/>
    <w:rsid w:val="008B42FB"/>
    <w:rsid w:val="008B438B"/>
    <w:rsid w:val="008B43CC"/>
    <w:rsid w:val="008B5763"/>
    <w:rsid w:val="008B5766"/>
    <w:rsid w:val="008B58B9"/>
    <w:rsid w:val="008B5B49"/>
    <w:rsid w:val="008B63CA"/>
    <w:rsid w:val="008B658C"/>
    <w:rsid w:val="008B6650"/>
    <w:rsid w:val="008B68AD"/>
    <w:rsid w:val="008B6C2B"/>
    <w:rsid w:val="008B6F67"/>
    <w:rsid w:val="008B78D2"/>
    <w:rsid w:val="008B7D49"/>
    <w:rsid w:val="008B7DCA"/>
    <w:rsid w:val="008C001E"/>
    <w:rsid w:val="008C0904"/>
    <w:rsid w:val="008C092E"/>
    <w:rsid w:val="008C0CD0"/>
    <w:rsid w:val="008C0ED0"/>
    <w:rsid w:val="008C0F08"/>
    <w:rsid w:val="008C0F6A"/>
    <w:rsid w:val="008C10D0"/>
    <w:rsid w:val="008C10E0"/>
    <w:rsid w:val="008C1277"/>
    <w:rsid w:val="008C129F"/>
    <w:rsid w:val="008C16B5"/>
    <w:rsid w:val="008C1E5E"/>
    <w:rsid w:val="008C1F78"/>
    <w:rsid w:val="008C2269"/>
    <w:rsid w:val="008C2587"/>
    <w:rsid w:val="008C2C61"/>
    <w:rsid w:val="008C31A4"/>
    <w:rsid w:val="008C36A1"/>
    <w:rsid w:val="008C3BAD"/>
    <w:rsid w:val="008C3CD3"/>
    <w:rsid w:val="008C43D9"/>
    <w:rsid w:val="008C4842"/>
    <w:rsid w:val="008C4D33"/>
    <w:rsid w:val="008C53C0"/>
    <w:rsid w:val="008C570B"/>
    <w:rsid w:val="008C5E0D"/>
    <w:rsid w:val="008C60F3"/>
    <w:rsid w:val="008C61AD"/>
    <w:rsid w:val="008C6A62"/>
    <w:rsid w:val="008C6B44"/>
    <w:rsid w:val="008C6EEB"/>
    <w:rsid w:val="008C6F05"/>
    <w:rsid w:val="008C72EC"/>
    <w:rsid w:val="008C780E"/>
    <w:rsid w:val="008C787D"/>
    <w:rsid w:val="008C7BFC"/>
    <w:rsid w:val="008C7E17"/>
    <w:rsid w:val="008D0135"/>
    <w:rsid w:val="008D02F0"/>
    <w:rsid w:val="008D0321"/>
    <w:rsid w:val="008D0B41"/>
    <w:rsid w:val="008D0DE1"/>
    <w:rsid w:val="008D0FD4"/>
    <w:rsid w:val="008D130C"/>
    <w:rsid w:val="008D1367"/>
    <w:rsid w:val="008D1471"/>
    <w:rsid w:val="008D14C4"/>
    <w:rsid w:val="008D1610"/>
    <w:rsid w:val="008D16E9"/>
    <w:rsid w:val="008D1968"/>
    <w:rsid w:val="008D19CD"/>
    <w:rsid w:val="008D1B20"/>
    <w:rsid w:val="008D1B54"/>
    <w:rsid w:val="008D1D29"/>
    <w:rsid w:val="008D1DEF"/>
    <w:rsid w:val="008D21BB"/>
    <w:rsid w:val="008D2432"/>
    <w:rsid w:val="008D246A"/>
    <w:rsid w:val="008D24C1"/>
    <w:rsid w:val="008D2879"/>
    <w:rsid w:val="008D28F9"/>
    <w:rsid w:val="008D2A0A"/>
    <w:rsid w:val="008D2ABC"/>
    <w:rsid w:val="008D2DD2"/>
    <w:rsid w:val="008D2F39"/>
    <w:rsid w:val="008D32DF"/>
    <w:rsid w:val="008D3A0F"/>
    <w:rsid w:val="008D3B3E"/>
    <w:rsid w:val="008D3C72"/>
    <w:rsid w:val="008D3CCA"/>
    <w:rsid w:val="008D3D08"/>
    <w:rsid w:val="008D3EF6"/>
    <w:rsid w:val="008D4089"/>
    <w:rsid w:val="008D4154"/>
    <w:rsid w:val="008D41BF"/>
    <w:rsid w:val="008D454B"/>
    <w:rsid w:val="008D45EF"/>
    <w:rsid w:val="008D4701"/>
    <w:rsid w:val="008D4B1B"/>
    <w:rsid w:val="008D4E10"/>
    <w:rsid w:val="008D5105"/>
    <w:rsid w:val="008D5119"/>
    <w:rsid w:val="008D51BC"/>
    <w:rsid w:val="008D51C2"/>
    <w:rsid w:val="008D526C"/>
    <w:rsid w:val="008D52FC"/>
    <w:rsid w:val="008D5436"/>
    <w:rsid w:val="008D59C4"/>
    <w:rsid w:val="008D5D73"/>
    <w:rsid w:val="008D5E07"/>
    <w:rsid w:val="008D5E25"/>
    <w:rsid w:val="008D5E67"/>
    <w:rsid w:val="008D6BEB"/>
    <w:rsid w:val="008D6E19"/>
    <w:rsid w:val="008D7398"/>
    <w:rsid w:val="008D73F2"/>
    <w:rsid w:val="008D74B4"/>
    <w:rsid w:val="008D7B5B"/>
    <w:rsid w:val="008D7E48"/>
    <w:rsid w:val="008E01A0"/>
    <w:rsid w:val="008E0562"/>
    <w:rsid w:val="008E063F"/>
    <w:rsid w:val="008E0807"/>
    <w:rsid w:val="008E0B09"/>
    <w:rsid w:val="008E0B36"/>
    <w:rsid w:val="008E0DD6"/>
    <w:rsid w:val="008E0EE6"/>
    <w:rsid w:val="008E1090"/>
    <w:rsid w:val="008E1173"/>
    <w:rsid w:val="008E126B"/>
    <w:rsid w:val="008E1884"/>
    <w:rsid w:val="008E198A"/>
    <w:rsid w:val="008E19D6"/>
    <w:rsid w:val="008E2269"/>
    <w:rsid w:val="008E226D"/>
    <w:rsid w:val="008E2554"/>
    <w:rsid w:val="008E2672"/>
    <w:rsid w:val="008E26E5"/>
    <w:rsid w:val="008E26F2"/>
    <w:rsid w:val="008E27B4"/>
    <w:rsid w:val="008E2987"/>
    <w:rsid w:val="008E2BFA"/>
    <w:rsid w:val="008E2EA1"/>
    <w:rsid w:val="008E2FEF"/>
    <w:rsid w:val="008E30DF"/>
    <w:rsid w:val="008E3117"/>
    <w:rsid w:val="008E31EB"/>
    <w:rsid w:val="008E3245"/>
    <w:rsid w:val="008E35C5"/>
    <w:rsid w:val="008E369F"/>
    <w:rsid w:val="008E37A2"/>
    <w:rsid w:val="008E3962"/>
    <w:rsid w:val="008E3BB1"/>
    <w:rsid w:val="008E3F55"/>
    <w:rsid w:val="008E4154"/>
    <w:rsid w:val="008E463F"/>
    <w:rsid w:val="008E4A74"/>
    <w:rsid w:val="008E4AC3"/>
    <w:rsid w:val="008E4C72"/>
    <w:rsid w:val="008E4FC1"/>
    <w:rsid w:val="008E54B2"/>
    <w:rsid w:val="008E571D"/>
    <w:rsid w:val="008E5938"/>
    <w:rsid w:val="008E5DB6"/>
    <w:rsid w:val="008E5DCF"/>
    <w:rsid w:val="008E5EC0"/>
    <w:rsid w:val="008E64AC"/>
    <w:rsid w:val="008E655B"/>
    <w:rsid w:val="008E6749"/>
    <w:rsid w:val="008E68E2"/>
    <w:rsid w:val="008E6923"/>
    <w:rsid w:val="008E6AEE"/>
    <w:rsid w:val="008E70A5"/>
    <w:rsid w:val="008E737B"/>
    <w:rsid w:val="008E74A1"/>
    <w:rsid w:val="008E75FC"/>
    <w:rsid w:val="008E778A"/>
    <w:rsid w:val="008E7814"/>
    <w:rsid w:val="008E78E2"/>
    <w:rsid w:val="008E7F0D"/>
    <w:rsid w:val="008F03DA"/>
    <w:rsid w:val="008F0843"/>
    <w:rsid w:val="008F0D9B"/>
    <w:rsid w:val="008F0EDA"/>
    <w:rsid w:val="008F10D0"/>
    <w:rsid w:val="008F1294"/>
    <w:rsid w:val="008F16F0"/>
    <w:rsid w:val="008F178E"/>
    <w:rsid w:val="008F18F5"/>
    <w:rsid w:val="008F1D2B"/>
    <w:rsid w:val="008F1DD1"/>
    <w:rsid w:val="008F2081"/>
    <w:rsid w:val="008F25A9"/>
    <w:rsid w:val="008F2E5E"/>
    <w:rsid w:val="008F2F18"/>
    <w:rsid w:val="008F2FBD"/>
    <w:rsid w:val="008F30F2"/>
    <w:rsid w:val="008F3319"/>
    <w:rsid w:val="008F3393"/>
    <w:rsid w:val="008F356C"/>
    <w:rsid w:val="008F3D47"/>
    <w:rsid w:val="008F3E70"/>
    <w:rsid w:val="008F3E79"/>
    <w:rsid w:val="008F4BD4"/>
    <w:rsid w:val="008F4C7A"/>
    <w:rsid w:val="008F4E4C"/>
    <w:rsid w:val="008F507C"/>
    <w:rsid w:val="008F5161"/>
    <w:rsid w:val="008F52E7"/>
    <w:rsid w:val="008F53AE"/>
    <w:rsid w:val="008F54E4"/>
    <w:rsid w:val="008F5AE2"/>
    <w:rsid w:val="008F5CBB"/>
    <w:rsid w:val="008F5F4F"/>
    <w:rsid w:val="008F605B"/>
    <w:rsid w:val="008F649E"/>
    <w:rsid w:val="008F665D"/>
    <w:rsid w:val="008F667C"/>
    <w:rsid w:val="008F6ACD"/>
    <w:rsid w:val="008F6D46"/>
    <w:rsid w:val="008F700E"/>
    <w:rsid w:val="008F70F0"/>
    <w:rsid w:val="008F71D7"/>
    <w:rsid w:val="008F72D1"/>
    <w:rsid w:val="008F731B"/>
    <w:rsid w:val="008F752B"/>
    <w:rsid w:val="008F770F"/>
    <w:rsid w:val="008F796E"/>
    <w:rsid w:val="008F7E8D"/>
    <w:rsid w:val="009003C6"/>
    <w:rsid w:val="00900978"/>
    <w:rsid w:val="00900E7F"/>
    <w:rsid w:val="009010A1"/>
    <w:rsid w:val="00901439"/>
    <w:rsid w:val="00901589"/>
    <w:rsid w:val="00901E8E"/>
    <w:rsid w:val="00902223"/>
    <w:rsid w:val="00902549"/>
    <w:rsid w:val="009028B3"/>
    <w:rsid w:val="00902A6B"/>
    <w:rsid w:val="00902A79"/>
    <w:rsid w:val="00902B76"/>
    <w:rsid w:val="00902D1D"/>
    <w:rsid w:val="00902F43"/>
    <w:rsid w:val="00902F84"/>
    <w:rsid w:val="009030FF"/>
    <w:rsid w:val="00903123"/>
    <w:rsid w:val="009032DF"/>
    <w:rsid w:val="00903495"/>
    <w:rsid w:val="0090352C"/>
    <w:rsid w:val="009038A9"/>
    <w:rsid w:val="00903BC1"/>
    <w:rsid w:val="00903DB8"/>
    <w:rsid w:val="00904105"/>
    <w:rsid w:val="00904420"/>
    <w:rsid w:val="009045D0"/>
    <w:rsid w:val="00904978"/>
    <w:rsid w:val="00904C06"/>
    <w:rsid w:val="0090519C"/>
    <w:rsid w:val="00905490"/>
    <w:rsid w:val="00905619"/>
    <w:rsid w:val="009059B8"/>
    <w:rsid w:val="00906483"/>
    <w:rsid w:val="00907062"/>
    <w:rsid w:val="0090713E"/>
    <w:rsid w:val="00907299"/>
    <w:rsid w:val="0090745E"/>
    <w:rsid w:val="009077D2"/>
    <w:rsid w:val="00907B9C"/>
    <w:rsid w:val="00907EE2"/>
    <w:rsid w:val="0090D9B6"/>
    <w:rsid w:val="00910705"/>
    <w:rsid w:val="0091117F"/>
    <w:rsid w:val="009112E2"/>
    <w:rsid w:val="009112FD"/>
    <w:rsid w:val="009118BB"/>
    <w:rsid w:val="00911CC0"/>
    <w:rsid w:val="009120DA"/>
    <w:rsid w:val="00912160"/>
    <w:rsid w:val="009121D6"/>
    <w:rsid w:val="009126F2"/>
    <w:rsid w:val="0091271C"/>
    <w:rsid w:val="00912839"/>
    <w:rsid w:val="0091292F"/>
    <w:rsid w:val="00913036"/>
    <w:rsid w:val="009134CB"/>
    <w:rsid w:val="00913610"/>
    <w:rsid w:val="00913921"/>
    <w:rsid w:val="009139B6"/>
    <w:rsid w:val="00913C5F"/>
    <w:rsid w:val="00913E7C"/>
    <w:rsid w:val="00913F7D"/>
    <w:rsid w:val="00913FEB"/>
    <w:rsid w:val="009140F8"/>
    <w:rsid w:val="0091417D"/>
    <w:rsid w:val="00914E33"/>
    <w:rsid w:val="0091502F"/>
    <w:rsid w:val="0091522C"/>
    <w:rsid w:val="00915256"/>
    <w:rsid w:val="009154F9"/>
    <w:rsid w:val="009157CE"/>
    <w:rsid w:val="00915908"/>
    <w:rsid w:val="00915C99"/>
    <w:rsid w:val="00915F61"/>
    <w:rsid w:val="0091617E"/>
    <w:rsid w:val="009161F8"/>
    <w:rsid w:val="009164A8"/>
    <w:rsid w:val="00916563"/>
    <w:rsid w:val="009165CE"/>
    <w:rsid w:val="0091662E"/>
    <w:rsid w:val="009166A3"/>
    <w:rsid w:val="009169DC"/>
    <w:rsid w:val="00916DD4"/>
    <w:rsid w:val="00916E5E"/>
    <w:rsid w:val="00916FC8"/>
    <w:rsid w:val="00917530"/>
    <w:rsid w:val="0091785D"/>
    <w:rsid w:val="00917D50"/>
    <w:rsid w:val="00917DBA"/>
    <w:rsid w:val="009203BD"/>
    <w:rsid w:val="00920528"/>
    <w:rsid w:val="009205F1"/>
    <w:rsid w:val="00920D4A"/>
    <w:rsid w:val="00920D8E"/>
    <w:rsid w:val="00920FC5"/>
    <w:rsid w:val="00921224"/>
    <w:rsid w:val="0092140A"/>
    <w:rsid w:val="00921673"/>
    <w:rsid w:val="00921772"/>
    <w:rsid w:val="00921AED"/>
    <w:rsid w:val="00922006"/>
    <w:rsid w:val="00922009"/>
    <w:rsid w:val="009221CE"/>
    <w:rsid w:val="0092243D"/>
    <w:rsid w:val="0092250C"/>
    <w:rsid w:val="00922C0C"/>
    <w:rsid w:val="00922F9D"/>
    <w:rsid w:val="00923044"/>
    <w:rsid w:val="009230E1"/>
    <w:rsid w:val="0092323C"/>
    <w:rsid w:val="009232CA"/>
    <w:rsid w:val="009233B1"/>
    <w:rsid w:val="00923429"/>
    <w:rsid w:val="009237E5"/>
    <w:rsid w:val="009239D4"/>
    <w:rsid w:val="00923A08"/>
    <w:rsid w:val="00923D47"/>
    <w:rsid w:val="009242CE"/>
    <w:rsid w:val="009243E4"/>
    <w:rsid w:val="00924F37"/>
    <w:rsid w:val="00925026"/>
    <w:rsid w:val="00925152"/>
    <w:rsid w:val="00925206"/>
    <w:rsid w:val="00925BEC"/>
    <w:rsid w:val="00926028"/>
    <w:rsid w:val="009260A2"/>
    <w:rsid w:val="0092676A"/>
    <w:rsid w:val="0092683A"/>
    <w:rsid w:val="00926933"/>
    <w:rsid w:val="00926B3C"/>
    <w:rsid w:val="00926CF3"/>
    <w:rsid w:val="009275C9"/>
    <w:rsid w:val="009276F4"/>
    <w:rsid w:val="009279C4"/>
    <w:rsid w:val="00930168"/>
    <w:rsid w:val="009305A8"/>
    <w:rsid w:val="009308DC"/>
    <w:rsid w:val="00930B3A"/>
    <w:rsid w:val="00930B54"/>
    <w:rsid w:val="00930B5A"/>
    <w:rsid w:val="00930B9C"/>
    <w:rsid w:val="00930BD4"/>
    <w:rsid w:val="00930E6E"/>
    <w:rsid w:val="00931059"/>
    <w:rsid w:val="00931134"/>
    <w:rsid w:val="009312C6"/>
    <w:rsid w:val="0093140D"/>
    <w:rsid w:val="0093163B"/>
    <w:rsid w:val="00931A4C"/>
    <w:rsid w:val="009321CB"/>
    <w:rsid w:val="00932434"/>
    <w:rsid w:val="00932595"/>
    <w:rsid w:val="0093266D"/>
    <w:rsid w:val="009328AB"/>
    <w:rsid w:val="009330D8"/>
    <w:rsid w:val="0093385B"/>
    <w:rsid w:val="0093388D"/>
    <w:rsid w:val="009339F6"/>
    <w:rsid w:val="00933A81"/>
    <w:rsid w:val="00933F41"/>
    <w:rsid w:val="009340DA"/>
    <w:rsid w:val="009343ED"/>
    <w:rsid w:val="00934569"/>
    <w:rsid w:val="009345FB"/>
    <w:rsid w:val="0093480F"/>
    <w:rsid w:val="00934B10"/>
    <w:rsid w:val="00934EA5"/>
    <w:rsid w:val="00934EB8"/>
    <w:rsid w:val="009353F5"/>
    <w:rsid w:val="009356F7"/>
    <w:rsid w:val="009357EC"/>
    <w:rsid w:val="00935C40"/>
    <w:rsid w:val="00935D5A"/>
    <w:rsid w:val="00935DF5"/>
    <w:rsid w:val="00935E9E"/>
    <w:rsid w:val="00935ED7"/>
    <w:rsid w:val="00935F19"/>
    <w:rsid w:val="0093613A"/>
    <w:rsid w:val="00936619"/>
    <w:rsid w:val="009366BA"/>
    <w:rsid w:val="009366C4"/>
    <w:rsid w:val="00936BB0"/>
    <w:rsid w:val="00937243"/>
    <w:rsid w:val="00937294"/>
    <w:rsid w:val="009376A6"/>
    <w:rsid w:val="009377C5"/>
    <w:rsid w:val="00937958"/>
    <w:rsid w:val="00937D8E"/>
    <w:rsid w:val="00937E08"/>
    <w:rsid w:val="00937E58"/>
    <w:rsid w:val="00937F8E"/>
    <w:rsid w:val="0094011B"/>
    <w:rsid w:val="00940182"/>
    <w:rsid w:val="00940227"/>
    <w:rsid w:val="00940874"/>
    <w:rsid w:val="0094094B"/>
    <w:rsid w:val="00940DC0"/>
    <w:rsid w:val="00940DD6"/>
    <w:rsid w:val="00941535"/>
    <w:rsid w:val="00941684"/>
    <w:rsid w:val="00941893"/>
    <w:rsid w:val="00941A61"/>
    <w:rsid w:val="00941CA6"/>
    <w:rsid w:val="00941EBC"/>
    <w:rsid w:val="00942642"/>
    <w:rsid w:val="00942938"/>
    <w:rsid w:val="009430CB"/>
    <w:rsid w:val="009430EC"/>
    <w:rsid w:val="009437FF"/>
    <w:rsid w:val="0094385B"/>
    <w:rsid w:val="00943A7A"/>
    <w:rsid w:val="00943CA7"/>
    <w:rsid w:val="00943CB0"/>
    <w:rsid w:val="00943E7F"/>
    <w:rsid w:val="009442B0"/>
    <w:rsid w:val="009446B4"/>
    <w:rsid w:val="00944749"/>
    <w:rsid w:val="00944859"/>
    <w:rsid w:val="009448ED"/>
    <w:rsid w:val="00944B43"/>
    <w:rsid w:val="00944BC4"/>
    <w:rsid w:val="00944DA2"/>
    <w:rsid w:val="00945217"/>
    <w:rsid w:val="00945277"/>
    <w:rsid w:val="009452D9"/>
    <w:rsid w:val="0094563A"/>
    <w:rsid w:val="00945897"/>
    <w:rsid w:val="009458E0"/>
    <w:rsid w:val="009458F4"/>
    <w:rsid w:val="00945A29"/>
    <w:rsid w:val="00945A38"/>
    <w:rsid w:val="00945EA0"/>
    <w:rsid w:val="0094648F"/>
    <w:rsid w:val="00946720"/>
    <w:rsid w:val="0094672C"/>
    <w:rsid w:val="00946798"/>
    <w:rsid w:val="0094686B"/>
    <w:rsid w:val="00946901"/>
    <w:rsid w:val="00946DFB"/>
    <w:rsid w:val="00947460"/>
    <w:rsid w:val="0094779B"/>
    <w:rsid w:val="00947B1E"/>
    <w:rsid w:val="00947FD5"/>
    <w:rsid w:val="009500C2"/>
    <w:rsid w:val="009500E5"/>
    <w:rsid w:val="009504CD"/>
    <w:rsid w:val="00950781"/>
    <w:rsid w:val="00950856"/>
    <w:rsid w:val="00950CD7"/>
    <w:rsid w:val="0095104D"/>
    <w:rsid w:val="009510FA"/>
    <w:rsid w:val="009511E9"/>
    <w:rsid w:val="009512EE"/>
    <w:rsid w:val="00951445"/>
    <w:rsid w:val="00951782"/>
    <w:rsid w:val="00951866"/>
    <w:rsid w:val="009518FF"/>
    <w:rsid w:val="00951BF6"/>
    <w:rsid w:val="00951CAE"/>
    <w:rsid w:val="00951F51"/>
    <w:rsid w:val="00951FF6"/>
    <w:rsid w:val="009520CA"/>
    <w:rsid w:val="009528DC"/>
    <w:rsid w:val="00953488"/>
    <w:rsid w:val="0095387A"/>
    <w:rsid w:val="00953B04"/>
    <w:rsid w:val="00953C2C"/>
    <w:rsid w:val="00953C3B"/>
    <w:rsid w:val="00954067"/>
    <w:rsid w:val="0095473B"/>
    <w:rsid w:val="00954A68"/>
    <w:rsid w:val="00954C9D"/>
    <w:rsid w:val="00954D4A"/>
    <w:rsid w:val="009554B6"/>
    <w:rsid w:val="00955866"/>
    <w:rsid w:val="0095588C"/>
    <w:rsid w:val="0095629F"/>
    <w:rsid w:val="00956A25"/>
    <w:rsid w:val="00956A38"/>
    <w:rsid w:val="00956AF6"/>
    <w:rsid w:val="00956C79"/>
    <w:rsid w:val="00956D10"/>
    <w:rsid w:val="00956D17"/>
    <w:rsid w:val="00956D59"/>
    <w:rsid w:val="00956D5F"/>
    <w:rsid w:val="009570CE"/>
    <w:rsid w:val="0095791F"/>
    <w:rsid w:val="00957D12"/>
    <w:rsid w:val="00957E4E"/>
    <w:rsid w:val="00957EAC"/>
    <w:rsid w:val="00957F76"/>
    <w:rsid w:val="0096021D"/>
    <w:rsid w:val="00960383"/>
    <w:rsid w:val="009603D0"/>
    <w:rsid w:val="009604EE"/>
    <w:rsid w:val="009609D8"/>
    <w:rsid w:val="00960A0C"/>
    <w:rsid w:val="00960A12"/>
    <w:rsid w:val="00960C6C"/>
    <w:rsid w:val="00960DDD"/>
    <w:rsid w:val="00960E2F"/>
    <w:rsid w:val="00960F76"/>
    <w:rsid w:val="00961539"/>
    <w:rsid w:val="00961A8A"/>
    <w:rsid w:val="00961D7F"/>
    <w:rsid w:val="00961DA0"/>
    <w:rsid w:val="00962163"/>
    <w:rsid w:val="009621F7"/>
    <w:rsid w:val="009624DE"/>
    <w:rsid w:val="0096259C"/>
    <w:rsid w:val="009628C9"/>
    <w:rsid w:val="00962971"/>
    <w:rsid w:val="00962A23"/>
    <w:rsid w:val="00962CC7"/>
    <w:rsid w:val="00963157"/>
    <w:rsid w:val="0096315F"/>
    <w:rsid w:val="00963220"/>
    <w:rsid w:val="009632EE"/>
    <w:rsid w:val="00963438"/>
    <w:rsid w:val="00963483"/>
    <w:rsid w:val="00963707"/>
    <w:rsid w:val="00963831"/>
    <w:rsid w:val="00963896"/>
    <w:rsid w:val="009638F7"/>
    <w:rsid w:val="00963E15"/>
    <w:rsid w:val="00963FC7"/>
    <w:rsid w:val="00964124"/>
    <w:rsid w:val="0096440E"/>
    <w:rsid w:val="0096494B"/>
    <w:rsid w:val="00964DB0"/>
    <w:rsid w:val="009651DB"/>
    <w:rsid w:val="00965244"/>
    <w:rsid w:val="0096536D"/>
    <w:rsid w:val="009657AE"/>
    <w:rsid w:val="009658E3"/>
    <w:rsid w:val="00965BA8"/>
    <w:rsid w:val="0096604D"/>
    <w:rsid w:val="009660FF"/>
    <w:rsid w:val="00966A83"/>
    <w:rsid w:val="00966A97"/>
    <w:rsid w:val="00966BCA"/>
    <w:rsid w:val="009674FB"/>
    <w:rsid w:val="0096774E"/>
    <w:rsid w:val="00967858"/>
    <w:rsid w:val="00967A56"/>
    <w:rsid w:val="00967F03"/>
    <w:rsid w:val="0096BE75"/>
    <w:rsid w:val="009701EF"/>
    <w:rsid w:val="0097042E"/>
    <w:rsid w:val="009706C1"/>
    <w:rsid w:val="00970704"/>
    <w:rsid w:val="009707C7"/>
    <w:rsid w:val="009707E5"/>
    <w:rsid w:val="00970B0E"/>
    <w:rsid w:val="00970D32"/>
    <w:rsid w:val="00970EA9"/>
    <w:rsid w:val="00970F9C"/>
    <w:rsid w:val="00971229"/>
    <w:rsid w:val="009713FB"/>
    <w:rsid w:val="0097143B"/>
    <w:rsid w:val="0097183A"/>
    <w:rsid w:val="00971C66"/>
    <w:rsid w:val="00971C97"/>
    <w:rsid w:val="00971DE1"/>
    <w:rsid w:val="009722FF"/>
    <w:rsid w:val="00972772"/>
    <w:rsid w:val="009727FA"/>
    <w:rsid w:val="00972E0F"/>
    <w:rsid w:val="00972E6F"/>
    <w:rsid w:val="00972EB4"/>
    <w:rsid w:val="00973033"/>
    <w:rsid w:val="00973332"/>
    <w:rsid w:val="0097354B"/>
    <w:rsid w:val="0097372E"/>
    <w:rsid w:val="00973983"/>
    <w:rsid w:val="00973A3F"/>
    <w:rsid w:val="00973AAB"/>
    <w:rsid w:val="009745E8"/>
    <w:rsid w:val="009746BE"/>
    <w:rsid w:val="009749E6"/>
    <w:rsid w:val="00974A23"/>
    <w:rsid w:val="00974BF2"/>
    <w:rsid w:val="00975338"/>
    <w:rsid w:val="009754CB"/>
    <w:rsid w:val="00975514"/>
    <w:rsid w:val="0097552C"/>
    <w:rsid w:val="0097558B"/>
    <w:rsid w:val="009756CB"/>
    <w:rsid w:val="00975974"/>
    <w:rsid w:val="00975C56"/>
    <w:rsid w:val="00975F41"/>
    <w:rsid w:val="00975F97"/>
    <w:rsid w:val="009764F0"/>
    <w:rsid w:val="009766C1"/>
    <w:rsid w:val="009769C9"/>
    <w:rsid w:val="00976A2D"/>
    <w:rsid w:val="00976C92"/>
    <w:rsid w:val="009772E7"/>
    <w:rsid w:val="0097746C"/>
    <w:rsid w:val="00977621"/>
    <w:rsid w:val="00977CC8"/>
    <w:rsid w:val="0098002F"/>
    <w:rsid w:val="009800C9"/>
    <w:rsid w:val="0098039E"/>
    <w:rsid w:val="009805B3"/>
    <w:rsid w:val="00980A1A"/>
    <w:rsid w:val="00980CA7"/>
    <w:rsid w:val="00980CC2"/>
    <w:rsid w:val="00981604"/>
    <w:rsid w:val="009816C1"/>
    <w:rsid w:val="00981A14"/>
    <w:rsid w:val="00981A66"/>
    <w:rsid w:val="00981AF4"/>
    <w:rsid w:val="00981F7F"/>
    <w:rsid w:val="00981FA4"/>
    <w:rsid w:val="0098230D"/>
    <w:rsid w:val="009825D4"/>
    <w:rsid w:val="009826C7"/>
    <w:rsid w:val="00982A84"/>
    <w:rsid w:val="00982D21"/>
    <w:rsid w:val="00982F91"/>
    <w:rsid w:val="0098309D"/>
    <w:rsid w:val="00983170"/>
    <w:rsid w:val="009833E9"/>
    <w:rsid w:val="00983718"/>
    <w:rsid w:val="00983863"/>
    <w:rsid w:val="009839BF"/>
    <w:rsid w:val="00984092"/>
    <w:rsid w:val="00984323"/>
    <w:rsid w:val="009844F4"/>
    <w:rsid w:val="0098456F"/>
    <w:rsid w:val="009846F6"/>
    <w:rsid w:val="009848DD"/>
    <w:rsid w:val="009849F3"/>
    <w:rsid w:val="00984DDD"/>
    <w:rsid w:val="00985050"/>
    <w:rsid w:val="00985152"/>
    <w:rsid w:val="009854D5"/>
    <w:rsid w:val="009857D7"/>
    <w:rsid w:val="00985993"/>
    <w:rsid w:val="00985A1D"/>
    <w:rsid w:val="00985B32"/>
    <w:rsid w:val="00985CD4"/>
    <w:rsid w:val="009861CE"/>
    <w:rsid w:val="00986304"/>
    <w:rsid w:val="00987197"/>
    <w:rsid w:val="009871F0"/>
    <w:rsid w:val="009873D9"/>
    <w:rsid w:val="009875CC"/>
    <w:rsid w:val="009878D0"/>
    <w:rsid w:val="009878E2"/>
    <w:rsid w:val="00987947"/>
    <w:rsid w:val="00987C9E"/>
    <w:rsid w:val="00987CD9"/>
    <w:rsid w:val="00987D72"/>
    <w:rsid w:val="00987F7C"/>
    <w:rsid w:val="009900A5"/>
    <w:rsid w:val="0099014A"/>
    <w:rsid w:val="00990B44"/>
    <w:rsid w:val="00990B56"/>
    <w:rsid w:val="009910E9"/>
    <w:rsid w:val="009910FD"/>
    <w:rsid w:val="00991356"/>
    <w:rsid w:val="00991644"/>
    <w:rsid w:val="009916CE"/>
    <w:rsid w:val="0099187A"/>
    <w:rsid w:val="00991885"/>
    <w:rsid w:val="00991904"/>
    <w:rsid w:val="00991945"/>
    <w:rsid w:val="00991A8D"/>
    <w:rsid w:val="00992176"/>
    <w:rsid w:val="00992423"/>
    <w:rsid w:val="009924CA"/>
    <w:rsid w:val="00992700"/>
    <w:rsid w:val="00992A1C"/>
    <w:rsid w:val="00993055"/>
    <w:rsid w:val="00993203"/>
    <w:rsid w:val="0099328A"/>
    <w:rsid w:val="009936B1"/>
    <w:rsid w:val="00993AB3"/>
    <w:rsid w:val="00993B39"/>
    <w:rsid w:val="00993ECC"/>
    <w:rsid w:val="00993F04"/>
    <w:rsid w:val="009943C4"/>
    <w:rsid w:val="009948A5"/>
    <w:rsid w:val="00994913"/>
    <w:rsid w:val="009949C4"/>
    <w:rsid w:val="00994CD8"/>
    <w:rsid w:val="00994D08"/>
    <w:rsid w:val="0099526A"/>
    <w:rsid w:val="009952A8"/>
    <w:rsid w:val="0099570A"/>
    <w:rsid w:val="00995785"/>
    <w:rsid w:val="009957BC"/>
    <w:rsid w:val="00995B0F"/>
    <w:rsid w:val="00996203"/>
    <w:rsid w:val="00996219"/>
    <w:rsid w:val="009962A4"/>
    <w:rsid w:val="00996497"/>
    <w:rsid w:val="0099697A"/>
    <w:rsid w:val="00996B7E"/>
    <w:rsid w:val="00996D31"/>
    <w:rsid w:val="00997030"/>
    <w:rsid w:val="00997079"/>
    <w:rsid w:val="009970C8"/>
    <w:rsid w:val="00997429"/>
    <w:rsid w:val="00997699"/>
    <w:rsid w:val="009978F5"/>
    <w:rsid w:val="00997A5E"/>
    <w:rsid w:val="00997C4F"/>
    <w:rsid w:val="00997E84"/>
    <w:rsid w:val="00997F0B"/>
    <w:rsid w:val="00997F50"/>
    <w:rsid w:val="009A004A"/>
    <w:rsid w:val="009A039D"/>
    <w:rsid w:val="009A05A6"/>
    <w:rsid w:val="009A0705"/>
    <w:rsid w:val="009A0E19"/>
    <w:rsid w:val="009A0F0B"/>
    <w:rsid w:val="009A1088"/>
    <w:rsid w:val="009A12D3"/>
    <w:rsid w:val="009A1377"/>
    <w:rsid w:val="009A164F"/>
    <w:rsid w:val="009A1869"/>
    <w:rsid w:val="009A19F6"/>
    <w:rsid w:val="009A1B84"/>
    <w:rsid w:val="009A1D5A"/>
    <w:rsid w:val="009A1E43"/>
    <w:rsid w:val="009A1FD6"/>
    <w:rsid w:val="009A23E1"/>
    <w:rsid w:val="009A2766"/>
    <w:rsid w:val="009A2FC3"/>
    <w:rsid w:val="009A3181"/>
    <w:rsid w:val="009A36AC"/>
    <w:rsid w:val="009A36FE"/>
    <w:rsid w:val="009A38D7"/>
    <w:rsid w:val="009A3943"/>
    <w:rsid w:val="009A3B53"/>
    <w:rsid w:val="009A3EB9"/>
    <w:rsid w:val="009A4027"/>
    <w:rsid w:val="009A41D6"/>
    <w:rsid w:val="009A441E"/>
    <w:rsid w:val="009A4461"/>
    <w:rsid w:val="009A46CC"/>
    <w:rsid w:val="009A4B0B"/>
    <w:rsid w:val="009A4C1F"/>
    <w:rsid w:val="009A51C5"/>
    <w:rsid w:val="009A5388"/>
    <w:rsid w:val="009A54CB"/>
    <w:rsid w:val="009A5611"/>
    <w:rsid w:val="009A58E8"/>
    <w:rsid w:val="009A5B89"/>
    <w:rsid w:val="009A5F8D"/>
    <w:rsid w:val="009A60A1"/>
    <w:rsid w:val="009A617A"/>
    <w:rsid w:val="009A62A9"/>
    <w:rsid w:val="009A6544"/>
    <w:rsid w:val="009A658E"/>
    <w:rsid w:val="009A65B0"/>
    <w:rsid w:val="009A67C6"/>
    <w:rsid w:val="009A6863"/>
    <w:rsid w:val="009A6BA7"/>
    <w:rsid w:val="009A6CBB"/>
    <w:rsid w:val="009A750F"/>
    <w:rsid w:val="009A7544"/>
    <w:rsid w:val="009A7627"/>
    <w:rsid w:val="009A776F"/>
    <w:rsid w:val="009A7D90"/>
    <w:rsid w:val="009A7E32"/>
    <w:rsid w:val="009A7EDF"/>
    <w:rsid w:val="009B0114"/>
    <w:rsid w:val="009B0159"/>
    <w:rsid w:val="009B034D"/>
    <w:rsid w:val="009B0426"/>
    <w:rsid w:val="009B0452"/>
    <w:rsid w:val="009B06DA"/>
    <w:rsid w:val="009B07F3"/>
    <w:rsid w:val="009B0EAD"/>
    <w:rsid w:val="009B0F6F"/>
    <w:rsid w:val="009B152F"/>
    <w:rsid w:val="009B16EC"/>
    <w:rsid w:val="009B18FC"/>
    <w:rsid w:val="009B1A1C"/>
    <w:rsid w:val="009B1C21"/>
    <w:rsid w:val="009B1C34"/>
    <w:rsid w:val="009B1CE1"/>
    <w:rsid w:val="009B2361"/>
    <w:rsid w:val="009B2450"/>
    <w:rsid w:val="009B25D5"/>
    <w:rsid w:val="009B2739"/>
    <w:rsid w:val="009B28EA"/>
    <w:rsid w:val="009B2CA4"/>
    <w:rsid w:val="009B35AA"/>
    <w:rsid w:val="009B40AA"/>
    <w:rsid w:val="009B40B3"/>
    <w:rsid w:val="009B40B4"/>
    <w:rsid w:val="009B414A"/>
    <w:rsid w:val="009B414D"/>
    <w:rsid w:val="009B43A4"/>
    <w:rsid w:val="009B43D4"/>
    <w:rsid w:val="009B4475"/>
    <w:rsid w:val="009B4484"/>
    <w:rsid w:val="009B46A8"/>
    <w:rsid w:val="009B4888"/>
    <w:rsid w:val="009B48AE"/>
    <w:rsid w:val="009B4DF8"/>
    <w:rsid w:val="009B4F31"/>
    <w:rsid w:val="009B504C"/>
    <w:rsid w:val="009B5463"/>
    <w:rsid w:val="009B55F2"/>
    <w:rsid w:val="009B5A51"/>
    <w:rsid w:val="009B5C05"/>
    <w:rsid w:val="009B5CBD"/>
    <w:rsid w:val="009B5F1B"/>
    <w:rsid w:val="009B60F5"/>
    <w:rsid w:val="009B62F9"/>
    <w:rsid w:val="009B6457"/>
    <w:rsid w:val="009B6565"/>
    <w:rsid w:val="009B66D6"/>
    <w:rsid w:val="009B6BBB"/>
    <w:rsid w:val="009B6C13"/>
    <w:rsid w:val="009B73D6"/>
    <w:rsid w:val="009B7415"/>
    <w:rsid w:val="009B74DD"/>
    <w:rsid w:val="009B7558"/>
    <w:rsid w:val="009B775C"/>
    <w:rsid w:val="009B7845"/>
    <w:rsid w:val="009B786F"/>
    <w:rsid w:val="009B7A37"/>
    <w:rsid w:val="009B7A97"/>
    <w:rsid w:val="009C0156"/>
    <w:rsid w:val="009C02AF"/>
    <w:rsid w:val="009C0A3E"/>
    <w:rsid w:val="009C0D3A"/>
    <w:rsid w:val="009C0E89"/>
    <w:rsid w:val="009C107E"/>
    <w:rsid w:val="009C156A"/>
    <w:rsid w:val="009C1930"/>
    <w:rsid w:val="009C1B8E"/>
    <w:rsid w:val="009C1C04"/>
    <w:rsid w:val="009C1D03"/>
    <w:rsid w:val="009C1E44"/>
    <w:rsid w:val="009C261D"/>
    <w:rsid w:val="009C26FE"/>
    <w:rsid w:val="009C29B8"/>
    <w:rsid w:val="009C2A09"/>
    <w:rsid w:val="009C2A46"/>
    <w:rsid w:val="009C2F0E"/>
    <w:rsid w:val="009C2F80"/>
    <w:rsid w:val="009C3322"/>
    <w:rsid w:val="009C3C27"/>
    <w:rsid w:val="009C3DA8"/>
    <w:rsid w:val="009C3DE0"/>
    <w:rsid w:val="009C40D6"/>
    <w:rsid w:val="009C47EC"/>
    <w:rsid w:val="009C494B"/>
    <w:rsid w:val="009C4AC0"/>
    <w:rsid w:val="009C4AFC"/>
    <w:rsid w:val="009C4B7A"/>
    <w:rsid w:val="009C4C7D"/>
    <w:rsid w:val="009C4D87"/>
    <w:rsid w:val="009C4FB4"/>
    <w:rsid w:val="009C515D"/>
    <w:rsid w:val="009C517C"/>
    <w:rsid w:val="009C519E"/>
    <w:rsid w:val="009C5366"/>
    <w:rsid w:val="009C5461"/>
    <w:rsid w:val="009C57BD"/>
    <w:rsid w:val="009C5872"/>
    <w:rsid w:val="009C5924"/>
    <w:rsid w:val="009C59C1"/>
    <w:rsid w:val="009C5C37"/>
    <w:rsid w:val="009C6581"/>
    <w:rsid w:val="009C6652"/>
    <w:rsid w:val="009C6839"/>
    <w:rsid w:val="009C6C65"/>
    <w:rsid w:val="009C7273"/>
    <w:rsid w:val="009C72E1"/>
    <w:rsid w:val="009C73F8"/>
    <w:rsid w:val="009C7408"/>
    <w:rsid w:val="009C7461"/>
    <w:rsid w:val="009C7648"/>
    <w:rsid w:val="009C7662"/>
    <w:rsid w:val="009C77BF"/>
    <w:rsid w:val="009C7923"/>
    <w:rsid w:val="009C7A41"/>
    <w:rsid w:val="009C7D61"/>
    <w:rsid w:val="009C7E3B"/>
    <w:rsid w:val="009D00AA"/>
    <w:rsid w:val="009D0101"/>
    <w:rsid w:val="009D070F"/>
    <w:rsid w:val="009D0815"/>
    <w:rsid w:val="009D0904"/>
    <w:rsid w:val="009D0A3C"/>
    <w:rsid w:val="009D0DD3"/>
    <w:rsid w:val="009D0F9A"/>
    <w:rsid w:val="009D167D"/>
    <w:rsid w:val="009D1834"/>
    <w:rsid w:val="009D190E"/>
    <w:rsid w:val="009D1B7C"/>
    <w:rsid w:val="009D1ECB"/>
    <w:rsid w:val="009D1EE0"/>
    <w:rsid w:val="009D2269"/>
    <w:rsid w:val="009D23DE"/>
    <w:rsid w:val="009D24AD"/>
    <w:rsid w:val="009D2A6E"/>
    <w:rsid w:val="009D2CBC"/>
    <w:rsid w:val="009D31D6"/>
    <w:rsid w:val="009D363D"/>
    <w:rsid w:val="009D36C6"/>
    <w:rsid w:val="009D3C4B"/>
    <w:rsid w:val="009D3CDE"/>
    <w:rsid w:val="009D3F41"/>
    <w:rsid w:val="009D418A"/>
    <w:rsid w:val="009D4231"/>
    <w:rsid w:val="009D4400"/>
    <w:rsid w:val="009D455D"/>
    <w:rsid w:val="009D4795"/>
    <w:rsid w:val="009D4B20"/>
    <w:rsid w:val="009D4D1A"/>
    <w:rsid w:val="009D4E3D"/>
    <w:rsid w:val="009D4F36"/>
    <w:rsid w:val="009D52FF"/>
    <w:rsid w:val="009D5803"/>
    <w:rsid w:val="009D59BF"/>
    <w:rsid w:val="009D5C51"/>
    <w:rsid w:val="009D5E15"/>
    <w:rsid w:val="009D6825"/>
    <w:rsid w:val="009D6865"/>
    <w:rsid w:val="009D6EE0"/>
    <w:rsid w:val="009D7057"/>
    <w:rsid w:val="009D7146"/>
    <w:rsid w:val="009D7676"/>
    <w:rsid w:val="009D79BE"/>
    <w:rsid w:val="009D7B58"/>
    <w:rsid w:val="009D7BBD"/>
    <w:rsid w:val="009D7CC4"/>
    <w:rsid w:val="009E0A11"/>
    <w:rsid w:val="009E0A62"/>
    <w:rsid w:val="009E0A78"/>
    <w:rsid w:val="009E0DC5"/>
    <w:rsid w:val="009E0E2C"/>
    <w:rsid w:val="009E130C"/>
    <w:rsid w:val="009E13C8"/>
    <w:rsid w:val="009E13E5"/>
    <w:rsid w:val="009E1658"/>
    <w:rsid w:val="009E1C50"/>
    <w:rsid w:val="009E1F4D"/>
    <w:rsid w:val="009E21B9"/>
    <w:rsid w:val="009E26BA"/>
    <w:rsid w:val="009E27F1"/>
    <w:rsid w:val="009E2872"/>
    <w:rsid w:val="009E29C3"/>
    <w:rsid w:val="009E2B4F"/>
    <w:rsid w:val="009E2C60"/>
    <w:rsid w:val="009E2DB0"/>
    <w:rsid w:val="009E2FC7"/>
    <w:rsid w:val="009E31AE"/>
    <w:rsid w:val="009E31F9"/>
    <w:rsid w:val="009E34EE"/>
    <w:rsid w:val="009E3858"/>
    <w:rsid w:val="009E38A8"/>
    <w:rsid w:val="009E4179"/>
    <w:rsid w:val="009E4403"/>
    <w:rsid w:val="009E4693"/>
    <w:rsid w:val="009E47EF"/>
    <w:rsid w:val="009E4E2F"/>
    <w:rsid w:val="009E504C"/>
    <w:rsid w:val="009E511E"/>
    <w:rsid w:val="009E5A30"/>
    <w:rsid w:val="009E5E0E"/>
    <w:rsid w:val="009E5FCD"/>
    <w:rsid w:val="009E6057"/>
    <w:rsid w:val="009E6106"/>
    <w:rsid w:val="009E61F6"/>
    <w:rsid w:val="009E6227"/>
    <w:rsid w:val="009E65EA"/>
    <w:rsid w:val="009E6975"/>
    <w:rsid w:val="009E6A7A"/>
    <w:rsid w:val="009E6B1A"/>
    <w:rsid w:val="009E6B1B"/>
    <w:rsid w:val="009E6DF5"/>
    <w:rsid w:val="009E6E5A"/>
    <w:rsid w:val="009E71EC"/>
    <w:rsid w:val="009E7339"/>
    <w:rsid w:val="009E738F"/>
    <w:rsid w:val="009E7434"/>
    <w:rsid w:val="009E7490"/>
    <w:rsid w:val="009E7A8B"/>
    <w:rsid w:val="009F0001"/>
    <w:rsid w:val="009F01F6"/>
    <w:rsid w:val="009F032E"/>
    <w:rsid w:val="009F060A"/>
    <w:rsid w:val="009F09D9"/>
    <w:rsid w:val="009F0C3B"/>
    <w:rsid w:val="009F13DF"/>
    <w:rsid w:val="009F148F"/>
    <w:rsid w:val="009F1650"/>
    <w:rsid w:val="009F1725"/>
    <w:rsid w:val="009F176D"/>
    <w:rsid w:val="009F18AA"/>
    <w:rsid w:val="009F1C6A"/>
    <w:rsid w:val="009F246F"/>
    <w:rsid w:val="009F259A"/>
    <w:rsid w:val="009F2707"/>
    <w:rsid w:val="009F276C"/>
    <w:rsid w:val="009F278B"/>
    <w:rsid w:val="009F28A0"/>
    <w:rsid w:val="009F313B"/>
    <w:rsid w:val="009F371C"/>
    <w:rsid w:val="009F3E93"/>
    <w:rsid w:val="009F3EB7"/>
    <w:rsid w:val="009F4089"/>
    <w:rsid w:val="009F432C"/>
    <w:rsid w:val="009F48E2"/>
    <w:rsid w:val="009F4927"/>
    <w:rsid w:val="009F49A2"/>
    <w:rsid w:val="009F5405"/>
    <w:rsid w:val="009F5591"/>
    <w:rsid w:val="009F5B38"/>
    <w:rsid w:val="009F5D40"/>
    <w:rsid w:val="009F5F2D"/>
    <w:rsid w:val="009F61E8"/>
    <w:rsid w:val="009F62EB"/>
    <w:rsid w:val="009F638B"/>
    <w:rsid w:val="009F65CD"/>
    <w:rsid w:val="009F67E8"/>
    <w:rsid w:val="009F68F2"/>
    <w:rsid w:val="009F6BB8"/>
    <w:rsid w:val="009F72D9"/>
    <w:rsid w:val="009F796C"/>
    <w:rsid w:val="009F7BA1"/>
    <w:rsid w:val="009F7C02"/>
    <w:rsid w:val="009F7CEF"/>
    <w:rsid w:val="00A00343"/>
    <w:rsid w:val="00A0073F"/>
    <w:rsid w:val="00A00C71"/>
    <w:rsid w:val="00A013E8"/>
    <w:rsid w:val="00A01502"/>
    <w:rsid w:val="00A019EC"/>
    <w:rsid w:val="00A01C00"/>
    <w:rsid w:val="00A01D02"/>
    <w:rsid w:val="00A020A7"/>
    <w:rsid w:val="00A0228E"/>
    <w:rsid w:val="00A02373"/>
    <w:rsid w:val="00A02815"/>
    <w:rsid w:val="00A02884"/>
    <w:rsid w:val="00A02945"/>
    <w:rsid w:val="00A02956"/>
    <w:rsid w:val="00A02DA8"/>
    <w:rsid w:val="00A0327C"/>
    <w:rsid w:val="00A0374A"/>
    <w:rsid w:val="00A03A31"/>
    <w:rsid w:val="00A03CCB"/>
    <w:rsid w:val="00A03CD4"/>
    <w:rsid w:val="00A03CFF"/>
    <w:rsid w:val="00A03FA4"/>
    <w:rsid w:val="00A03FE4"/>
    <w:rsid w:val="00A0402F"/>
    <w:rsid w:val="00A040C9"/>
    <w:rsid w:val="00A043CA"/>
    <w:rsid w:val="00A0443E"/>
    <w:rsid w:val="00A04EB9"/>
    <w:rsid w:val="00A05196"/>
    <w:rsid w:val="00A052DC"/>
    <w:rsid w:val="00A053CE"/>
    <w:rsid w:val="00A05504"/>
    <w:rsid w:val="00A0576A"/>
    <w:rsid w:val="00A05AA9"/>
    <w:rsid w:val="00A05D5B"/>
    <w:rsid w:val="00A06007"/>
    <w:rsid w:val="00A0611F"/>
    <w:rsid w:val="00A06424"/>
    <w:rsid w:val="00A06792"/>
    <w:rsid w:val="00A067BA"/>
    <w:rsid w:val="00A06BCA"/>
    <w:rsid w:val="00A06C3E"/>
    <w:rsid w:val="00A06DC9"/>
    <w:rsid w:val="00A06EEB"/>
    <w:rsid w:val="00A0715A"/>
    <w:rsid w:val="00A07607"/>
    <w:rsid w:val="00A07748"/>
    <w:rsid w:val="00A07A6F"/>
    <w:rsid w:val="00A07D3F"/>
    <w:rsid w:val="00A07DCF"/>
    <w:rsid w:val="00A0DAC0"/>
    <w:rsid w:val="00A101C3"/>
    <w:rsid w:val="00A1044E"/>
    <w:rsid w:val="00A106B5"/>
    <w:rsid w:val="00A10C51"/>
    <w:rsid w:val="00A10E1D"/>
    <w:rsid w:val="00A10E4D"/>
    <w:rsid w:val="00A1124D"/>
    <w:rsid w:val="00A113E2"/>
    <w:rsid w:val="00A1142E"/>
    <w:rsid w:val="00A115E3"/>
    <w:rsid w:val="00A11B36"/>
    <w:rsid w:val="00A11C05"/>
    <w:rsid w:val="00A11CD7"/>
    <w:rsid w:val="00A11E5B"/>
    <w:rsid w:val="00A11EF8"/>
    <w:rsid w:val="00A11F2F"/>
    <w:rsid w:val="00A11FC7"/>
    <w:rsid w:val="00A1204D"/>
    <w:rsid w:val="00A12437"/>
    <w:rsid w:val="00A12909"/>
    <w:rsid w:val="00A129EC"/>
    <w:rsid w:val="00A12A89"/>
    <w:rsid w:val="00A12AF4"/>
    <w:rsid w:val="00A12B4A"/>
    <w:rsid w:val="00A12BDB"/>
    <w:rsid w:val="00A13056"/>
    <w:rsid w:val="00A1353B"/>
    <w:rsid w:val="00A13668"/>
    <w:rsid w:val="00A13855"/>
    <w:rsid w:val="00A13943"/>
    <w:rsid w:val="00A13A02"/>
    <w:rsid w:val="00A13A37"/>
    <w:rsid w:val="00A13AAD"/>
    <w:rsid w:val="00A13AD4"/>
    <w:rsid w:val="00A13E06"/>
    <w:rsid w:val="00A13F79"/>
    <w:rsid w:val="00A1519E"/>
    <w:rsid w:val="00A15358"/>
    <w:rsid w:val="00A156C7"/>
    <w:rsid w:val="00A15789"/>
    <w:rsid w:val="00A1584F"/>
    <w:rsid w:val="00A158E2"/>
    <w:rsid w:val="00A15995"/>
    <w:rsid w:val="00A159EA"/>
    <w:rsid w:val="00A15DCB"/>
    <w:rsid w:val="00A16029"/>
    <w:rsid w:val="00A16141"/>
    <w:rsid w:val="00A161BA"/>
    <w:rsid w:val="00A161F0"/>
    <w:rsid w:val="00A1620B"/>
    <w:rsid w:val="00A165CA"/>
    <w:rsid w:val="00A1677D"/>
    <w:rsid w:val="00A16A34"/>
    <w:rsid w:val="00A16E7C"/>
    <w:rsid w:val="00A170BF"/>
    <w:rsid w:val="00A17848"/>
    <w:rsid w:val="00A178A5"/>
    <w:rsid w:val="00A17C32"/>
    <w:rsid w:val="00A20151"/>
    <w:rsid w:val="00A20360"/>
    <w:rsid w:val="00A207E1"/>
    <w:rsid w:val="00A208AE"/>
    <w:rsid w:val="00A20A6E"/>
    <w:rsid w:val="00A20AB4"/>
    <w:rsid w:val="00A211D3"/>
    <w:rsid w:val="00A21637"/>
    <w:rsid w:val="00A219C7"/>
    <w:rsid w:val="00A21B19"/>
    <w:rsid w:val="00A21BED"/>
    <w:rsid w:val="00A21E06"/>
    <w:rsid w:val="00A21E67"/>
    <w:rsid w:val="00A21EC7"/>
    <w:rsid w:val="00A22206"/>
    <w:rsid w:val="00A22280"/>
    <w:rsid w:val="00A2240A"/>
    <w:rsid w:val="00A224F7"/>
    <w:rsid w:val="00A225F5"/>
    <w:rsid w:val="00A22B8A"/>
    <w:rsid w:val="00A22BB3"/>
    <w:rsid w:val="00A22CD5"/>
    <w:rsid w:val="00A234CA"/>
    <w:rsid w:val="00A23C75"/>
    <w:rsid w:val="00A23C87"/>
    <w:rsid w:val="00A23C9E"/>
    <w:rsid w:val="00A2471F"/>
    <w:rsid w:val="00A2486F"/>
    <w:rsid w:val="00A24A5D"/>
    <w:rsid w:val="00A24D75"/>
    <w:rsid w:val="00A24F51"/>
    <w:rsid w:val="00A2526E"/>
    <w:rsid w:val="00A2566E"/>
    <w:rsid w:val="00A25A1A"/>
    <w:rsid w:val="00A25B4C"/>
    <w:rsid w:val="00A25C9A"/>
    <w:rsid w:val="00A2640A"/>
    <w:rsid w:val="00A2649E"/>
    <w:rsid w:val="00A2681D"/>
    <w:rsid w:val="00A26979"/>
    <w:rsid w:val="00A26F0E"/>
    <w:rsid w:val="00A273EE"/>
    <w:rsid w:val="00A27470"/>
    <w:rsid w:val="00A2790B"/>
    <w:rsid w:val="00A27AE6"/>
    <w:rsid w:val="00A3002E"/>
    <w:rsid w:val="00A30424"/>
    <w:rsid w:val="00A30515"/>
    <w:rsid w:val="00A308FE"/>
    <w:rsid w:val="00A3094F"/>
    <w:rsid w:val="00A30FC1"/>
    <w:rsid w:val="00A3122F"/>
    <w:rsid w:val="00A312B7"/>
    <w:rsid w:val="00A31662"/>
    <w:rsid w:val="00A317AF"/>
    <w:rsid w:val="00A31ECC"/>
    <w:rsid w:val="00A31FA2"/>
    <w:rsid w:val="00A321F5"/>
    <w:rsid w:val="00A32CA3"/>
    <w:rsid w:val="00A32E91"/>
    <w:rsid w:val="00A33821"/>
    <w:rsid w:val="00A3388A"/>
    <w:rsid w:val="00A338D4"/>
    <w:rsid w:val="00A33A94"/>
    <w:rsid w:val="00A33BDF"/>
    <w:rsid w:val="00A33D77"/>
    <w:rsid w:val="00A3406C"/>
    <w:rsid w:val="00A3414C"/>
    <w:rsid w:val="00A343F0"/>
    <w:rsid w:val="00A3454C"/>
    <w:rsid w:val="00A34F73"/>
    <w:rsid w:val="00A351FA"/>
    <w:rsid w:val="00A35508"/>
    <w:rsid w:val="00A35831"/>
    <w:rsid w:val="00A35A07"/>
    <w:rsid w:val="00A35AFB"/>
    <w:rsid w:val="00A35C52"/>
    <w:rsid w:val="00A35CD7"/>
    <w:rsid w:val="00A35CE8"/>
    <w:rsid w:val="00A35E49"/>
    <w:rsid w:val="00A36248"/>
    <w:rsid w:val="00A362C5"/>
    <w:rsid w:val="00A36681"/>
    <w:rsid w:val="00A368C3"/>
    <w:rsid w:val="00A368EF"/>
    <w:rsid w:val="00A36A82"/>
    <w:rsid w:val="00A36A83"/>
    <w:rsid w:val="00A371C7"/>
    <w:rsid w:val="00A373F2"/>
    <w:rsid w:val="00A37797"/>
    <w:rsid w:val="00A379F1"/>
    <w:rsid w:val="00A37E62"/>
    <w:rsid w:val="00A37FC9"/>
    <w:rsid w:val="00A40390"/>
    <w:rsid w:val="00A40EAE"/>
    <w:rsid w:val="00A4187A"/>
    <w:rsid w:val="00A418BF"/>
    <w:rsid w:val="00A41B51"/>
    <w:rsid w:val="00A41D8A"/>
    <w:rsid w:val="00A41DE8"/>
    <w:rsid w:val="00A41F55"/>
    <w:rsid w:val="00A4231A"/>
    <w:rsid w:val="00A423A1"/>
    <w:rsid w:val="00A427E4"/>
    <w:rsid w:val="00A4288D"/>
    <w:rsid w:val="00A4290E"/>
    <w:rsid w:val="00A4292C"/>
    <w:rsid w:val="00A42B1A"/>
    <w:rsid w:val="00A42EE7"/>
    <w:rsid w:val="00A435F2"/>
    <w:rsid w:val="00A4399A"/>
    <w:rsid w:val="00A43BB3"/>
    <w:rsid w:val="00A43F35"/>
    <w:rsid w:val="00A44648"/>
    <w:rsid w:val="00A44991"/>
    <w:rsid w:val="00A44AA9"/>
    <w:rsid w:val="00A44B47"/>
    <w:rsid w:val="00A44D24"/>
    <w:rsid w:val="00A455DA"/>
    <w:rsid w:val="00A45641"/>
    <w:rsid w:val="00A4566D"/>
    <w:rsid w:val="00A456EF"/>
    <w:rsid w:val="00A4582F"/>
    <w:rsid w:val="00A45F7E"/>
    <w:rsid w:val="00A460FB"/>
    <w:rsid w:val="00A4621D"/>
    <w:rsid w:val="00A464A9"/>
    <w:rsid w:val="00A46887"/>
    <w:rsid w:val="00A46BAF"/>
    <w:rsid w:val="00A46C85"/>
    <w:rsid w:val="00A46EE5"/>
    <w:rsid w:val="00A47049"/>
    <w:rsid w:val="00A470C2"/>
    <w:rsid w:val="00A47165"/>
    <w:rsid w:val="00A47589"/>
    <w:rsid w:val="00A47CF8"/>
    <w:rsid w:val="00A47D07"/>
    <w:rsid w:val="00A47EAC"/>
    <w:rsid w:val="00A50396"/>
    <w:rsid w:val="00A505C2"/>
    <w:rsid w:val="00A5081E"/>
    <w:rsid w:val="00A50921"/>
    <w:rsid w:val="00A50A59"/>
    <w:rsid w:val="00A50A8B"/>
    <w:rsid w:val="00A50B40"/>
    <w:rsid w:val="00A50D38"/>
    <w:rsid w:val="00A50FD3"/>
    <w:rsid w:val="00A513AA"/>
    <w:rsid w:val="00A515CA"/>
    <w:rsid w:val="00A517E5"/>
    <w:rsid w:val="00A51B6F"/>
    <w:rsid w:val="00A51B72"/>
    <w:rsid w:val="00A51D64"/>
    <w:rsid w:val="00A51EB4"/>
    <w:rsid w:val="00A52144"/>
    <w:rsid w:val="00A521FB"/>
    <w:rsid w:val="00A523B4"/>
    <w:rsid w:val="00A52679"/>
    <w:rsid w:val="00A5277E"/>
    <w:rsid w:val="00A5278A"/>
    <w:rsid w:val="00A531C5"/>
    <w:rsid w:val="00A53832"/>
    <w:rsid w:val="00A5394E"/>
    <w:rsid w:val="00A53C06"/>
    <w:rsid w:val="00A53E99"/>
    <w:rsid w:val="00A53F4B"/>
    <w:rsid w:val="00A543B4"/>
    <w:rsid w:val="00A54489"/>
    <w:rsid w:val="00A54649"/>
    <w:rsid w:val="00A5480E"/>
    <w:rsid w:val="00A54EC2"/>
    <w:rsid w:val="00A54F44"/>
    <w:rsid w:val="00A556D6"/>
    <w:rsid w:val="00A5588F"/>
    <w:rsid w:val="00A55ACA"/>
    <w:rsid w:val="00A56495"/>
    <w:rsid w:val="00A56CD0"/>
    <w:rsid w:val="00A56CF1"/>
    <w:rsid w:val="00A56DAB"/>
    <w:rsid w:val="00A56E16"/>
    <w:rsid w:val="00A56E19"/>
    <w:rsid w:val="00A56FAD"/>
    <w:rsid w:val="00A57451"/>
    <w:rsid w:val="00A57645"/>
    <w:rsid w:val="00A5772B"/>
    <w:rsid w:val="00A57CAD"/>
    <w:rsid w:val="00A57F18"/>
    <w:rsid w:val="00A57FAF"/>
    <w:rsid w:val="00A60062"/>
    <w:rsid w:val="00A605D0"/>
    <w:rsid w:val="00A6068E"/>
    <w:rsid w:val="00A60C56"/>
    <w:rsid w:val="00A60DEE"/>
    <w:rsid w:val="00A61052"/>
    <w:rsid w:val="00A61448"/>
    <w:rsid w:val="00A6169F"/>
    <w:rsid w:val="00A616E3"/>
    <w:rsid w:val="00A616F9"/>
    <w:rsid w:val="00A61748"/>
    <w:rsid w:val="00A61C6B"/>
    <w:rsid w:val="00A62402"/>
    <w:rsid w:val="00A62B5B"/>
    <w:rsid w:val="00A633D4"/>
    <w:rsid w:val="00A63426"/>
    <w:rsid w:val="00A63487"/>
    <w:rsid w:val="00A63733"/>
    <w:rsid w:val="00A63BE0"/>
    <w:rsid w:val="00A63C0F"/>
    <w:rsid w:val="00A63C53"/>
    <w:rsid w:val="00A642E3"/>
    <w:rsid w:val="00A64EB4"/>
    <w:rsid w:val="00A64FA5"/>
    <w:rsid w:val="00A650E2"/>
    <w:rsid w:val="00A6521A"/>
    <w:rsid w:val="00A6533F"/>
    <w:rsid w:val="00A655E7"/>
    <w:rsid w:val="00A6584B"/>
    <w:rsid w:val="00A65B51"/>
    <w:rsid w:val="00A65C88"/>
    <w:rsid w:val="00A65CEC"/>
    <w:rsid w:val="00A65FFE"/>
    <w:rsid w:val="00A66466"/>
    <w:rsid w:val="00A66702"/>
    <w:rsid w:val="00A6679F"/>
    <w:rsid w:val="00A66CDD"/>
    <w:rsid w:val="00A66E1E"/>
    <w:rsid w:val="00A670D9"/>
    <w:rsid w:val="00A6736D"/>
    <w:rsid w:val="00A677CE"/>
    <w:rsid w:val="00A67A35"/>
    <w:rsid w:val="00A67BAB"/>
    <w:rsid w:val="00A700AB"/>
    <w:rsid w:val="00A70BC1"/>
    <w:rsid w:val="00A70C52"/>
    <w:rsid w:val="00A70EE6"/>
    <w:rsid w:val="00A7156A"/>
    <w:rsid w:val="00A71633"/>
    <w:rsid w:val="00A71724"/>
    <w:rsid w:val="00A71A6A"/>
    <w:rsid w:val="00A71E72"/>
    <w:rsid w:val="00A7219E"/>
    <w:rsid w:val="00A721C7"/>
    <w:rsid w:val="00A722CE"/>
    <w:rsid w:val="00A722DF"/>
    <w:rsid w:val="00A7270D"/>
    <w:rsid w:val="00A7282B"/>
    <w:rsid w:val="00A72919"/>
    <w:rsid w:val="00A72A3D"/>
    <w:rsid w:val="00A73096"/>
    <w:rsid w:val="00A73130"/>
    <w:rsid w:val="00A7322E"/>
    <w:rsid w:val="00A73360"/>
    <w:rsid w:val="00A735FE"/>
    <w:rsid w:val="00A73F3C"/>
    <w:rsid w:val="00A740D2"/>
    <w:rsid w:val="00A740E4"/>
    <w:rsid w:val="00A7425D"/>
    <w:rsid w:val="00A74288"/>
    <w:rsid w:val="00A74629"/>
    <w:rsid w:val="00A74784"/>
    <w:rsid w:val="00A74A2E"/>
    <w:rsid w:val="00A74AC1"/>
    <w:rsid w:val="00A74CC9"/>
    <w:rsid w:val="00A74F05"/>
    <w:rsid w:val="00A74F7E"/>
    <w:rsid w:val="00A754FA"/>
    <w:rsid w:val="00A756AC"/>
    <w:rsid w:val="00A75906"/>
    <w:rsid w:val="00A759CC"/>
    <w:rsid w:val="00A75A54"/>
    <w:rsid w:val="00A75D66"/>
    <w:rsid w:val="00A75EC9"/>
    <w:rsid w:val="00A75FAA"/>
    <w:rsid w:val="00A760F3"/>
    <w:rsid w:val="00A7614E"/>
    <w:rsid w:val="00A762CE"/>
    <w:rsid w:val="00A76331"/>
    <w:rsid w:val="00A76361"/>
    <w:rsid w:val="00A765E3"/>
    <w:rsid w:val="00A77117"/>
    <w:rsid w:val="00A77D37"/>
    <w:rsid w:val="00A77E5B"/>
    <w:rsid w:val="00A80982"/>
    <w:rsid w:val="00A80F33"/>
    <w:rsid w:val="00A80F41"/>
    <w:rsid w:val="00A80FAE"/>
    <w:rsid w:val="00A814DD"/>
    <w:rsid w:val="00A8164A"/>
    <w:rsid w:val="00A81DD9"/>
    <w:rsid w:val="00A821BC"/>
    <w:rsid w:val="00A822A1"/>
    <w:rsid w:val="00A822C9"/>
    <w:rsid w:val="00A825AF"/>
    <w:rsid w:val="00A8264F"/>
    <w:rsid w:val="00A829B2"/>
    <w:rsid w:val="00A82D0B"/>
    <w:rsid w:val="00A82D86"/>
    <w:rsid w:val="00A82F25"/>
    <w:rsid w:val="00A8339E"/>
    <w:rsid w:val="00A836C7"/>
    <w:rsid w:val="00A837B2"/>
    <w:rsid w:val="00A837DE"/>
    <w:rsid w:val="00A83CA3"/>
    <w:rsid w:val="00A83FDB"/>
    <w:rsid w:val="00A8410C"/>
    <w:rsid w:val="00A841DB"/>
    <w:rsid w:val="00A84348"/>
    <w:rsid w:val="00A84586"/>
    <w:rsid w:val="00A8462D"/>
    <w:rsid w:val="00A8472D"/>
    <w:rsid w:val="00A8474D"/>
    <w:rsid w:val="00A8474F"/>
    <w:rsid w:val="00A84C1B"/>
    <w:rsid w:val="00A84EBF"/>
    <w:rsid w:val="00A84FC7"/>
    <w:rsid w:val="00A84FEE"/>
    <w:rsid w:val="00A853B2"/>
    <w:rsid w:val="00A853CD"/>
    <w:rsid w:val="00A853F6"/>
    <w:rsid w:val="00A8555C"/>
    <w:rsid w:val="00A85729"/>
    <w:rsid w:val="00A85BD2"/>
    <w:rsid w:val="00A85FDF"/>
    <w:rsid w:val="00A861D6"/>
    <w:rsid w:val="00A8623D"/>
    <w:rsid w:val="00A864CD"/>
    <w:rsid w:val="00A866DF"/>
    <w:rsid w:val="00A8727F"/>
    <w:rsid w:val="00A8754F"/>
    <w:rsid w:val="00A8769B"/>
    <w:rsid w:val="00A87A51"/>
    <w:rsid w:val="00A87C6D"/>
    <w:rsid w:val="00A87F39"/>
    <w:rsid w:val="00A8FC52"/>
    <w:rsid w:val="00A90084"/>
    <w:rsid w:val="00A901A5"/>
    <w:rsid w:val="00A9029E"/>
    <w:rsid w:val="00A902C6"/>
    <w:rsid w:val="00A9052D"/>
    <w:rsid w:val="00A905F8"/>
    <w:rsid w:val="00A9075D"/>
    <w:rsid w:val="00A90A5F"/>
    <w:rsid w:val="00A90A7D"/>
    <w:rsid w:val="00A90B10"/>
    <w:rsid w:val="00A90C1F"/>
    <w:rsid w:val="00A90CE5"/>
    <w:rsid w:val="00A90E7C"/>
    <w:rsid w:val="00A9114E"/>
    <w:rsid w:val="00A91313"/>
    <w:rsid w:val="00A9153E"/>
    <w:rsid w:val="00A91AFF"/>
    <w:rsid w:val="00A92539"/>
    <w:rsid w:val="00A92925"/>
    <w:rsid w:val="00A92BE5"/>
    <w:rsid w:val="00A92D60"/>
    <w:rsid w:val="00A92F84"/>
    <w:rsid w:val="00A932A2"/>
    <w:rsid w:val="00A93324"/>
    <w:rsid w:val="00A936F5"/>
    <w:rsid w:val="00A93BA7"/>
    <w:rsid w:val="00A93D6C"/>
    <w:rsid w:val="00A93DEA"/>
    <w:rsid w:val="00A93F46"/>
    <w:rsid w:val="00A94364"/>
    <w:rsid w:val="00A94373"/>
    <w:rsid w:val="00A943C9"/>
    <w:rsid w:val="00A953DC"/>
    <w:rsid w:val="00A95B60"/>
    <w:rsid w:val="00A95E27"/>
    <w:rsid w:val="00A95E70"/>
    <w:rsid w:val="00A96017"/>
    <w:rsid w:val="00A96D63"/>
    <w:rsid w:val="00A96E44"/>
    <w:rsid w:val="00A97083"/>
    <w:rsid w:val="00A970C6"/>
    <w:rsid w:val="00A974BC"/>
    <w:rsid w:val="00A97926"/>
    <w:rsid w:val="00A97963"/>
    <w:rsid w:val="00A97EB7"/>
    <w:rsid w:val="00AA01F0"/>
    <w:rsid w:val="00AA0326"/>
    <w:rsid w:val="00AA0455"/>
    <w:rsid w:val="00AA05E3"/>
    <w:rsid w:val="00AA0A95"/>
    <w:rsid w:val="00AA0BDC"/>
    <w:rsid w:val="00AA0E37"/>
    <w:rsid w:val="00AA0F95"/>
    <w:rsid w:val="00AA109E"/>
    <w:rsid w:val="00AA11D1"/>
    <w:rsid w:val="00AA14C0"/>
    <w:rsid w:val="00AA1615"/>
    <w:rsid w:val="00AA19A6"/>
    <w:rsid w:val="00AA1CCE"/>
    <w:rsid w:val="00AA21DB"/>
    <w:rsid w:val="00AA2259"/>
    <w:rsid w:val="00AA297C"/>
    <w:rsid w:val="00AA2AE9"/>
    <w:rsid w:val="00AA2B38"/>
    <w:rsid w:val="00AA2BCF"/>
    <w:rsid w:val="00AA2BFE"/>
    <w:rsid w:val="00AA2C0B"/>
    <w:rsid w:val="00AA2EEE"/>
    <w:rsid w:val="00AA3109"/>
    <w:rsid w:val="00AA3392"/>
    <w:rsid w:val="00AA3509"/>
    <w:rsid w:val="00AA3A8C"/>
    <w:rsid w:val="00AA3C1B"/>
    <w:rsid w:val="00AA3DE0"/>
    <w:rsid w:val="00AA3F58"/>
    <w:rsid w:val="00AA493D"/>
    <w:rsid w:val="00AA4BFE"/>
    <w:rsid w:val="00AA4DB2"/>
    <w:rsid w:val="00AA5253"/>
    <w:rsid w:val="00AA5257"/>
    <w:rsid w:val="00AA5606"/>
    <w:rsid w:val="00AA57D4"/>
    <w:rsid w:val="00AA599A"/>
    <w:rsid w:val="00AA5B74"/>
    <w:rsid w:val="00AA5CE0"/>
    <w:rsid w:val="00AA5FB5"/>
    <w:rsid w:val="00AA603E"/>
    <w:rsid w:val="00AA610D"/>
    <w:rsid w:val="00AA626F"/>
    <w:rsid w:val="00AA6673"/>
    <w:rsid w:val="00AA68AF"/>
    <w:rsid w:val="00AA68BC"/>
    <w:rsid w:val="00AA6C32"/>
    <w:rsid w:val="00AA6FB0"/>
    <w:rsid w:val="00AA70A5"/>
    <w:rsid w:val="00AA7275"/>
    <w:rsid w:val="00AA746B"/>
    <w:rsid w:val="00AA74F9"/>
    <w:rsid w:val="00AA790C"/>
    <w:rsid w:val="00AA7958"/>
    <w:rsid w:val="00AA7A3D"/>
    <w:rsid w:val="00AA7DD1"/>
    <w:rsid w:val="00AAA69A"/>
    <w:rsid w:val="00AB011D"/>
    <w:rsid w:val="00AB033D"/>
    <w:rsid w:val="00AB06C9"/>
    <w:rsid w:val="00AB0C39"/>
    <w:rsid w:val="00AB0CBA"/>
    <w:rsid w:val="00AB0DE1"/>
    <w:rsid w:val="00AB0E8E"/>
    <w:rsid w:val="00AB104F"/>
    <w:rsid w:val="00AB1125"/>
    <w:rsid w:val="00AB1517"/>
    <w:rsid w:val="00AB1642"/>
    <w:rsid w:val="00AB1689"/>
    <w:rsid w:val="00AB174E"/>
    <w:rsid w:val="00AB1A4F"/>
    <w:rsid w:val="00AB1B89"/>
    <w:rsid w:val="00AB1EC0"/>
    <w:rsid w:val="00AB20BD"/>
    <w:rsid w:val="00AB2603"/>
    <w:rsid w:val="00AB27B9"/>
    <w:rsid w:val="00AB2809"/>
    <w:rsid w:val="00AB28B3"/>
    <w:rsid w:val="00AB2AFF"/>
    <w:rsid w:val="00AB2F44"/>
    <w:rsid w:val="00AB30F7"/>
    <w:rsid w:val="00AB3597"/>
    <w:rsid w:val="00AB36BC"/>
    <w:rsid w:val="00AB3991"/>
    <w:rsid w:val="00AB3BF4"/>
    <w:rsid w:val="00AB4419"/>
    <w:rsid w:val="00AB4590"/>
    <w:rsid w:val="00AB46BA"/>
    <w:rsid w:val="00AB477D"/>
    <w:rsid w:val="00AB4CC0"/>
    <w:rsid w:val="00AB4F5B"/>
    <w:rsid w:val="00AB5093"/>
    <w:rsid w:val="00AB599D"/>
    <w:rsid w:val="00AB5A9E"/>
    <w:rsid w:val="00AB5C9D"/>
    <w:rsid w:val="00AB5F24"/>
    <w:rsid w:val="00AB673C"/>
    <w:rsid w:val="00AB6835"/>
    <w:rsid w:val="00AB7135"/>
    <w:rsid w:val="00AB7141"/>
    <w:rsid w:val="00AB720C"/>
    <w:rsid w:val="00AB7FE8"/>
    <w:rsid w:val="00AC0124"/>
    <w:rsid w:val="00AC023C"/>
    <w:rsid w:val="00AC02A2"/>
    <w:rsid w:val="00AC0975"/>
    <w:rsid w:val="00AC0CC4"/>
    <w:rsid w:val="00AC1043"/>
    <w:rsid w:val="00AC13E1"/>
    <w:rsid w:val="00AC14C3"/>
    <w:rsid w:val="00AC158A"/>
    <w:rsid w:val="00AC19EA"/>
    <w:rsid w:val="00AC1CF4"/>
    <w:rsid w:val="00AC235F"/>
    <w:rsid w:val="00AC24F8"/>
    <w:rsid w:val="00AC2623"/>
    <w:rsid w:val="00AC26CA"/>
    <w:rsid w:val="00AC26F9"/>
    <w:rsid w:val="00AC2953"/>
    <w:rsid w:val="00AC2ADE"/>
    <w:rsid w:val="00AC2CE3"/>
    <w:rsid w:val="00AC2E11"/>
    <w:rsid w:val="00AC2F58"/>
    <w:rsid w:val="00AC2F8F"/>
    <w:rsid w:val="00AC2FB8"/>
    <w:rsid w:val="00AC3149"/>
    <w:rsid w:val="00AC32FC"/>
    <w:rsid w:val="00AC33CF"/>
    <w:rsid w:val="00AC3467"/>
    <w:rsid w:val="00AC3741"/>
    <w:rsid w:val="00AC3D58"/>
    <w:rsid w:val="00AC4318"/>
    <w:rsid w:val="00AC442A"/>
    <w:rsid w:val="00AC473E"/>
    <w:rsid w:val="00AC483D"/>
    <w:rsid w:val="00AC48BD"/>
    <w:rsid w:val="00AC4932"/>
    <w:rsid w:val="00AC4C9C"/>
    <w:rsid w:val="00AC54E9"/>
    <w:rsid w:val="00AC5ACC"/>
    <w:rsid w:val="00AC5C17"/>
    <w:rsid w:val="00AC6311"/>
    <w:rsid w:val="00AC6338"/>
    <w:rsid w:val="00AC659F"/>
    <w:rsid w:val="00AC6653"/>
    <w:rsid w:val="00AC691B"/>
    <w:rsid w:val="00AC6CE9"/>
    <w:rsid w:val="00AC6E84"/>
    <w:rsid w:val="00AC6F26"/>
    <w:rsid w:val="00AC73A9"/>
    <w:rsid w:val="00AC73F7"/>
    <w:rsid w:val="00AC742B"/>
    <w:rsid w:val="00AC792E"/>
    <w:rsid w:val="00AC7A28"/>
    <w:rsid w:val="00AC7A9F"/>
    <w:rsid w:val="00AC7B41"/>
    <w:rsid w:val="00AC7DAA"/>
    <w:rsid w:val="00AD04E4"/>
    <w:rsid w:val="00AD0532"/>
    <w:rsid w:val="00AD07B5"/>
    <w:rsid w:val="00AD0896"/>
    <w:rsid w:val="00AD0B26"/>
    <w:rsid w:val="00AD0DC2"/>
    <w:rsid w:val="00AD0EDA"/>
    <w:rsid w:val="00AD0F6A"/>
    <w:rsid w:val="00AD0FAD"/>
    <w:rsid w:val="00AD11F9"/>
    <w:rsid w:val="00AD185B"/>
    <w:rsid w:val="00AD19E3"/>
    <w:rsid w:val="00AD1B12"/>
    <w:rsid w:val="00AD1B89"/>
    <w:rsid w:val="00AD1BD7"/>
    <w:rsid w:val="00AD1F9F"/>
    <w:rsid w:val="00AD24FF"/>
    <w:rsid w:val="00AD2616"/>
    <w:rsid w:val="00AD275D"/>
    <w:rsid w:val="00AD287A"/>
    <w:rsid w:val="00AD2BB3"/>
    <w:rsid w:val="00AD2CB4"/>
    <w:rsid w:val="00AD2CEA"/>
    <w:rsid w:val="00AD2DC8"/>
    <w:rsid w:val="00AD31A7"/>
    <w:rsid w:val="00AD330D"/>
    <w:rsid w:val="00AD3668"/>
    <w:rsid w:val="00AD3C1D"/>
    <w:rsid w:val="00AD3D99"/>
    <w:rsid w:val="00AD44B5"/>
    <w:rsid w:val="00AD44DF"/>
    <w:rsid w:val="00AD48EB"/>
    <w:rsid w:val="00AD4B9F"/>
    <w:rsid w:val="00AD4D62"/>
    <w:rsid w:val="00AD4EE7"/>
    <w:rsid w:val="00AD5078"/>
    <w:rsid w:val="00AD53FF"/>
    <w:rsid w:val="00AD5498"/>
    <w:rsid w:val="00AD567F"/>
    <w:rsid w:val="00AD5866"/>
    <w:rsid w:val="00AD5890"/>
    <w:rsid w:val="00AD58E0"/>
    <w:rsid w:val="00AD5A1D"/>
    <w:rsid w:val="00AD5E55"/>
    <w:rsid w:val="00AD5F9A"/>
    <w:rsid w:val="00AD6303"/>
    <w:rsid w:val="00AD67A6"/>
    <w:rsid w:val="00AD67FB"/>
    <w:rsid w:val="00AD6CA1"/>
    <w:rsid w:val="00AD6E2A"/>
    <w:rsid w:val="00AD6F72"/>
    <w:rsid w:val="00AD7075"/>
    <w:rsid w:val="00AD720A"/>
    <w:rsid w:val="00AD73BA"/>
    <w:rsid w:val="00AD776C"/>
    <w:rsid w:val="00AE11A4"/>
    <w:rsid w:val="00AE1333"/>
    <w:rsid w:val="00AE14D2"/>
    <w:rsid w:val="00AE14F2"/>
    <w:rsid w:val="00AE17FF"/>
    <w:rsid w:val="00AE1929"/>
    <w:rsid w:val="00AE19C0"/>
    <w:rsid w:val="00AE1A75"/>
    <w:rsid w:val="00AE1D09"/>
    <w:rsid w:val="00AE1E13"/>
    <w:rsid w:val="00AE262C"/>
    <w:rsid w:val="00AE2684"/>
    <w:rsid w:val="00AE2BE8"/>
    <w:rsid w:val="00AE2C99"/>
    <w:rsid w:val="00AE2F79"/>
    <w:rsid w:val="00AE31BE"/>
    <w:rsid w:val="00AE3381"/>
    <w:rsid w:val="00AE3534"/>
    <w:rsid w:val="00AE3695"/>
    <w:rsid w:val="00AE3D54"/>
    <w:rsid w:val="00AE3D67"/>
    <w:rsid w:val="00AE404A"/>
    <w:rsid w:val="00AE4360"/>
    <w:rsid w:val="00AE4596"/>
    <w:rsid w:val="00AE4AF4"/>
    <w:rsid w:val="00AE5004"/>
    <w:rsid w:val="00AE502A"/>
    <w:rsid w:val="00AE5075"/>
    <w:rsid w:val="00AE5107"/>
    <w:rsid w:val="00AE5236"/>
    <w:rsid w:val="00AE55FB"/>
    <w:rsid w:val="00AE5679"/>
    <w:rsid w:val="00AE586C"/>
    <w:rsid w:val="00AE5C03"/>
    <w:rsid w:val="00AE5D39"/>
    <w:rsid w:val="00AE6004"/>
    <w:rsid w:val="00AE60AA"/>
    <w:rsid w:val="00AE6184"/>
    <w:rsid w:val="00AE63C2"/>
    <w:rsid w:val="00AE640C"/>
    <w:rsid w:val="00AE64B1"/>
    <w:rsid w:val="00AE6712"/>
    <w:rsid w:val="00AE6A0C"/>
    <w:rsid w:val="00AE6EE2"/>
    <w:rsid w:val="00AE72CC"/>
    <w:rsid w:val="00AE7583"/>
    <w:rsid w:val="00AE785B"/>
    <w:rsid w:val="00AF0226"/>
    <w:rsid w:val="00AF0232"/>
    <w:rsid w:val="00AF034F"/>
    <w:rsid w:val="00AF09C6"/>
    <w:rsid w:val="00AF0CFC"/>
    <w:rsid w:val="00AF0E1D"/>
    <w:rsid w:val="00AF1489"/>
    <w:rsid w:val="00AF1796"/>
    <w:rsid w:val="00AF18CC"/>
    <w:rsid w:val="00AF1A08"/>
    <w:rsid w:val="00AF1C93"/>
    <w:rsid w:val="00AF1CED"/>
    <w:rsid w:val="00AF1EB1"/>
    <w:rsid w:val="00AF2091"/>
    <w:rsid w:val="00AF220E"/>
    <w:rsid w:val="00AF2419"/>
    <w:rsid w:val="00AF2490"/>
    <w:rsid w:val="00AF262F"/>
    <w:rsid w:val="00AF288E"/>
    <w:rsid w:val="00AF2C7E"/>
    <w:rsid w:val="00AF2D4E"/>
    <w:rsid w:val="00AF2EB4"/>
    <w:rsid w:val="00AF2FDC"/>
    <w:rsid w:val="00AF3016"/>
    <w:rsid w:val="00AF344C"/>
    <w:rsid w:val="00AF357E"/>
    <w:rsid w:val="00AF3779"/>
    <w:rsid w:val="00AF37FD"/>
    <w:rsid w:val="00AF39FB"/>
    <w:rsid w:val="00AF3C53"/>
    <w:rsid w:val="00AF3C92"/>
    <w:rsid w:val="00AF3F09"/>
    <w:rsid w:val="00AF3FFD"/>
    <w:rsid w:val="00AF407E"/>
    <w:rsid w:val="00AF41E2"/>
    <w:rsid w:val="00AF4874"/>
    <w:rsid w:val="00AF4AD3"/>
    <w:rsid w:val="00AF4BF9"/>
    <w:rsid w:val="00AF4F84"/>
    <w:rsid w:val="00AF508A"/>
    <w:rsid w:val="00AF5387"/>
    <w:rsid w:val="00AF5DC1"/>
    <w:rsid w:val="00AF5DD7"/>
    <w:rsid w:val="00AF5DDF"/>
    <w:rsid w:val="00AF615F"/>
    <w:rsid w:val="00AF650F"/>
    <w:rsid w:val="00AF672F"/>
    <w:rsid w:val="00AF6A21"/>
    <w:rsid w:val="00AF702D"/>
    <w:rsid w:val="00AF750C"/>
    <w:rsid w:val="00AF7636"/>
    <w:rsid w:val="00AF7776"/>
    <w:rsid w:val="00AF798E"/>
    <w:rsid w:val="00AF7AED"/>
    <w:rsid w:val="00AF7AFB"/>
    <w:rsid w:val="00AF7F12"/>
    <w:rsid w:val="00AF7FF7"/>
    <w:rsid w:val="00AFC5BA"/>
    <w:rsid w:val="00B002B4"/>
    <w:rsid w:val="00B003A6"/>
    <w:rsid w:val="00B00428"/>
    <w:rsid w:val="00B00886"/>
    <w:rsid w:val="00B00C25"/>
    <w:rsid w:val="00B00CEB"/>
    <w:rsid w:val="00B00F90"/>
    <w:rsid w:val="00B00F96"/>
    <w:rsid w:val="00B00FB8"/>
    <w:rsid w:val="00B01017"/>
    <w:rsid w:val="00B0135A"/>
    <w:rsid w:val="00B013AE"/>
    <w:rsid w:val="00B01432"/>
    <w:rsid w:val="00B01615"/>
    <w:rsid w:val="00B0179C"/>
    <w:rsid w:val="00B0187D"/>
    <w:rsid w:val="00B019E0"/>
    <w:rsid w:val="00B01D1A"/>
    <w:rsid w:val="00B01F0F"/>
    <w:rsid w:val="00B01F6E"/>
    <w:rsid w:val="00B02088"/>
    <w:rsid w:val="00B02193"/>
    <w:rsid w:val="00B02243"/>
    <w:rsid w:val="00B0224C"/>
    <w:rsid w:val="00B02905"/>
    <w:rsid w:val="00B03023"/>
    <w:rsid w:val="00B03157"/>
    <w:rsid w:val="00B03294"/>
    <w:rsid w:val="00B0340A"/>
    <w:rsid w:val="00B03465"/>
    <w:rsid w:val="00B034C3"/>
    <w:rsid w:val="00B038DE"/>
    <w:rsid w:val="00B039BE"/>
    <w:rsid w:val="00B03AFF"/>
    <w:rsid w:val="00B03D57"/>
    <w:rsid w:val="00B03E49"/>
    <w:rsid w:val="00B040B3"/>
    <w:rsid w:val="00B0428B"/>
    <w:rsid w:val="00B0466D"/>
    <w:rsid w:val="00B04A72"/>
    <w:rsid w:val="00B04CBF"/>
    <w:rsid w:val="00B04D69"/>
    <w:rsid w:val="00B04E23"/>
    <w:rsid w:val="00B04EA0"/>
    <w:rsid w:val="00B0518B"/>
    <w:rsid w:val="00B051E1"/>
    <w:rsid w:val="00B051EB"/>
    <w:rsid w:val="00B05287"/>
    <w:rsid w:val="00B0557A"/>
    <w:rsid w:val="00B05625"/>
    <w:rsid w:val="00B05991"/>
    <w:rsid w:val="00B05B1A"/>
    <w:rsid w:val="00B05D88"/>
    <w:rsid w:val="00B05DCF"/>
    <w:rsid w:val="00B05E72"/>
    <w:rsid w:val="00B0662B"/>
    <w:rsid w:val="00B06646"/>
    <w:rsid w:val="00B06798"/>
    <w:rsid w:val="00B067A9"/>
    <w:rsid w:val="00B06CE1"/>
    <w:rsid w:val="00B06EF8"/>
    <w:rsid w:val="00B0751B"/>
    <w:rsid w:val="00B07579"/>
    <w:rsid w:val="00B0770C"/>
    <w:rsid w:val="00B07831"/>
    <w:rsid w:val="00B079EA"/>
    <w:rsid w:val="00B07B74"/>
    <w:rsid w:val="00B07CB8"/>
    <w:rsid w:val="00B07F01"/>
    <w:rsid w:val="00B10483"/>
    <w:rsid w:val="00B107D7"/>
    <w:rsid w:val="00B10847"/>
    <w:rsid w:val="00B1088B"/>
    <w:rsid w:val="00B10B30"/>
    <w:rsid w:val="00B10D64"/>
    <w:rsid w:val="00B10F85"/>
    <w:rsid w:val="00B11753"/>
    <w:rsid w:val="00B118D0"/>
    <w:rsid w:val="00B11AFA"/>
    <w:rsid w:val="00B11C70"/>
    <w:rsid w:val="00B1297E"/>
    <w:rsid w:val="00B12D22"/>
    <w:rsid w:val="00B12F8B"/>
    <w:rsid w:val="00B13191"/>
    <w:rsid w:val="00B13609"/>
    <w:rsid w:val="00B136FB"/>
    <w:rsid w:val="00B13734"/>
    <w:rsid w:val="00B139AE"/>
    <w:rsid w:val="00B13D7A"/>
    <w:rsid w:val="00B14006"/>
    <w:rsid w:val="00B141DD"/>
    <w:rsid w:val="00B1453B"/>
    <w:rsid w:val="00B14555"/>
    <w:rsid w:val="00B14588"/>
    <w:rsid w:val="00B1474B"/>
    <w:rsid w:val="00B148C6"/>
    <w:rsid w:val="00B1490E"/>
    <w:rsid w:val="00B14D91"/>
    <w:rsid w:val="00B1519A"/>
    <w:rsid w:val="00B1545D"/>
    <w:rsid w:val="00B155EE"/>
    <w:rsid w:val="00B15754"/>
    <w:rsid w:val="00B157F7"/>
    <w:rsid w:val="00B15D69"/>
    <w:rsid w:val="00B15DF5"/>
    <w:rsid w:val="00B15EC5"/>
    <w:rsid w:val="00B1646E"/>
    <w:rsid w:val="00B166AF"/>
    <w:rsid w:val="00B16787"/>
    <w:rsid w:val="00B16855"/>
    <w:rsid w:val="00B16963"/>
    <w:rsid w:val="00B16B27"/>
    <w:rsid w:val="00B16D8F"/>
    <w:rsid w:val="00B16E08"/>
    <w:rsid w:val="00B16F19"/>
    <w:rsid w:val="00B174BF"/>
    <w:rsid w:val="00B17B58"/>
    <w:rsid w:val="00B17C89"/>
    <w:rsid w:val="00B17C9D"/>
    <w:rsid w:val="00B20550"/>
    <w:rsid w:val="00B20AA5"/>
    <w:rsid w:val="00B20DB4"/>
    <w:rsid w:val="00B20FC7"/>
    <w:rsid w:val="00B20FC8"/>
    <w:rsid w:val="00B21172"/>
    <w:rsid w:val="00B21402"/>
    <w:rsid w:val="00B2151F"/>
    <w:rsid w:val="00B2185C"/>
    <w:rsid w:val="00B218E8"/>
    <w:rsid w:val="00B21AE7"/>
    <w:rsid w:val="00B21DBD"/>
    <w:rsid w:val="00B22066"/>
    <w:rsid w:val="00B227E4"/>
    <w:rsid w:val="00B228DC"/>
    <w:rsid w:val="00B22C0E"/>
    <w:rsid w:val="00B22D05"/>
    <w:rsid w:val="00B22D3C"/>
    <w:rsid w:val="00B22DA4"/>
    <w:rsid w:val="00B22DAE"/>
    <w:rsid w:val="00B22E34"/>
    <w:rsid w:val="00B23087"/>
    <w:rsid w:val="00B235A0"/>
    <w:rsid w:val="00B2361B"/>
    <w:rsid w:val="00B23C4C"/>
    <w:rsid w:val="00B23E7D"/>
    <w:rsid w:val="00B243AC"/>
    <w:rsid w:val="00B24522"/>
    <w:rsid w:val="00B2499E"/>
    <w:rsid w:val="00B24E1D"/>
    <w:rsid w:val="00B24ED7"/>
    <w:rsid w:val="00B24F3A"/>
    <w:rsid w:val="00B2545F"/>
    <w:rsid w:val="00B2571D"/>
    <w:rsid w:val="00B259DB"/>
    <w:rsid w:val="00B25BE7"/>
    <w:rsid w:val="00B25D21"/>
    <w:rsid w:val="00B25D3A"/>
    <w:rsid w:val="00B261DE"/>
    <w:rsid w:val="00B267D1"/>
    <w:rsid w:val="00B2742E"/>
    <w:rsid w:val="00B276AC"/>
    <w:rsid w:val="00B27933"/>
    <w:rsid w:val="00B27CC2"/>
    <w:rsid w:val="00B27F9F"/>
    <w:rsid w:val="00B306D9"/>
    <w:rsid w:val="00B307B1"/>
    <w:rsid w:val="00B307F8"/>
    <w:rsid w:val="00B30F80"/>
    <w:rsid w:val="00B31165"/>
    <w:rsid w:val="00B311CE"/>
    <w:rsid w:val="00B31429"/>
    <w:rsid w:val="00B318D8"/>
    <w:rsid w:val="00B31AEF"/>
    <w:rsid w:val="00B31AF2"/>
    <w:rsid w:val="00B31B9F"/>
    <w:rsid w:val="00B32175"/>
    <w:rsid w:val="00B32483"/>
    <w:rsid w:val="00B32A22"/>
    <w:rsid w:val="00B32BE6"/>
    <w:rsid w:val="00B32E84"/>
    <w:rsid w:val="00B32E98"/>
    <w:rsid w:val="00B330BE"/>
    <w:rsid w:val="00B33135"/>
    <w:rsid w:val="00B339C2"/>
    <w:rsid w:val="00B33AC9"/>
    <w:rsid w:val="00B33BA2"/>
    <w:rsid w:val="00B33EE7"/>
    <w:rsid w:val="00B3442F"/>
    <w:rsid w:val="00B34457"/>
    <w:rsid w:val="00B34791"/>
    <w:rsid w:val="00B34A33"/>
    <w:rsid w:val="00B34F43"/>
    <w:rsid w:val="00B35264"/>
    <w:rsid w:val="00B358B9"/>
    <w:rsid w:val="00B3597B"/>
    <w:rsid w:val="00B35A4B"/>
    <w:rsid w:val="00B35BA6"/>
    <w:rsid w:val="00B3614B"/>
    <w:rsid w:val="00B36166"/>
    <w:rsid w:val="00B364F5"/>
    <w:rsid w:val="00B36B61"/>
    <w:rsid w:val="00B36CE2"/>
    <w:rsid w:val="00B36D2A"/>
    <w:rsid w:val="00B36D46"/>
    <w:rsid w:val="00B36E0F"/>
    <w:rsid w:val="00B36F6E"/>
    <w:rsid w:val="00B37008"/>
    <w:rsid w:val="00B37576"/>
    <w:rsid w:val="00B37734"/>
    <w:rsid w:val="00B37D02"/>
    <w:rsid w:val="00B37DBC"/>
    <w:rsid w:val="00B403A9"/>
    <w:rsid w:val="00B403ED"/>
    <w:rsid w:val="00B40525"/>
    <w:rsid w:val="00B4086B"/>
    <w:rsid w:val="00B409A0"/>
    <w:rsid w:val="00B40AC6"/>
    <w:rsid w:val="00B40B98"/>
    <w:rsid w:val="00B40CCE"/>
    <w:rsid w:val="00B41318"/>
    <w:rsid w:val="00B41348"/>
    <w:rsid w:val="00B415FF"/>
    <w:rsid w:val="00B41BB7"/>
    <w:rsid w:val="00B41BF0"/>
    <w:rsid w:val="00B41C12"/>
    <w:rsid w:val="00B41EE2"/>
    <w:rsid w:val="00B4201C"/>
    <w:rsid w:val="00B420A4"/>
    <w:rsid w:val="00B420C1"/>
    <w:rsid w:val="00B422FF"/>
    <w:rsid w:val="00B42336"/>
    <w:rsid w:val="00B4253D"/>
    <w:rsid w:val="00B42FCD"/>
    <w:rsid w:val="00B43257"/>
    <w:rsid w:val="00B43445"/>
    <w:rsid w:val="00B435F4"/>
    <w:rsid w:val="00B43645"/>
    <w:rsid w:val="00B4398E"/>
    <w:rsid w:val="00B4408B"/>
    <w:rsid w:val="00B4418D"/>
    <w:rsid w:val="00B442E5"/>
    <w:rsid w:val="00B443D0"/>
    <w:rsid w:val="00B4499D"/>
    <w:rsid w:val="00B44EC1"/>
    <w:rsid w:val="00B4503A"/>
    <w:rsid w:val="00B45160"/>
    <w:rsid w:val="00B455C1"/>
    <w:rsid w:val="00B45748"/>
    <w:rsid w:val="00B457BE"/>
    <w:rsid w:val="00B45A6A"/>
    <w:rsid w:val="00B45AC1"/>
    <w:rsid w:val="00B45D23"/>
    <w:rsid w:val="00B45F3B"/>
    <w:rsid w:val="00B462A5"/>
    <w:rsid w:val="00B46445"/>
    <w:rsid w:val="00B467BB"/>
    <w:rsid w:val="00B46E58"/>
    <w:rsid w:val="00B46E9F"/>
    <w:rsid w:val="00B46F8C"/>
    <w:rsid w:val="00B46FEC"/>
    <w:rsid w:val="00B47033"/>
    <w:rsid w:val="00B470C8"/>
    <w:rsid w:val="00B470D2"/>
    <w:rsid w:val="00B470EF"/>
    <w:rsid w:val="00B47250"/>
    <w:rsid w:val="00B479CD"/>
    <w:rsid w:val="00B47A90"/>
    <w:rsid w:val="00B47B11"/>
    <w:rsid w:val="00B47D68"/>
    <w:rsid w:val="00B47FB8"/>
    <w:rsid w:val="00B50238"/>
    <w:rsid w:val="00B50656"/>
    <w:rsid w:val="00B50988"/>
    <w:rsid w:val="00B511AE"/>
    <w:rsid w:val="00B5126E"/>
    <w:rsid w:val="00B51C11"/>
    <w:rsid w:val="00B51D0B"/>
    <w:rsid w:val="00B52043"/>
    <w:rsid w:val="00B52447"/>
    <w:rsid w:val="00B527AA"/>
    <w:rsid w:val="00B5289F"/>
    <w:rsid w:val="00B52C63"/>
    <w:rsid w:val="00B53072"/>
    <w:rsid w:val="00B5308D"/>
    <w:rsid w:val="00B5330B"/>
    <w:rsid w:val="00B5357C"/>
    <w:rsid w:val="00B541A1"/>
    <w:rsid w:val="00B541F3"/>
    <w:rsid w:val="00B5426D"/>
    <w:rsid w:val="00B542D3"/>
    <w:rsid w:val="00B54692"/>
    <w:rsid w:val="00B5497E"/>
    <w:rsid w:val="00B54AB9"/>
    <w:rsid w:val="00B54C7B"/>
    <w:rsid w:val="00B5501A"/>
    <w:rsid w:val="00B551EE"/>
    <w:rsid w:val="00B552CC"/>
    <w:rsid w:val="00B55428"/>
    <w:rsid w:val="00B558DB"/>
    <w:rsid w:val="00B55997"/>
    <w:rsid w:val="00B55B00"/>
    <w:rsid w:val="00B55F8D"/>
    <w:rsid w:val="00B56132"/>
    <w:rsid w:val="00B56142"/>
    <w:rsid w:val="00B56469"/>
    <w:rsid w:val="00B56791"/>
    <w:rsid w:val="00B568E8"/>
    <w:rsid w:val="00B56A81"/>
    <w:rsid w:val="00B56AC6"/>
    <w:rsid w:val="00B56E43"/>
    <w:rsid w:val="00B56ECF"/>
    <w:rsid w:val="00B5726F"/>
    <w:rsid w:val="00B572C5"/>
    <w:rsid w:val="00B5757B"/>
    <w:rsid w:val="00B57818"/>
    <w:rsid w:val="00B57891"/>
    <w:rsid w:val="00B5795F"/>
    <w:rsid w:val="00B57A75"/>
    <w:rsid w:val="00B57BB0"/>
    <w:rsid w:val="00B57D63"/>
    <w:rsid w:val="00B57DB8"/>
    <w:rsid w:val="00B60010"/>
    <w:rsid w:val="00B601EA"/>
    <w:rsid w:val="00B60232"/>
    <w:rsid w:val="00B60279"/>
    <w:rsid w:val="00B603A1"/>
    <w:rsid w:val="00B60BDF"/>
    <w:rsid w:val="00B617BA"/>
    <w:rsid w:val="00B6197E"/>
    <w:rsid w:val="00B61C3A"/>
    <w:rsid w:val="00B61CF0"/>
    <w:rsid w:val="00B61E19"/>
    <w:rsid w:val="00B620D9"/>
    <w:rsid w:val="00B62241"/>
    <w:rsid w:val="00B62555"/>
    <w:rsid w:val="00B62A19"/>
    <w:rsid w:val="00B62A3E"/>
    <w:rsid w:val="00B631CB"/>
    <w:rsid w:val="00B63401"/>
    <w:rsid w:val="00B6355A"/>
    <w:rsid w:val="00B63593"/>
    <w:rsid w:val="00B639E6"/>
    <w:rsid w:val="00B63CAC"/>
    <w:rsid w:val="00B63D68"/>
    <w:rsid w:val="00B63DD6"/>
    <w:rsid w:val="00B6416E"/>
    <w:rsid w:val="00B641D5"/>
    <w:rsid w:val="00B6422E"/>
    <w:rsid w:val="00B6440A"/>
    <w:rsid w:val="00B64578"/>
    <w:rsid w:val="00B6486F"/>
    <w:rsid w:val="00B6499A"/>
    <w:rsid w:val="00B64A7F"/>
    <w:rsid w:val="00B64C0F"/>
    <w:rsid w:val="00B64C8E"/>
    <w:rsid w:val="00B64FC5"/>
    <w:rsid w:val="00B654B6"/>
    <w:rsid w:val="00B656F4"/>
    <w:rsid w:val="00B6599A"/>
    <w:rsid w:val="00B65E69"/>
    <w:rsid w:val="00B65F51"/>
    <w:rsid w:val="00B664D5"/>
    <w:rsid w:val="00B6656D"/>
    <w:rsid w:val="00B667F9"/>
    <w:rsid w:val="00B66818"/>
    <w:rsid w:val="00B66992"/>
    <w:rsid w:val="00B66A42"/>
    <w:rsid w:val="00B6735E"/>
    <w:rsid w:val="00B6756F"/>
    <w:rsid w:val="00B676F1"/>
    <w:rsid w:val="00B677F2"/>
    <w:rsid w:val="00B67B50"/>
    <w:rsid w:val="00B67D42"/>
    <w:rsid w:val="00B70054"/>
    <w:rsid w:val="00B70229"/>
    <w:rsid w:val="00B70AB5"/>
    <w:rsid w:val="00B70FDE"/>
    <w:rsid w:val="00B7143B"/>
    <w:rsid w:val="00B71FBE"/>
    <w:rsid w:val="00B7213D"/>
    <w:rsid w:val="00B724E3"/>
    <w:rsid w:val="00B725CB"/>
    <w:rsid w:val="00B72963"/>
    <w:rsid w:val="00B72B12"/>
    <w:rsid w:val="00B72C54"/>
    <w:rsid w:val="00B72F4E"/>
    <w:rsid w:val="00B73400"/>
    <w:rsid w:val="00B7383D"/>
    <w:rsid w:val="00B7395C"/>
    <w:rsid w:val="00B73A25"/>
    <w:rsid w:val="00B73CA3"/>
    <w:rsid w:val="00B73D1B"/>
    <w:rsid w:val="00B74028"/>
    <w:rsid w:val="00B74164"/>
    <w:rsid w:val="00B74281"/>
    <w:rsid w:val="00B74511"/>
    <w:rsid w:val="00B745B1"/>
    <w:rsid w:val="00B74648"/>
    <w:rsid w:val="00B74888"/>
    <w:rsid w:val="00B748B0"/>
    <w:rsid w:val="00B74ADA"/>
    <w:rsid w:val="00B75155"/>
    <w:rsid w:val="00B7527B"/>
    <w:rsid w:val="00B75BBB"/>
    <w:rsid w:val="00B75DC4"/>
    <w:rsid w:val="00B75EA6"/>
    <w:rsid w:val="00B760E5"/>
    <w:rsid w:val="00B76138"/>
    <w:rsid w:val="00B7621F"/>
    <w:rsid w:val="00B76525"/>
    <w:rsid w:val="00B765DA"/>
    <w:rsid w:val="00B765DE"/>
    <w:rsid w:val="00B77523"/>
    <w:rsid w:val="00B77987"/>
    <w:rsid w:val="00B77AEC"/>
    <w:rsid w:val="00B77BB4"/>
    <w:rsid w:val="00B77C77"/>
    <w:rsid w:val="00B80368"/>
    <w:rsid w:val="00B80A60"/>
    <w:rsid w:val="00B80C5E"/>
    <w:rsid w:val="00B80D38"/>
    <w:rsid w:val="00B80E05"/>
    <w:rsid w:val="00B81101"/>
    <w:rsid w:val="00B814A0"/>
    <w:rsid w:val="00B814A5"/>
    <w:rsid w:val="00B81D19"/>
    <w:rsid w:val="00B81EAA"/>
    <w:rsid w:val="00B81F54"/>
    <w:rsid w:val="00B82052"/>
    <w:rsid w:val="00B820CB"/>
    <w:rsid w:val="00B82D5A"/>
    <w:rsid w:val="00B82DAD"/>
    <w:rsid w:val="00B82E1B"/>
    <w:rsid w:val="00B82E3A"/>
    <w:rsid w:val="00B82E6F"/>
    <w:rsid w:val="00B82F08"/>
    <w:rsid w:val="00B83053"/>
    <w:rsid w:val="00B8305F"/>
    <w:rsid w:val="00B833C6"/>
    <w:rsid w:val="00B834D3"/>
    <w:rsid w:val="00B83C2E"/>
    <w:rsid w:val="00B83CB7"/>
    <w:rsid w:val="00B84048"/>
    <w:rsid w:val="00B8406F"/>
    <w:rsid w:val="00B84133"/>
    <w:rsid w:val="00B84580"/>
    <w:rsid w:val="00B84B4E"/>
    <w:rsid w:val="00B84DE6"/>
    <w:rsid w:val="00B84E03"/>
    <w:rsid w:val="00B84E9B"/>
    <w:rsid w:val="00B8519D"/>
    <w:rsid w:val="00B851BC"/>
    <w:rsid w:val="00B853C4"/>
    <w:rsid w:val="00B8543D"/>
    <w:rsid w:val="00B85679"/>
    <w:rsid w:val="00B85A1A"/>
    <w:rsid w:val="00B85D28"/>
    <w:rsid w:val="00B85E4F"/>
    <w:rsid w:val="00B86387"/>
    <w:rsid w:val="00B86508"/>
    <w:rsid w:val="00B86632"/>
    <w:rsid w:val="00B86B9D"/>
    <w:rsid w:val="00B86CFF"/>
    <w:rsid w:val="00B870CD"/>
    <w:rsid w:val="00B876C9"/>
    <w:rsid w:val="00B87A23"/>
    <w:rsid w:val="00B87E1B"/>
    <w:rsid w:val="00B9045C"/>
    <w:rsid w:val="00B904D3"/>
    <w:rsid w:val="00B904FD"/>
    <w:rsid w:val="00B90D4B"/>
    <w:rsid w:val="00B9103E"/>
    <w:rsid w:val="00B910D8"/>
    <w:rsid w:val="00B91129"/>
    <w:rsid w:val="00B9117E"/>
    <w:rsid w:val="00B911B9"/>
    <w:rsid w:val="00B91510"/>
    <w:rsid w:val="00B919C7"/>
    <w:rsid w:val="00B92621"/>
    <w:rsid w:val="00B9289E"/>
    <w:rsid w:val="00B929E0"/>
    <w:rsid w:val="00B92B75"/>
    <w:rsid w:val="00B92D7B"/>
    <w:rsid w:val="00B9301F"/>
    <w:rsid w:val="00B93494"/>
    <w:rsid w:val="00B9432D"/>
    <w:rsid w:val="00B944EB"/>
    <w:rsid w:val="00B94799"/>
    <w:rsid w:val="00B94808"/>
    <w:rsid w:val="00B94AFC"/>
    <w:rsid w:val="00B94B9C"/>
    <w:rsid w:val="00B94D72"/>
    <w:rsid w:val="00B94F15"/>
    <w:rsid w:val="00B94FD5"/>
    <w:rsid w:val="00B952A1"/>
    <w:rsid w:val="00B9563C"/>
    <w:rsid w:val="00B9582A"/>
    <w:rsid w:val="00B958D3"/>
    <w:rsid w:val="00B95AA5"/>
    <w:rsid w:val="00B95C13"/>
    <w:rsid w:val="00B95CB4"/>
    <w:rsid w:val="00B960BA"/>
    <w:rsid w:val="00B96602"/>
    <w:rsid w:val="00B9676A"/>
    <w:rsid w:val="00B96C03"/>
    <w:rsid w:val="00B96F59"/>
    <w:rsid w:val="00B97292"/>
    <w:rsid w:val="00B97859"/>
    <w:rsid w:val="00B97EED"/>
    <w:rsid w:val="00BA023D"/>
    <w:rsid w:val="00BA064E"/>
    <w:rsid w:val="00BA069F"/>
    <w:rsid w:val="00BA08C3"/>
    <w:rsid w:val="00BA0AFB"/>
    <w:rsid w:val="00BA0D81"/>
    <w:rsid w:val="00BA0F81"/>
    <w:rsid w:val="00BA0FEF"/>
    <w:rsid w:val="00BA129D"/>
    <w:rsid w:val="00BA18DD"/>
    <w:rsid w:val="00BA1B11"/>
    <w:rsid w:val="00BA20D7"/>
    <w:rsid w:val="00BA216D"/>
    <w:rsid w:val="00BA2179"/>
    <w:rsid w:val="00BA230C"/>
    <w:rsid w:val="00BA2662"/>
    <w:rsid w:val="00BA27C2"/>
    <w:rsid w:val="00BA2A8E"/>
    <w:rsid w:val="00BA2B10"/>
    <w:rsid w:val="00BA2D36"/>
    <w:rsid w:val="00BA2E25"/>
    <w:rsid w:val="00BA31C0"/>
    <w:rsid w:val="00BA33FF"/>
    <w:rsid w:val="00BA34AF"/>
    <w:rsid w:val="00BA37A9"/>
    <w:rsid w:val="00BA4130"/>
    <w:rsid w:val="00BA4734"/>
    <w:rsid w:val="00BA4839"/>
    <w:rsid w:val="00BA4B25"/>
    <w:rsid w:val="00BA51D4"/>
    <w:rsid w:val="00BA51DE"/>
    <w:rsid w:val="00BA52AB"/>
    <w:rsid w:val="00BA545B"/>
    <w:rsid w:val="00BA5981"/>
    <w:rsid w:val="00BA5C39"/>
    <w:rsid w:val="00BA611C"/>
    <w:rsid w:val="00BA6162"/>
    <w:rsid w:val="00BA660E"/>
    <w:rsid w:val="00BA6725"/>
    <w:rsid w:val="00BA6C65"/>
    <w:rsid w:val="00BA6CF0"/>
    <w:rsid w:val="00BA70A3"/>
    <w:rsid w:val="00BA74D9"/>
    <w:rsid w:val="00BA7AE3"/>
    <w:rsid w:val="00BA7B7A"/>
    <w:rsid w:val="00BA7F38"/>
    <w:rsid w:val="00BB0241"/>
    <w:rsid w:val="00BB060D"/>
    <w:rsid w:val="00BB0812"/>
    <w:rsid w:val="00BB0871"/>
    <w:rsid w:val="00BB0918"/>
    <w:rsid w:val="00BB0C47"/>
    <w:rsid w:val="00BB0CC3"/>
    <w:rsid w:val="00BB0E7C"/>
    <w:rsid w:val="00BB1100"/>
    <w:rsid w:val="00BB134E"/>
    <w:rsid w:val="00BB1936"/>
    <w:rsid w:val="00BB1C52"/>
    <w:rsid w:val="00BB1E8F"/>
    <w:rsid w:val="00BB25B9"/>
    <w:rsid w:val="00BB2BCE"/>
    <w:rsid w:val="00BB2BEC"/>
    <w:rsid w:val="00BB2BED"/>
    <w:rsid w:val="00BB2C72"/>
    <w:rsid w:val="00BB3188"/>
    <w:rsid w:val="00BB32FF"/>
    <w:rsid w:val="00BB3C37"/>
    <w:rsid w:val="00BB3DA8"/>
    <w:rsid w:val="00BB41E0"/>
    <w:rsid w:val="00BB4B58"/>
    <w:rsid w:val="00BB4EFB"/>
    <w:rsid w:val="00BB54E4"/>
    <w:rsid w:val="00BB58BD"/>
    <w:rsid w:val="00BB5952"/>
    <w:rsid w:val="00BB597E"/>
    <w:rsid w:val="00BB59AB"/>
    <w:rsid w:val="00BB6090"/>
    <w:rsid w:val="00BB61F1"/>
    <w:rsid w:val="00BB6242"/>
    <w:rsid w:val="00BB62F9"/>
    <w:rsid w:val="00BB6357"/>
    <w:rsid w:val="00BB63B5"/>
    <w:rsid w:val="00BB681A"/>
    <w:rsid w:val="00BB6A01"/>
    <w:rsid w:val="00BB6A7E"/>
    <w:rsid w:val="00BB6BB5"/>
    <w:rsid w:val="00BB750F"/>
    <w:rsid w:val="00BB7563"/>
    <w:rsid w:val="00BB7583"/>
    <w:rsid w:val="00BB75D6"/>
    <w:rsid w:val="00BB7609"/>
    <w:rsid w:val="00BB764E"/>
    <w:rsid w:val="00BB7A56"/>
    <w:rsid w:val="00BC007C"/>
    <w:rsid w:val="00BC0158"/>
    <w:rsid w:val="00BC03C8"/>
    <w:rsid w:val="00BC0487"/>
    <w:rsid w:val="00BC0599"/>
    <w:rsid w:val="00BC059D"/>
    <w:rsid w:val="00BC09AA"/>
    <w:rsid w:val="00BC11CB"/>
    <w:rsid w:val="00BC1297"/>
    <w:rsid w:val="00BC1AB4"/>
    <w:rsid w:val="00BC1CF8"/>
    <w:rsid w:val="00BC1DA1"/>
    <w:rsid w:val="00BC1DCA"/>
    <w:rsid w:val="00BC1E76"/>
    <w:rsid w:val="00BC1E8A"/>
    <w:rsid w:val="00BC1EEC"/>
    <w:rsid w:val="00BC2306"/>
    <w:rsid w:val="00BC2627"/>
    <w:rsid w:val="00BC2963"/>
    <w:rsid w:val="00BC2B79"/>
    <w:rsid w:val="00BC2C03"/>
    <w:rsid w:val="00BC2D0B"/>
    <w:rsid w:val="00BC2DB5"/>
    <w:rsid w:val="00BC35D1"/>
    <w:rsid w:val="00BC36A4"/>
    <w:rsid w:val="00BC3990"/>
    <w:rsid w:val="00BC39E7"/>
    <w:rsid w:val="00BC3A5D"/>
    <w:rsid w:val="00BC3DFC"/>
    <w:rsid w:val="00BC4370"/>
    <w:rsid w:val="00BC4C09"/>
    <w:rsid w:val="00BC4D4D"/>
    <w:rsid w:val="00BC4D65"/>
    <w:rsid w:val="00BC4E5E"/>
    <w:rsid w:val="00BC4FFF"/>
    <w:rsid w:val="00BC5233"/>
    <w:rsid w:val="00BC52F3"/>
    <w:rsid w:val="00BC5553"/>
    <w:rsid w:val="00BC5FF4"/>
    <w:rsid w:val="00BC62CD"/>
    <w:rsid w:val="00BC641A"/>
    <w:rsid w:val="00BC65F2"/>
    <w:rsid w:val="00BC66ED"/>
    <w:rsid w:val="00BC680A"/>
    <w:rsid w:val="00BC6CBF"/>
    <w:rsid w:val="00BC6D4A"/>
    <w:rsid w:val="00BC6D96"/>
    <w:rsid w:val="00BC7478"/>
    <w:rsid w:val="00BC79B0"/>
    <w:rsid w:val="00BC7A12"/>
    <w:rsid w:val="00BC7AE2"/>
    <w:rsid w:val="00BC7C48"/>
    <w:rsid w:val="00BC7D7D"/>
    <w:rsid w:val="00BC7F9D"/>
    <w:rsid w:val="00BD00C1"/>
    <w:rsid w:val="00BD02D6"/>
    <w:rsid w:val="00BD02E4"/>
    <w:rsid w:val="00BD0AB2"/>
    <w:rsid w:val="00BD0D01"/>
    <w:rsid w:val="00BD0F03"/>
    <w:rsid w:val="00BD100E"/>
    <w:rsid w:val="00BD1023"/>
    <w:rsid w:val="00BD2129"/>
    <w:rsid w:val="00BD24A7"/>
    <w:rsid w:val="00BD25F8"/>
    <w:rsid w:val="00BD264C"/>
    <w:rsid w:val="00BD2816"/>
    <w:rsid w:val="00BD2C36"/>
    <w:rsid w:val="00BD2D0F"/>
    <w:rsid w:val="00BD32EE"/>
    <w:rsid w:val="00BD3667"/>
    <w:rsid w:val="00BD36C6"/>
    <w:rsid w:val="00BD36D9"/>
    <w:rsid w:val="00BD3D0B"/>
    <w:rsid w:val="00BD3D8B"/>
    <w:rsid w:val="00BD3EEA"/>
    <w:rsid w:val="00BD4030"/>
    <w:rsid w:val="00BD43BE"/>
    <w:rsid w:val="00BD47F6"/>
    <w:rsid w:val="00BD49FA"/>
    <w:rsid w:val="00BD4CE4"/>
    <w:rsid w:val="00BD5102"/>
    <w:rsid w:val="00BD5156"/>
    <w:rsid w:val="00BD5AF5"/>
    <w:rsid w:val="00BD5B3C"/>
    <w:rsid w:val="00BD5D0D"/>
    <w:rsid w:val="00BD5D26"/>
    <w:rsid w:val="00BD61F7"/>
    <w:rsid w:val="00BD62D0"/>
    <w:rsid w:val="00BD64B8"/>
    <w:rsid w:val="00BD655C"/>
    <w:rsid w:val="00BD66E5"/>
    <w:rsid w:val="00BD6A8C"/>
    <w:rsid w:val="00BD6BA8"/>
    <w:rsid w:val="00BD7060"/>
    <w:rsid w:val="00BD711E"/>
    <w:rsid w:val="00BD7785"/>
    <w:rsid w:val="00BD9089"/>
    <w:rsid w:val="00BE0321"/>
    <w:rsid w:val="00BE0578"/>
    <w:rsid w:val="00BE08CD"/>
    <w:rsid w:val="00BE0C78"/>
    <w:rsid w:val="00BE0F4C"/>
    <w:rsid w:val="00BE1074"/>
    <w:rsid w:val="00BE1128"/>
    <w:rsid w:val="00BE132C"/>
    <w:rsid w:val="00BE15DC"/>
    <w:rsid w:val="00BE1B05"/>
    <w:rsid w:val="00BE1F64"/>
    <w:rsid w:val="00BE2237"/>
    <w:rsid w:val="00BE25B5"/>
    <w:rsid w:val="00BE26CB"/>
    <w:rsid w:val="00BE2E85"/>
    <w:rsid w:val="00BE2F5C"/>
    <w:rsid w:val="00BE307E"/>
    <w:rsid w:val="00BE33EB"/>
    <w:rsid w:val="00BE3465"/>
    <w:rsid w:val="00BE3967"/>
    <w:rsid w:val="00BE3AA3"/>
    <w:rsid w:val="00BE3C93"/>
    <w:rsid w:val="00BE3FF3"/>
    <w:rsid w:val="00BE4579"/>
    <w:rsid w:val="00BE45B5"/>
    <w:rsid w:val="00BE49F0"/>
    <w:rsid w:val="00BE4B4C"/>
    <w:rsid w:val="00BE4ED0"/>
    <w:rsid w:val="00BE5106"/>
    <w:rsid w:val="00BE51C3"/>
    <w:rsid w:val="00BE51CB"/>
    <w:rsid w:val="00BE5236"/>
    <w:rsid w:val="00BE5605"/>
    <w:rsid w:val="00BE560B"/>
    <w:rsid w:val="00BE5931"/>
    <w:rsid w:val="00BE597C"/>
    <w:rsid w:val="00BE5E76"/>
    <w:rsid w:val="00BE5F48"/>
    <w:rsid w:val="00BE6008"/>
    <w:rsid w:val="00BE600A"/>
    <w:rsid w:val="00BE63AF"/>
    <w:rsid w:val="00BE6991"/>
    <w:rsid w:val="00BE6AB3"/>
    <w:rsid w:val="00BE6D8A"/>
    <w:rsid w:val="00BE74DC"/>
    <w:rsid w:val="00BE75AB"/>
    <w:rsid w:val="00BE7B69"/>
    <w:rsid w:val="00BE7BCC"/>
    <w:rsid w:val="00BE7D89"/>
    <w:rsid w:val="00BE7F2D"/>
    <w:rsid w:val="00BF040A"/>
    <w:rsid w:val="00BF05E6"/>
    <w:rsid w:val="00BF07A9"/>
    <w:rsid w:val="00BF0FAA"/>
    <w:rsid w:val="00BF1149"/>
    <w:rsid w:val="00BF13A9"/>
    <w:rsid w:val="00BF140F"/>
    <w:rsid w:val="00BF151F"/>
    <w:rsid w:val="00BF17B9"/>
    <w:rsid w:val="00BF1A11"/>
    <w:rsid w:val="00BF1BFE"/>
    <w:rsid w:val="00BF212A"/>
    <w:rsid w:val="00BF2389"/>
    <w:rsid w:val="00BF2530"/>
    <w:rsid w:val="00BF28A4"/>
    <w:rsid w:val="00BF2972"/>
    <w:rsid w:val="00BF2B55"/>
    <w:rsid w:val="00BF2FFA"/>
    <w:rsid w:val="00BF30FB"/>
    <w:rsid w:val="00BF3209"/>
    <w:rsid w:val="00BF336C"/>
    <w:rsid w:val="00BF33CA"/>
    <w:rsid w:val="00BF392B"/>
    <w:rsid w:val="00BF3D99"/>
    <w:rsid w:val="00BF3E42"/>
    <w:rsid w:val="00BF40D9"/>
    <w:rsid w:val="00BF40F1"/>
    <w:rsid w:val="00BF4782"/>
    <w:rsid w:val="00BF4CCA"/>
    <w:rsid w:val="00BF5180"/>
    <w:rsid w:val="00BF521A"/>
    <w:rsid w:val="00BF5391"/>
    <w:rsid w:val="00BF5853"/>
    <w:rsid w:val="00BF5A84"/>
    <w:rsid w:val="00BF5B61"/>
    <w:rsid w:val="00BF5C95"/>
    <w:rsid w:val="00BF5F81"/>
    <w:rsid w:val="00BF626D"/>
    <w:rsid w:val="00BF63B0"/>
    <w:rsid w:val="00BF6706"/>
    <w:rsid w:val="00BF6865"/>
    <w:rsid w:val="00BF691F"/>
    <w:rsid w:val="00BF6947"/>
    <w:rsid w:val="00BF69C7"/>
    <w:rsid w:val="00BF78D9"/>
    <w:rsid w:val="00BF7989"/>
    <w:rsid w:val="00BF7F89"/>
    <w:rsid w:val="00C0035E"/>
    <w:rsid w:val="00C00913"/>
    <w:rsid w:val="00C0099F"/>
    <w:rsid w:val="00C01642"/>
    <w:rsid w:val="00C01AE6"/>
    <w:rsid w:val="00C01CA7"/>
    <w:rsid w:val="00C01D26"/>
    <w:rsid w:val="00C01D27"/>
    <w:rsid w:val="00C0221B"/>
    <w:rsid w:val="00C0239B"/>
    <w:rsid w:val="00C0243B"/>
    <w:rsid w:val="00C026F0"/>
    <w:rsid w:val="00C0278F"/>
    <w:rsid w:val="00C02996"/>
    <w:rsid w:val="00C02BDD"/>
    <w:rsid w:val="00C02CA4"/>
    <w:rsid w:val="00C02E53"/>
    <w:rsid w:val="00C02FC1"/>
    <w:rsid w:val="00C03694"/>
    <w:rsid w:val="00C03A58"/>
    <w:rsid w:val="00C03AFE"/>
    <w:rsid w:val="00C03D4F"/>
    <w:rsid w:val="00C03ED7"/>
    <w:rsid w:val="00C03F82"/>
    <w:rsid w:val="00C04083"/>
    <w:rsid w:val="00C0410D"/>
    <w:rsid w:val="00C042AF"/>
    <w:rsid w:val="00C04322"/>
    <w:rsid w:val="00C0449F"/>
    <w:rsid w:val="00C04DDA"/>
    <w:rsid w:val="00C05196"/>
    <w:rsid w:val="00C05346"/>
    <w:rsid w:val="00C053A4"/>
    <w:rsid w:val="00C05882"/>
    <w:rsid w:val="00C05907"/>
    <w:rsid w:val="00C05CB6"/>
    <w:rsid w:val="00C05E31"/>
    <w:rsid w:val="00C062E2"/>
    <w:rsid w:val="00C065DB"/>
    <w:rsid w:val="00C0679A"/>
    <w:rsid w:val="00C06A44"/>
    <w:rsid w:val="00C06D1D"/>
    <w:rsid w:val="00C06DEF"/>
    <w:rsid w:val="00C06EDB"/>
    <w:rsid w:val="00C071DD"/>
    <w:rsid w:val="00C077E4"/>
    <w:rsid w:val="00C07A73"/>
    <w:rsid w:val="00C07C5E"/>
    <w:rsid w:val="00C07CE5"/>
    <w:rsid w:val="00C07E66"/>
    <w:rsid w:val="00C07F5E"/>
    <w:rsid w:val="00C101BA"/>
    <w:rsid w:val="00C10412"/>
    <w:rsid w:val="00C106E6"/>
    <w:rsid w:val="00C106FD"/>
    <w:rsid w:val="00C1101C"/>
    <w:rsid w:val="00C112BA"/>
    <w:rsid w:val="00C112F9"/>
    <w:rsid w:val="00C11511"/>
    <w:rsid w:val="00C119AB"/>
    <w:rsid w:val="00C11C81"/>
    <w:rsid w:val="00C11FD5"/>
    <w:rsid w:val="00C1202B"/>
    <w:rsid w:val="00C121F9"/>
    <w:rsid w:val="00C122AE"/>
    <w:rsid w:val="00C122BE"/>
    <w:rsid w:val="00C1278D"/>
    <w:rsid w:val="00C12847"/>
    <w:rsid w:val="00C12D79"/>
    <w:rsid w:val="00C13194"/>
    <w:rsid w:val="00C13481"/>
    <w:rsid w:val="00C13728"/>
    <w:rsid w:val="00C13918"/>
    <w:rsid w:val="00C13BF0"/>
    <w:rsid w:val="00C140D1"/>
    <w:rsid w:val="00C1434C"/>
    <w:rsid w:val="00C14564"/>
    <w:rsid w:val="00C14DCB"/>
    <w:rsid w:val="00C150DE"/>
    <w:rsid w:val="00C15144"/>
    <w:rsid w:val="00C158D4"/>
    <w:rsid w:val="00C159B6"/>
    <w:rsid w:val="00C15BFD"/>
    <w:rsid w:val="00C15D97"/>
    <w:rsid w:val="00C164E9"/>
    <w:rsid w:val="00C16547"/>
    <w:rsid w:val="00C1676D"/>
    <w:rsid w:val="00C16AF2"/>
    <w:rsid w:val="00C16C42"/>
    <w:rsid w:val="00C16E27"/>
    <w:rsid w:val="00C1712A"/>
    <w:rsid w:val="00C17734"/>
    <w:rsid w:val="00C177F6"/>
    <w:rsid w:val="00C17D09"/>
    <w:rsid w:val="00C17F1D"/>
    <w:rsid w:val="00C20443"/>
    <w:rsid w:val="00C2047A"/>
    <w:rsid w:val="00C2055B"/>
    <w:rsid w:val="00C2078A"/>
    <w:rsid w:val="00C20AD5"/>
    <w:rsid w:val="00C20BA9"/>
    <w:rsid w:val="00C20E69"/>
    <w:rsid w:val="00C21070"/>
    <w:rsid w:val="00C211D2"/>
    <w:rsid w:val="00C21266"/>
    <w:rsid w:val="00C2135B"/>
    <w:rsid w:val="00C2145C"/>
    <w:rsid w:val="00C21813"/>
    <w:rsid w:val="00C21C28"/>
    <w:rsid w:val="00C21E27"/>
    <w:rsid w:val="00C2229A"/>
    <w:rsid w:val="00C224C0"/>
    <w:rsid w:val="00C22801"/>
    <w:rsid w:val="00C22BB5"/>
    <w:rsid w:val="00C22CD0"/>
    <w:rsid w:val="00C22F39"/>
    <w:rsid w:val="00C23241"/>
    <w:rsid w:val="00C23305"/>
    <w:rsid w:val="00C23691"/>
    <w:rsid w:val="00C23744"/>
    <w:rsid w:val="00C2383D"/>
    <w:rsid w:val="00C23A86"/>
    <w:rsid w:val="00C23C17"/>
    <w:rsid w:val="00C23E51"/>
    <w:rsid w:val="00C245DD"/>
    <w:rsid w:val="00C2469C"/>
    <w:rsid w:val="00C249B6"/>
    <w:rsid w:val="00C2505E"/>
    <w:rsid w:val="00C250F4"/>
    <w:rsid w:val="00C25108"/>
    <w:rsid w:val="00C25270"/>
    <w:rsid w:val="00C253A0"/>
    <w:rsid w:val="00C2540B"/>
    <w:rsid w:val="00C25866"/>
    <w:rsid w:val="00C261A3"/>
    <w:rsid w:val="00C2620A"/>
    <w:rsid w:val="00C263A9"/>
    <w:rsid w:val="00C263AB"/>
    <w:rsid w:val="00C2641B"/>
    <w:rsid w:val="00C264D5"/>
    <w:rsid w:val="00C2656C"/>
    <w:rsid w:val="00C26886"/>
    <w:rsid w:val="00C26D68"/>
    <w:rsid w:val="00C274DC"/>
    <w:rsid w:val="00C27850"/>
    <w:rsid w:val="00C27AF5"/>
    <w:rsid w:val="00C27B41"/>
    <w:rsid w:val="00C27B72"/>
    <w:rsid w:val="00C27C8E"/>
    <w:rsid w:val="00C27F60"/>
    <w:rsid w:val="00C27F69"/>
    <w:rsid w:val="00C30165"/>
    <w:rsid w:val="00C3016E"/>
    <w:rsid w:val="00C302F6"/>
    <w:rsid w:val="00C30443"/>
    <w:rsid w:val="00C30681"/>
    <w:rsid w:val="00C3076E"/>
    <w:rsid w:val="00C3131C"/>
    <w:rsid w:val="00C31910"/>
    <w:rsid w:val="00C31C4B"/>
    <w:rsid w:val="00C31D19"/>
    <w:rsid w:val="00C32079"/>
    <w:rsid w:val="00C3219F"/>
    <w:rsid w:val="00C3269C"/>
    <w:rsid w:val="00C32A11"/>
    <w:rsid w:val="00C32ECE"/>
    <w:rsid w:val="00C33909"/>
    <w:rsid w:val="00C33960"/>
    <w:rsid w:val="00C33C2F"/>
    <w:rsid w:val="00C342BB"/>
    <w:rsid w:val="00C343A1"/>
    <w:rsid w:val="00C347DE"/>
    <w:rsid w:val="00C34A55"/>
    <w:rsid w:val="00C34BDC"/>
    <w:rsid w:val="00C34EF9"/>
    <w:rsid w:val="00C34FFE"/>
    <w:rsid w:val="00C351C2"/>
    <w:rsid w:val="00C3584C"/>
    <w:rsid w:val="00C358BB"/>
    <w:rsid w:val="00C358FC"/>
    <w:rsid w:val="00C359CA"/>
    <w:rsid w:val="00C362C4"/>
    <w:rsid w:val="00C362FA"/>
    <w:rsid w:val="00C36390"/>
    <w:rsid w:val="00C3644C"/>
    <w:rsid w:val="00C364C0"/>
    <w:rsid w:val="00C36954"/>
    <w:rsid w:val="00C36B1B"/>
    <w:rsid w:val="00C36B9D"/>
    <w:rsid w:val="00C36F92"/>
    <w:rsid w:val="00C373FE"/>
    <w:rsid w:val="00C3741A"/>
    <w:rsid w:val="00C37985"/>
    <w:rsid w:val="00C37AB1"/>
    <w:rsid w:val="00C37B7C"/>
    <w:rsid w:val="00C37BF9"/>
    <w:rsid w:val="00C37CD8"/>
    <w:rsid w:val="00C37D71"/>
    <w:rsid w:val="00C37EA0"/>
    <w:rsid w:val="00C402A3"/>
    <w:rsid w:val="00C40494"/>
    <w:rsid w:val="00C40765"/>
    <w:rsid w:val="00C407B6"/>
    <w:rsid w:val="00C40BE5"/>
    <w:rsid w:val="00C40D28"/>
    <w:rsid w:val="00C40D2D"/>
    <w:rsid w:val="00C410F1"/>
    <w:rsid w:val="00C412C2"/>
    <w:rsid w:val="00C41375"/>
    <w:rsid w:val="00C414FC"/>
    <w:rsid w:val="00C41947"/>
    <w:rsid w:val="00C41CB8"/>
    <w:rsid w:val="00C41CF8"/>
    <w:rsid w:val="00C41EEF"/>
    <w:rsid w:val="00C41FD8"/>
    <w:rsid w:val="00C42097"/>
    <w:rsid w:val="00C42587"/>
    <w:rsid w:val="00C4271D"/>
    <w:rsid w:val="00C428DB"/>
    <w:rsid w:val="00C42AED"/>
    <w:rsid w:val="00C42E79"/>
    <w:rsid w:val="00C4306A"/>
    <w:rsid w:val="00C434BD"/>
    <w:rsid w:val="00C4376E"/>
    <w:rsid w:val="00C43A3F"/>
    <w:rsid w:val="00C43D33"/>
    <w:rsid w:val="00C444E4"/>
    <w:rsid w:val="00C445D9"/>
    <w:rsid w:val="00C44669"/>
    <w:rsid w:val="00C4468F"/>
    <w:rsid w:val="00C4479F"/>
    <w:rsid w:val="00C44A25"/>
    <w:rsid w:val="00C44CB3"/>
    <w:rsid w:val="00C44D95"/>
    <w:rsid w:val="00C44DAA"/>
    <w:rsid w:val="00C452BC"/>
    <w:rsid w:val="00C455C8"/>
    <w:rsid w:val="00C4578D"/>
    <w:rsid w:val="00C457D1"/>
    <w:rsid w:val="00C4591D"/>
    <w:rsid w:val="00C45C12"/>
    <w:rsid w:val="00C45C5F"/>
    <w:rsid w:val="00C45FB1"/>
    <w:rsid w:val="00C4658C"/>
    <w:rsid w:val="00C465E2"/>
    <w:rsid w:val="00C4667E"/>
    <w:rsid w:val="00C467ED"/>
    <w:rsid w:val="00C47391"/>
    <w:rsid w:val="00C478FE"/>
    <w:rsid w:val="00C479B0"/>
    <w:rsid w:val="00C47B17"/>
    <w:rsid w:val="00C47E82"/>
    <w:rsid w:val="00C47FF6"/>
    <w:rsid w:val="00C50078"/>
    <w:rsid w:val="00C502DF"/>
    <w:rsid w:val="00C50AD0"/>
    <w:rsid w:val="00C50DC4"/>
    <w:rsid w:val="00C50DFD"/>
    <w:rsid w:val="00C50E38"/>
    <w:rsid w:val="00C513DF"/>
    <w:rsid w:val="00C51931"/>
    <w:rsid w:val="00C51D4D"/>
    <w:rsid w:val="00C51DEF"/>
    <w:rsid w:val="00C51F51"/>
    <w:rsid w:val="00C522CD"/>
    <w:rsid w:val="00C524D4"/>
    <w:rsid w:val="00C5270D"/>
    <w:rsid w:val="00C527A9"/>
    <w:rsid w:val="00C52C12"/>
    <w:rsid w:val="00C52C61"/>
    <w:rsid w:val="00C52FFF"/>
    <w:rsid w:val="00C533E9"/>
    <w:rsid w:val="00C5399D"/>
    <w:rsid w:val="00C53A86"/>
    <w:rsid w:val="00C53B6C"/>
    <w:rsid w:val="00C53B95"/>
    <w:rsid w:val="00C53C15"/>
    <w:rsid w:val="00C53EAF"/>
    <w:rsid w:val="00C54289"/>
    <w:rsid w:val="00C54594"/>
    <w:rsid w:val="00C54750"/>
    <w:rsid w:val="00C54B58"/>
    <w:rsid w:val="00C54CBA"/>
    <w:rsid w:val="00C54DAB"/>
    <w:rsid w:val="00C54DD1"/>
    <w:rsid w:val="00C54FE2"/>
    <w:rsid w:val="00C54FFD"/>
    <w:rsid w:val="00C55260"/>
    <w:rsid w:val="00C55388"/>
    <w:rsid w:val="00C55443"/>
    <w:rsid w:val="00C55450"/>
    <w:rsid w:val="00C56175"/>
    <w:rsid w:val="00C561BD"/>
    <w:rsid w:val="00C565F8"/>
    <w:rsid w:val="00C56797"/>
    <w:rsid w:val="00C56B60"/>
    <w:rsid w:val="00C56F3B"/>
    <w:rsid w:val="00C56FE9"/>
    <w:rsid w:val="00C5782E"/>
    <w:rsid w:val="00C5791D"/>
    <w:rsid w:val="00C57B3B"/>
    <w:rsid w:val="00C57BAA"/>
    <w:rsid w:val="00C57C87"/>
    <w:rsid w:val="00C60061"/>
    <w:rsid w:val="00C60202"/>
    <w:rsid w:val="00C6021F"/>
    <w:rsid w:val="00C603EA"/>
    <w:rsid w:val="00C60462"/>
    <w:rsid w:val="00C60676"/>
    <w:rsid w:val="00C60832"/>
    <w:rsid w:val="00C6096A"/>
    <w:rsid w:val="00C60A36"/>
    <w:rsid w:val="00C60B50"/>
    <w:rsid w:val="00C60D02"/>
    <w:rsid w:val="00C60D89"/>
    <w:rsid w:val="00C61533"/>
    <w:rsid w:val="00C615EA"/>
    <w:rsid w:val="00C617A1"/>
    <w:rsid w:val="00C61B4A"/>
    <w:rsid w:val="00C61ED1"/>
    <w:rsid w:val="00C61F2D"/>
    <w:rsid w:val="00C62407"/>
    <w:rsid w:val="00C627D6"/>
    <w:rsid w:val="00C62AA8"/>
    <w:rsid w:val="00C62BD3"/>
    <w:rsid w:val="00C62F02"/>
    <w:rsid w:val="00C634FA"/>
    <w:rsid w:val="00C63536"/>
    <w:rsid w:val="00C635DB"/>
    <w:rsid w:val="00C63791"/>
    <w:rsid w:val="00C63D2A"/>
    <w:rsid w:val="00C64115"/>
    <w:rsid w:val="00C64278"/>
    <w:rsid w:val="00C6445D"/>
    <w:rsid w:val="00C64A22"/>
    <w:rsid w:val="00C64A89"/>
    <w:rsid w:val="00C64B50"/>
    <w:rsid w:val="00C64E7C"/>
    <w:rsid w:val="00C64F48"/>
    <w:rsid w:val="00C6546E"/>
    <w:rsid w:val="00C654FF"/>
    <w:rsid w:val="00C65E09"/>
    <w:rsid w:val="00C66046"/>
    <w:rsid w:val="00C660B2"/>
    <w:rsid w:val="00C662F9"/>
    <w:rsid w:val="00C66CC2"/>
    <w:rsid w:val="00C6714D"/>
    <w:rsid w:val="00C6736E"/>
    <w:rsid w:val="00C67692"/>
    <w:rsid w:val="00C67CB4"/>
    <w:rsid w:val="00C703AE"/>
    <w:rsid w:val="00C703EA"/>
    <w:rsid w:val="00C7057A"/>
    <w:rsid w:val="00C707E8"/>
    <w:rsid w:val="00C70808"/>
    <w:rsid w:val="00C70876"/>
    <w:rsid w:val="00C70BD4"/>
    <w:rsid w:val="00C70BF1"/>
    <w:rsid w:val="00C71100"/>
    <w:rsid w:val="00C7191C"/>
    <w:rsid w:val="00C71BE4"/>
    <w:rsid w:val="00C71C35"/>
    <w:rsid w:val="00C71D52"/>
    <w:rsid w:val="00C725DB"/>
    <w:rsid w:val="00C72621"/>
    <w:rsid w:val="00C7270B"/>
    <w:rsid w:val="00C7278D"/>
    <w:rsid w:val="00C72917"/>
    <w:rsid w:val="00C729EC"/>
    <w:rsid w:val="00C72A2A"/>
    <w:rsid w:val="00C72A81"/>
    <w:rsid w:val="00C72B05"/>
    <w:rsid w:val="00C72CDE"/>
    <w:rsid w:val="00C72EBC"/>
    <w:rsid w:val="00C7302B"/>
    <w:rsid w:val="00C73089"/>
    <w:rsid w:val="00C73155"/>
    <w:rsid w:val="00C737EE"/>
    <w:rsid w:val="00C73B68"/>
    <w:rsid w:val="00C73C4E"/>
    <w:rsid w:val="00C73D6C"/>
    <w:rsid w:val="00C73D79"/>
    <w:rsid w:val="00C74415"/>
    <w:rsid w:val="00C745B7"/>
    <w:rsid w:val="00C747EE"/>
    <w:rsid w:val="00C74A0A"/>
    <w:rsid w:val="00C74C9B"/>
    <w:rsid w:val="00C758D2"/>
    <w:rsid w:val="00C75BA5"/>
    <w:rsid w:val="00C75BC4"/>
    <w:rsid w:val="00C760FF"/>
    <w:rsid w:val="00C761B2"/>
    <w:rsid w:val="00C7625A"/>
    <w:rsid w:val="00C762EC"/>
    <w:rsid w:val="00C7630C"/>
    <w:rsid w:val="00C763F5"/>
    <w:rsid w:val="00C764F0"/>
    <w:rsid w:val="00C7658F"/>
    <w:rsid w:val="00C7667E"/>
    <w:rsid w:val="00C766F3"/>
    <w:rsid w:val="00C76C50"/>
    <w:rsid w:val="00C76C57"/>
    <w:rsid w:val="00C76C6E"/>
    <w:rsid w:val="00C77357"/>
    <w:rsid w:val="00C775ED"/>
    <w:rsid w:val="00C77735"/>
    <w:rsid w:val="00C779AE"/>
    <w:rsid w:val="00C77B5D"/>
    <w:rsid w:val="00C7D288"/>
    <w:rsid w:val="00C80095"/>
    <w:rsid w:val="00C804AA"/>
    <w:rsid w:val="00C805E8"/>
    <w:rsid w:val="00C808CF"/>
    <w:rsid w:val="00C808E1"/>
    <w:rsid w:val="00C80A8F"/>
    <w:rsid w:val="00C80BDE"/>
    <w:rsid w:val="00C80C60"/>
    <w:rsid w:val="00C80DB6"/>
    <w:rsid w:val="00C815C8"/>
    <w:rsid w:val="00C81607"/>
    <w:rsid w:val="00C8174A"/>
    <w:rsid w:val="00C81AD0"/>
    <w:rsid w:val="00C82043"/>
    <w:rsid w:val="00C8215E"/>
    <w:rsid w:val="00C823AF"/>
    <w:rsid w:val="00C8250C"/>
    <w:rsid w:val="00C82805"/>
    <w:rsid w:val="00C829C0"/>
    <w:rsid w:val="00C82E1C"/>
    <w:rsid w:val="00C82F0E"/>
    <w:rsid w:val="00C83265"/>
    <w:rsid w:val="00C833AD"/>
    <w:rsid w:val="00C835F6"/>
    <w:rsid w:val="00C8373D"/>
    <w:rsid w:val="00C83A1D"/>
    <w:rsid w:val="00C83BA0"/>
    <w:rsid w:val="00C83CC8"/>
    <w:rsid w:val="00C83E46"/>
    <w:rsid w:val="00C8413D"/>
    <w:rsid w:val="00C84193"/>
    <w:rsid w:val="00C84302"/>
    <w:rsid w:val="00C846B1"/>
    <w:rsid w:val="00C84773"/>
    <w:rsid w:val="00C84B3C"/>
    <w:rsid w:val="00C84D07"/>
    <w:rsid w:val="00C84F9A"/>
    <w:rsid w:val="00C84F9E"/>
    <w:rsid w:val="00C8501C"/>
    <w:rsid w:val="00C850DB"/>
    <w:rsid w:val="00C85226"/>
    <w:rsid w:val="00C85254"/>
    <w:rsid w:val="00C8528C"/>
    <w:rsid w:val="00C853EA"/>
    <w:rsid w:val="00C854F2"/>
    <w:rsid w:val="00C855B5"/>
    <w:rsid w:val="00C85B2F"/>
    <w:rsid w:val="00C85B44"/>
    <w:rsid w:val="00C85BB9"/>
    <w:rsid w:val="00C85EC3"/>
    <w:rsid w:val="00C85F09"/>
    <w:rsid w:val="00C85FAC"/>
    <w:rsid w:val="00C8691F"/>
    <w:rsid w:val="00C86F28"/>
    <w:rsid w:val="00C86FB6"/>
    <w:rsid w:val="00C87522"/>
    <w:rsid w:val="00C878B6"/>
    <w:rsid w:val="00C87C31"/>
    <w:rsid w:val="00C87E30"/>
    <w:rsid w:val="00C87F14"/>
    <w:rsid w:val="00C87F2A"/>
    <w:rsid w:val="00C90550"/>
    <w:rsid w:val="00C907C5"/>
    <w:rsid w:val="00C90ADC"/>
    <w:rsid w:val="00C90B84"/>
    <w:rsid w:val="00C90D3F"/>
    <w:rsid w:val="00C90DBE"/>
    <w:rsid w:val="00C90F6A"/>
    <w:rsid w:val="00C90FD2"/>
    <w:rsid w:val="00C910B6"/>
    <w:rsid w:val="00C9118C"/>
    <w:rsid w:val="00C916E5"/>
    <w:rsid w:val="00C91B08"/>
    <w:rsid w:val="00C91CA0"/>
    <w:rsid w:val="00C92203"/>
    <w:rsid w:val="00C92567"/>
    <w:rsid w:val="00C92662"/>
    <w:rsid w:val="00C926AB"/>
    <w:rsid w:val="00C926E5"/>
    <w:rsid w:val="00C92762"/>
    <w:rsid w:val="00C92925"/>
    <w:rsid w:val="00C9336B"/>
    <w:rsid w:val="00C937BC"/>
    <w:rsid w:val="00C93817"/>
    <w:rsid w:val="00C93D25"/>
    <w:rsid w:val="00C93EC3"/>
    <w:rsid w:val="00C944E9"/>
    <w:rsid w:val="00C945F9"/>
    <w:rsid w:val="00C94840"/>
    <w:rsid w:val="00C94843"/>
    <w:rsid w:val="00C949C5"/>
    <w:rsid w:val="00C94EEC"/>
    <w:rsid w:val="00C95137"/>
    <w:rsid w:val="00C95293"/>
    <w:rsid w:val="00C952CE"/>
    <w:rsid w:val="00C954B8"/>
    <w:rsid w:val="00C954D8"/>
    <w:rsid w:val="00C95791"/>
    <w:rsid w:val="00C958BE"/>
    <w:rsid w:val="00C959E7"/>
    <w:rsid w:val="00C95BA2"/>
    <w:rsid w:val="00C95BD0"/>
    <w:rsid w:val="00C95CBA"/>
    <w:rsid w:val="00C95F08"/>
    <w:rsid w:val="00C96114"/>
    <w:rsid w:val="00C961AF"/>
    <w:rsid w:val="00C968AA"/>
    <w:rsid w:val="00C96956"/>
    <w:rsid w:val="00C96AA1"/>
    <w:rsid w:val="00C96AEA"/>
    <w:rsid w:val="00C96BBC"/>
    <w:rsid w:val="00C96CE6"/>
    <w:rsid w:val="00C9725F"/>
    <w:rsid w:val="00C9733B"/>
    <w:rsid w:val="00C973FE"/>
    <w:rsid w:val="00C974A6"/>
    <w:rsid w:val="00C9764E"/>
    <w:rsid w:val="00C97989"/>
    <w:rsid w:val="00C97CAA"/>
    <w:rsid w:val="00C97EFD"/>
    <w:rsid w:val="00CA03B1"/>
    <w:rsid w:val="00CA06E0"/>
    <w:rsid w:val="00CA0753"/>
    <w:rsid w:val="00CA1023"/>
    <w:rsid w:val="00CA13B1"/>
    <w:rsid w:val="00CA1561"/>
    <w:rsid w:val="00CA2374"/>
    <w:rsid w:val="00CA24B2"/>
    <w:rsid w:val="00CA2526"/>
    <w:rsid w:val="00CA274D"/>
    <w:rsid w:val="00CA2762"/>
    <w:rsid w:val="00CA2836"/>
    <w:rsid w:val="00CA2A03"/>
    <w:rsid w:val="00CA2C0D"/>
    <w:rsid w:val="00CA2CD4"/>
    <w:rsid w:val="00CA2CEB"/>
    <w:rsid w:val="00CA2DAB"/>
    <w:rsid w:val="00CA2DDE"/>
    <w:rsid w:val="00CA2EDA"/>
    <w:rsid w:val="00CA2F34"/>
    <w:rsid w:val="00CA2F78"/>
    <w:rsid w:val="00CA3238"/>
    <w:rsid w:val="00CA3625"/>
    <w:rsid w:val="00CA3812"/>
    <w:rsid w:val="00CA3E2E"/>
    <w:rsid w:val="00CA3F51"/>
    <w:rsid w:val="00CA3F68"/>
    <w:rsid w:val="00CA40D7"/>
    <w:rsid w:val="00CA41B0"/>
    <w:rsid w:val="00CA44A0"/>
    <w:rsid w:val="00CA4B54"/>
    <w:rsid w:val="00CA56E5"/>
    <w:rsid w:val="00CA5774"/>
    <w:rsid w:val="00CA5794"/>
    <w:rsid w:val="00CA589E"/>
    <w:rsid w:val="00CA5E0E"/>
    <w:rsid w:val="00CA5F3C"/>
    <w:rsid w:val="00CA5F62"/>
    <w:rsid w:val="00CA60C5"/>
    <w:rsid w:val="00CA627E"/>
    <w:rsid w:val="00CA6283"/>
    <w:rsid w:val="00CA62F2"/>
    <w:rsid w:val="00CA6CC6"/>
    <w:rsid w:val="00CA7362"/>
    <w:rsid w:val="00CA74CB"/>
    <w:rsid w:val="00CA7683"/>
    <w:rsid w:val="00CA7703"/>
    <w:rsid w:val="00CA774A"/>
    <w:rsid w:val="00CA78A0"/>
    <w:rsid w:val="00CA791F"/>
    <w:rsid w:val="00CB00E7"/>
    <w:rsid w:val="00CB02CA"/>
    <w:rsid w:val="00CB02E1"/>
    <w:rsid w:val="00CB053D"/>
    <w:rsid w:val="00CB0C67"/>
    <w:rsid w:val="00CB0E17"/>
    <w:rsid w:val="00CB0FA0"/>
    <w:rsid w:val="00CB11AB"/>
    <w:rsid w:val="00CB186B"/>
    <w:rsid w:val="00CB194F"/>
    <w:rsid w:val="00CB1B34"/>
    <w:rsid w:val="00CB1B8A"/>
    <w:rsid w:val="00CB1DE4"/>
    <w:rsid w:val="00CB207B"/>
    <w:rsid w:val="00CB209F"/>
    <w:rsid w:val="00CB20B6"/>
    <w:rsid w:val="00CB220D"/>
    <w:rsid w:val="00CB2373"/>
    <w:rsid w:val="00CB2A79"/>
    <w:rsid w:val="00CB2BD8"/>
    <w:rsid w:val="00CB2C42"/>
    <w:rsid w:val="00CB2C82"/>
    <w:rsid w:val="00CB2D3F"/>
    <w:rsid w:val="00CB2FF0"/>
    <w:rsid w:val="00CB3081"/>
    <w:rsid w:val="00CB329A"/>
    <w:rsid w:val="00CB3452"/>
    <w:rsid w:val="00CB34A8"/>
    <w:rsid w:val="00CB4060"/>
    <w:rsid w:val="00CB421E"/>
    <w:rsid w:val="00CB4388"/>
    <w:rsid w:val="00CB4989"/>
    <w:rsid w:val="00CB49BE"/>
    <w:rsid w:val="00CB4BD5"/>
    <w:rsid w:val="00CB4C48"/>
    <w:rsid w:val="00CB5151"/>
    <w:rsid w:val="00CB5191"/>
    <w:rsid w:val="00CB59D4"/>
    <w:rsid w:val="00CB5B0F"/>
    <w:rsid w:val="00CB5F13"/>
    <w:rsid w:val="00CB5F72"/>
    <w:rsid w:val="00CB630A"/>
    <w:rsid w:val="00CB63E7"/>
    <w:rsid w:val="00CB6441"/>
    <w:rsid w:val="00CB6568"/>
    <w:rsid w:val="00CB670F"/>
    <w:rsid w:val="00CB6B44"/>
    <w:rsid w:val="00CB6CFC"/>
    <w:rsid w:val="00CB6D8B"/>
    <w:rsid w:val="00CB721D"/>
    <w:rsid w:val="00CB726D"/>
    <w:rsid w:val="00CB73CE"/>
    <w:rsid w:val="00CB73DC"/>
    <w:rsid w:val="00CB75A0"/>
    <w:rsid w:val="00CB7648"/>
    <w:rsid w:val="00CB76E4"/>
    <w:rsid w:val="00CB772D"/>
    <w:rsid w:val="00CB77FA"/>
    <w:rsid w:val="00CB7900"/>
    <w:rsid w:val="00CB79EC"/>
    <w:rsid w:val="00CB7A3A"/>
    <w:rsid w:val="00CB7A5C"/>
    <w:rsid w:val="00CB7CC3"/>
    <w:rsid w:val="00CB7D5E"/>
    <w:rsid w:val="00CC013D"/>
    <w:rsid w:val="00CC0872"/>
    <w:rsid w:val="00CC0882"/>
    <w:rsid w:val="00CC08DE"/>
    <w:rsid w:val="00CC0997"/>
    <w:rsid w:val="00CC0A24"/>
    <w:rsid w:val="00CC0B51"/>
    <w:rsid w:val="00CC0B55"/>
    <w:rsid w:val="00CC0C0D"/>
    <w:rsid w:val="00CC0F55"/>
    <w:rsid w:val="00CC1357"/>
    <w:rsid w:val="00CC141E"/>
    <w:rsid w:val="00CC1AC5"/>
    <w:rsid w:val="00CC20EE"/>
    <w:rsid w:val="00CC263C"/>
    <w:rsid w:val="00CC2694"/>
    <w:rsid w:val="00CC2903"/>
    <w:rsid w:val="00CC2BCE"/>
    <w:rsid w:val="00CC30C6"/>
    <w:rsid w:val="00CC3224"/>
    <w:rsid w:val="00CC36CB"/>
    <w:rsid w:val="00CC37D4"/>
    <w:rsid w:val="00CC3B76"/>
    <w:rsid w:val="00CC3CA2"/>
    <w:rsid w:val="00CC3D4E"/>
    <w:rsid w:val="00CC3DE1"/>
    <w:rsid w:val="00CC3E67"/>
    <w:rsid w:val="00CC3FE9"/>
    <w:rsid w:val="00CC40C5"/>
    <w:rsid w:val="00CC4435"/>
    <w:rsid w:val="00CC45EA"/>
    <w:rsid w:val="00CC47D8"/>
    <w:rsid w:val="00CC4ADD"/>
    <w:rsid w:val="00CC5393"/>
    <w:rsid w:val="00CC54A3"/>
    <w:rsid w:val="00CC57C7"/>
    <w:rsid w:val="00CC5BC4"/>
    <w:rsid w:val="00CC5CE6"/>
    <w:rsid w:val="00CC5D8A"/>
    <w:rsid w:val="00CC5DDC"/>
    <w:rsid w:val="00CC5E94"/>
    <w:rsid w:val="00CC6154"/>
    <w:rsid w:val="00CC67C0"/>
    <w:rsid w:val="00CC680E"/>
    <w:rsid w:val="00CC6AAD"/>
    <w:rsid w:val="00CC6BC7"/>
    <w:rsid w:val="00CC6DE0"/>
    <w:rsid w:val="00CC6F4F"/>
    <w:rsid w:val="00CC6F83"/>
    <w:rsid w:val="00CC7066"/>
    <w:rsid w:val="00CC7554"/>
    <w:rsid w:val="00CC7586"/>
    <w:rsid w:val="00CC7FA3"/>
    <w:rsid w:val="00CD01A1"/>
    <w:rsid w:val="00CD030F"/>
    <w:rsid w:val="00CD0714"/>
    <w:rsid w:val="00CD07F2"/>
    <w:rsid w:val="00CD08EC"/>
    <w:rsid w:val="00CD0D22"/>
    <w:rsid w:val="00CD0EF8"/>
    <w:rsid w:val="00CD0F46"/>
    <w:rsid w:val="00CD0FFB"/>
    <w:rsid w:val="00CD11B8"/>
    <w:rsid w:val="00CD1303"/>
    <w:rsid w:val="00CD157C"/>
    <w:rsid w:val="00CD15B6"/>
    <w:rsid w:val="00CD163C"/>
    <w:rsid w:val="00CD18D5"/>
    <w:rsid w:val="00CD1A6C"/>
    <w:rsid w:val="00CD1E9C"/>
    <w:rsid w:val="00CD229F"/>
    <w:rsid w:val="00CD2369"/>
    <w:rsid w:val="00CD256F"/>
    <w:rsid w:val="00CD2749"/>
    <w:rsid w:val="00CD292C"/>
    <w:rsid w:val="00CD2A23"/>
    <w:rsid w:val="00CD2C2F"/>
    <w:rsid w:val="00CD306B"/>
    <w:rsid w:val="00CD3CE3"/>
    <w:rsid w:val="00CD3D14"/>
    <w:rsid w:val="00CD4243"/>
    <w:rsid w:val="00CD4685"/>
    <w:rsid w:val="00CD4C96"/>
    <w:rsid w:val="00CD523B"/>
    <w:rsid w:val="00CD5509"/>
    <w:rsid w:val="00CD5B3B"/>
    <w:rsid w:val="00CD5B50"/>
    <w:rsid w:val="00CD5BFF"/>
    <w:rsid w:val="00CD5C47"/>
    <w:rsid w:val="00CD5D8B"/>
    <w:rsid w:val="00CD5EF2"/>
    <w:rsid w:val="00CD5F22"/>
    <w:rsid w:val="00CD61C8"/>
    <w:rsid w:val="00CD63FF"/>
    <w:rsid w:val="00CD6579"/>
    <w:rsid w:val="00CD6607"/>
    <w:rsid w:val="00CD6630"/>
    <w:rsid w:val="00CD6800"/>
    <w:rsid w:val="00CD68FD"/>
    <w:rsid w:val="00CD6996"/>
    <w:rsid w:val="00CD6C00"/>
    <w:rsid w:val="00CD6E84"/>
    <w:rsid w:val="00CD6F4E"/>
    <w:rsid w:val="00CD7156"/>
    <w:rsid w:val="00CD727F"/>
    <w:rsid w:val="00CD7354"/>
    <w:rsid w:val="00CD74FF"/>
    <w:rsid w:val="00CD7612"/>
    <w:rsid w:val="00CD78AB"/>
    <w:rsid w:val="00CD7B97"/>
    <w:rsid w:val="00CE0221"/>
    <w:rsid w:val="00CE081A"/>
    <w:rsid w:val="00CE085C"/>
    <w:rsid w:val="00CE089D"/>
    <w:rsid w:val="00CE0A3C"/>
    <w:rsid w:val="00CE0ACF"/>
    <w:rsid w:val="00CE0D5D"/>
    <w:rsid w:val="00CE0E5B"/>
    <w:rsid w:val="00CE0EBD"/>
    <w:rsid w:val="00CE11BB"/>
    <w:rsid w:val="00CE13B7"/>
    <w:rsid w:val="00CE1441"/>
    <w:rsid w:val="00CE1EC3"/>
    <w:rsid w:val="00CE1ECB"/>
    <w:rsid w:val="00CE213C"/>
    <w:rsid w:val="00CE2509"/>
    <w:rsid w:val="00CE2572"/>
    <w:rsid w:val="00CE27A8"/>
    <w:rsid w:val="00CE289C"/>
    <w:rsid w:val="00CE2AF0"/>
    <w:rsid w:val="00CE2FC7"/>
    <w:rsid w:val="00CE32C6"/>
    <w:rsid w:val="00CE335F"/>
    <w:rsid w:val="00CE3986"/>
    <w:rsid w:val="00CE3AAA"/>
    <w:rsid w:val="00CE3BD1"/>
    <w:rsid w:val="00CE3C5B"/>
    <w:rsid w:val="00CE3F75"/>
    <w:rsid w:val="00CE3FF3"/>
    <w:rsid w:val="00CE42A4"/>
    <w:rsid w:val="00CE42B7"/>
    <w:rsid w:val="00CE4ABA"/>
    <w:rsid w:val="00CE5A0E"/>
    <w:rsid w:val="00CE5F59"/>
    <w:rsid w:val="00CE60D7"/>
    <w:rsid w:val="00CE61C7"/>
    <w:rsid w:val="00CE65B2"/>
    <w:rsid w:val="00CE6B4D"/>
    <w:rsid w:val="00CE6CAB"/>
    <w:rsid w:val="00CE6D1A"/>
    <w:rsid w:val="00CE71A8"/>
    <w:rsid w:val="00CE72A2"/>
    <w:rsid w:val="00CE77A9"/>
    <w:rsid w:val="00CE7AC9"/>
    <w:rsid w:val="00CE7BF0"/>
    <w:rsid w:val="00CE7DD0"/>
    <w:rsid w:val="00CF00B4"/>
    <w:rsid w:val="00CF00B6"/>
    <w:rsid w:val="00CF01B2"/>
    <w:rsid w:val="00CF0276"/>
    <w:rsid w:val="00CF038F"/>
    <w:rsid w:val="00CF03B6"/>
    <w:rsid w:val="00CF03CA"/>
    <w:rsid w:val="00CF042E"/>
    <w:rsid w:val="00CF07EB"/>
    <w:rsid w:val="00CF0803"/>
    <w:rsid w:val="00CF0A48"/>
    <w:rsid w:val="00CF0A49"/>
    <w:rsid w:val="00CF0A77"/>
    <w:rsid w:val="00CF0F9B"/>
    <w:rsid w:val="00CF1838"/>
    <w:rsid w:val="00CF1B0F"/>
    <w:rsid w:val="00CF1FF1"/>
    <w:rsid w:val="00CF23BD"/>
    <w:rsid w:val="00CF2536"/>
    <w:rsid w:val="00CF2660"/>
    <w:rsid w:val="00CF2AF9"/>
    <w:rsid w:val="00CF2B64"/>
    <w:rsid w:val="00CF2C0D"/>
    <w:rsid w:val="00CF2EAD"/>
    <w:rsid w:val="00CF2EBB"/>
    <w:rsid w:val="00CF3A27"/>
    <w:rsid w:val="00CF3AE8"/>
    <w:rsid w:val="00CF3BA2"/>
    <w:rsid w:val="00CF46CC"/>
    <w:rsid w:val="00CF4866"/>
    <w:rsid w:val="00CF4A33"/>
    <w:rsid w:val="00CF4FCB"/>
    <w:rsid w:val="00CF5062"/>
    <w:rsid w:val="00CF5130"/>
    <w:rsid w:val="00CF5623"/>
    <w:rsid w:val="00CF585C"/>
    <w:rsid w:val="00CF5DEC"/>
    <w:rsid w:val="00CF6185"/>
    <w:rsid w:val="00CF61D6"/>
    <w:rsid w:val="00CF6829"/>
    <w:rsid w:val="00CF6966"/>
    <w:rsid w:val="00CF6A8E"/>
    <w:rsid w:val="00CF72F1"/>
    <w:rsid w:val="00CF72FF"/>
    <w:rsid w:val="00CF7579"/>
    <w:rsid w:val="00CF7607"/>
    <w:rsid w:val="00CF7675"/>
    <w:rsid w:val="00CF7C8D"/>
    <w:rsid w:val="00D005C3"/>
    <w:rsid w:val="00D00793"/>
    <w:rsid w:val="00D00815"/>
    <w:rsid w:val="00D00D82"/>
    <w:rsid w:val="00D00D8E"/>
    <w:rsid w:val="00D00E81"/>
    <w:rsid w:val="00D0108E"/>
    <w:rsid w:val="00D013A7"/>
    <w:rsid w:val="00D01460"/>
    <w:rsid w:val="00D01796"/>
    <w:rsid w:val="00D018E2"/>
    <w:rsid w:val="00D01994"/>
    <w:rsid w:val="00D01AB5"/>
    <w:rsid w:val="00D01C9A"/>
    <w:rsid w:val="00D01F55"/>
    <w:rsid w:val="00D020D7"/>
    <w:rsid w:val="00D02229"/>
    <w:rsid w:val="00D02294"/>
    <w:rsid w:val="00D023C3"/>
    <w:rsid w:val="00D029A1"/>
    <w:rsid w:val="00D02B97"/>
    <w:rsid w:val="00D02D08"/>
    <w:rsid w:val="00D031F6"/>
    <w:rsid w:val="00D03379"/>
    <w:rsid w:val="00D03510"/>
    <w:rsid w:val="00D0367A"/>
    <w:rsid w:val="00D0371B"/>
    <w:rsid w:val="00D0376B"/>
    <w:rsid w:val="00D037FC"/>
    <w:rsid w:val="00D03DDA"/>
    <w:rsid w:val="00D03F79"/>
    <w:rsid w:val="00D0408C"/>
    <w:rsid w:val="00D044DF"/>
    <w:rsid w:val="00D046FA"/>
    <w:rsid w:val="00D0472F"/>
    <w:rsid w:val="00D04AFC"/>
    <w:rsid w:val="00D04DD0"/>
    <w:rsid w:val="00D054C2"/>
    <w:rsid w:val="00D05631"/>
    <w:rsid w:val="00D058B9"/>
    <w:rsid w:val="00D05B6B"/>
    <w:rsid w:val="00D05C69"/>
    <w:rsid w:val="00D065FB"/>
    <w:rsid w:val="00D06E71"/>
    <w:rsid w:val="00D06FBF"/>
    <w:rsid w:val="00D070E8"/>
    <w:rsid w:val="00D0719B"/>
    <w:rsid w:val="00D0720E"/>
    <w:rsid w:val="00D0780B"/>
    <w:rsid w:val="00D07A74"/>
    <w:rsid w:val="00D07F65"/>
    <w:rsid w:val="00D10418"/>
    <w:rsid w:val="00D10730"/>
    <w:rsid w:val="00D10D19"/>
    <w:rsid w:val="00D10E20"/>
    <w:rsid w:val="00D1186B"/>
    <w:rsid w:val="00D11B8B"/>
    <w:rsid w:val="00D11FDE"/>
    <w:rsid w:val="00D12266"/>
    <w:rsid w:val="00D1227E"/>
    <w:rsid w:val="00D124C5"/>
    <w:rsid w:val="00D12530"/>
    <w:rsid w:val="00D125BE"/>
    <w:rsid w:val="00D125E4"/>
    <w:rsid w:val="00D12D24"/>
    <w:rsid w:val="00D12D77"/>
    <w:rsid w:val="00D131EE"/>
    <w:rsid w:val="00D1326E"/>
    <w:rsid w:val="00D132AB"/>
    <w:rsid w:val="00D134E8"/>
    <w:rsid w:val="00D13857"/>
    <w:rsid w:val="00D13B11"/>
    <w:rsid w:val="00D13B25"/>
    <w:rsid w:val="00D1401F"/>
    <w:rsid w:val="00D14214"/>
    <w:rsid w:val="00D14477"/>
    <w:rsid w:val="00D1450B"/>
    <w:rsid w:val="00D147B9"/>
    <w:rsid w:val="00D14923"/>
    <w:rsid w:val="00D14B97"/>
    <w:rsid w:val="00D14E41"/>
    <w:rsid w:val="00D151F3"/>
    <w:rsid w:val="00D15448"/>
    <w:rsid w:val="00D1547D"/>
    <w:rsid w:val="00D15A88"/>
    <w:rsid w:val="00D15E1B"/>
    <w:rsid w:val="00D15E8F"/>
    <w:rsid w:val="00D15F08"/>
    <w:rsid w:val="00D1645F"/>
    <w:rsid w:val="00D166E7"/>
    <w:rsid w:val="00D16836"/>
    <w:rsid w:val="00D16A62"/>
    <w:rsid w:val="00D16AFA"/>
    <w:rsid w:val="00D16C96"/>
    <w:rsid w:val="00D16E2D"/>
    <w:rsid w:val="00D171CE"/>
    <w:rsid w:val="00D17E6F"/>
    <w:rsid w:val="00D2005E"/>
    <w:rsid w:val="00D204FE"/>
    <w:rsid w:val="00D2065A"/>
    <w:rsid w:val="00D2092F"/>
    <w:rsid w:val="00D20A55"/>
    <w:rsid w:val="00D20B28"/>
    <w:rsid w:val="00D2105B"/>
    <w:rsid w:val="00D211DC"/>
    <w:rsid w:val="00D216B1"/>
    <w:rsid w:val="00D21862"/>
    <w:rsid w:val="00D218C4"/>
    <w:rsid w:val="00D21A49"/>
    <w:rsid w:val="00D21B19"/>
    <w:rsid w:val="00D21FC0"/>
    <w:rsid w:val="00D21FFF"/>
    <w:rsid w:val="00D2227B"/>
    <w:rsid w:val="00D2235B"/>
    <w:rsid w:val="00D223BF"/>
    <w:rsid w:val="00D224B2"/>
    <w:rsid w:val="00D224BC"/>
    <w:rsid w:val="00D228C7"/>
    <w:rsid w:val="00D22C64"/>
    <w:rsid w:val="00D22D34"/>
    <w:rsid w:val="00D23138"/>
    <w:rsid w:val="00D2329C"/>
    <w:rsid w:val="00D233EA"/>
    <w:rsid w:val="00D23418"/>
    <w:rsid w:val="00D234A6"/>
    <w:rsid w:val="00D23506"/>
    <w:rsid w:val="00D2381F"/>
    <w:rsid w:val="00D23934"/>
    <w:rsid w:val="00D23A18"/>
    <w:rsid w:val="00D23E26"/>
    <w:rsid w:val="00D2406E"/>
    <w:rsid w:val="00D240E4"/>
    <w:rsid w:val="00D243C2"/>
    <w:rsid w:val="00D244CC"/>
    <w:rsid w:val="00D245D6"/>
    <w:rsid w:val="00D24612"/>
    <w:rsid w:val="00D24763"/>
    <w:rsid w:val="00D24900"/>
    <w:rsid w:val="00D24A57"/>
    <w:rsid w:val="00D25216"/>
    <w:rsid w:val="00D25356"/>
    <w:rsid w:val="00D2575F"/>
    <w:rsid w:val="00D25B17"/>
    <w:rsid w:val="00D261FD"/>
    <w:rsid w:val="00D26918"/>
    <w:rsid w:val="00D26B49"/>
    <w:rsid w:val="00D26CD3"/>
    <w:rsid w:val="00D26F59"/>
    <w:rsid w:val="00D27307"/>
    <w:rsid w:val="00D27325"/>
    <w:rsid w:val="00D275A5"/>
    <w:rsid w:val="00D27A38"/>
    <w:rsid w:val="00D27AA8"/>
    <w:rsid w:val="00D27D64"/>
    <w:rsid w:val="00D27F99"/>
    <w:rsid w:val="00D3030F"/>
    <w:rsid w:val="00D3091F"/>
    <w:rsid w:val="00D31032"/>
    <w:rsid w:val="00D31155"/>
    <w:rsid w:val="00D3166E"/>
    <w:rsid w:val="00D3181E"/>
    <w:rsid w:val="00D31C0F"/>
    <w:rsid w:val="00D31C5A"/>
    <w:rsid w:val="00D32050"/>
    <w:rsid w:val="00D32488"/>
    <w:rsid w:val="00D3267C"/>
    <w:rsid w:val="00D32EB3"/>
    <w:rsid w:val="00D32F0A"/>
    <w:rsid w:val="00D32F0F"/>
    <w:rsid w:val="00D3340C"/>
    <w:rsid w:val="00D33630"/>
    <w:rsid w:val="00D33BC7"/>
    <w:rsid w:val="00D33BDA"/>
    <w:rsid w:val="00D33FEC"/>
    <w:rsid w:val="00D34384"/>
    <w:rsid w:val="00D347C8"/>
    <w:rsid w:val="00D347E2"/>
    <w:rsid w:val="00D34A4D"/>
    <w:rsid w:val="00D34E5A"/>
    <w:rsid w:val="00D350AD"/>
    <w:rsid w:val="00D35369"/>
    <w:rsid w:val="00D3568D"/>
    <w:rsid w:val="00D35715"/>
    <w:rsid w:val="00D35ADE"/>
    <w:rsid w:val="00D35B9C"/>
    <w:rsid w:val="00D35DAF"/>
    <w:rsid w:val="00D35DF4"/>
    <w:rsid w:val="00D35E35"/>
    <w:rsid w:val="00D35EC3"/>
    <w:rsid w:val="00D363D3"/>
    <w:rsid w:val="00D363E9"/>
    <w:rsid w:val="00D36475"/>
    <w:rsid w:val="00D36488"/>
    <w:rsid w:val="00D365B6"/>
    <w:rsid w:val="00D366B1"/>
    <w:rsid w:val="00D3679B"/>
    <w:rsid w:val="00D367B4"/>
    <w:rsid w:val="00D3684E"/>
    <w:rsid w:val="00D36F79"/>
    <w:rsid w:val="00D370BB"/>
    <w:rsid w:val="00D3734A"/>
    <w:rsid w:val="00D37407"/>
    <w:rsid w:val="00D3771C"/>
    <w:rsid w:val="00D379AE"/>
    <w:rsid w:val="00D37FA9"/>
    <w:rsid w:val="00D403A7"/>
    <w:rsid w:val="00D403AD"/>
    <w:rsid w:val="00D406EE"/>
    <w:rsid w:val="00D40D8A"/>
    <w:rsid w:val="00D40FEF"/>
    <w:rsid w:val="00D410AE"/>
    <w:rsid w:val="00D41744"/>
    <w:rsid w:val="00D41847"/>
    <w:rsid w:val="00D42296"/>
    <w:rsid w:val="00D42633"/>
    <w:rsid w:val="00D42A9B"/>
    <w:rsid w:val="00D42C98"/>
    <w:rsid w:val="00D43372"/>
    <w:rsid w:val="00D43CAC"/>
    <w:rsid w:val="00D43CF0"/>
    <w:rsid w:val="00D43E30"/>
    <w:rsid w:val="00D43ED1"/>
    <w:rsid w:val="00D43FC6"/>
    <w:rsid w:val="00D44780"/>
    <w:rsid w:val="00D44798"/>
    <w:rsid w:val="00D4491E"/>
    <w:rsid w:val="00D4493E"/>
    <w:rsid w:val="00D44B06"/>
    <w:rsid w:val="00D44C7B"/>
    <w:rsid w:val="00D44DF5"/>
    <w:rsid w:val="00D452B7"/>
    <w:rsid w:val="00D45597"/>
    <w:rsid w:val="00D456DB"/>
    <w:rsid w:val="00D45775"/>
    <w:rsid w:val="00D45BA4"/>
    <w:rsid w:val="00D45ED5"/>
    <w:rsid w:val="00D46048"/>
    <w:rsid w:val="00D46347"/>
    <w:rsid w:val="00D46A41"/>
    <w:rsid w:val="00D46AAA"/>
    <w:rsid w:val="00D470ED"/>
    <w:rsid w:val="00D472A4"/>
    <w:rsid w:val="00D4732E"/>
    <w:rsid w:val="00D47358"/>
    <w:rsid w:val="00D474B2"/>
    <w:rsid w:val="00D47BD4"/>
    <w:rsid w:val="00D5023C"/>
    <w:rsid w:val="00D503B5"/>
    <w:rsid w:val="00D50477"/>
    <w:rsid w:val="00D50489"/>
    <w:rsid w:val="00D5059B"/>
    <w:rsid w:val="00D511AF"/>
    <w:rsid w:val="00D514CE"/>
    <w:rsid w:val="00D514D2"/>
    <w:rsid w:val="00D51583"/>
    <w:rsid w:val="00D516CC"/>
    <w:rsid w:val="00D51773"/>
    <w:rsid w:val="00D5187A"/>
    <w:rsid w:val="00D519CD"/>
    <w:rsid w:val="00D51D08"/>
    <w:rsid w:val="00D51E5C"/>
    <w:rsid w:val="00D51E6F"/>
    <w:rsid w:val="00D52129"/>
    <w:rsid w:val="00D5215E"/>
    <w:rsid w:val="00D52188"/>
    <w:rsid w:val="00D52215"/>
    <w:rsid w:val="00D52227"/>
    <w:rsid w:val="00D523C6"/>
    <w:rsid w:val="00D52467"/>
    <w:rsid w:val="00D529C1"/>
    <w:rsid w:val="00D52C8C"/>
    <w:rsid w:val="00D52EDE"/>
    <w:rsid w:val="00D53284"/>
    <w:rsid w:val="00D532FE"/>
    <w:rsid w:val="00D5331F"/>
    <w:rsid w:val="00D5341A"/>
    <w:rsid w:val="00D536AB"/>
    <w:rsid w:val="00D53703"/>
    <w:rsid w:val="00D538D9"/>
    <w:rsid w:val="00D53A1D"/>
    <w:rsid w:val="00D53CE5"/>
    <w:rsid w:val="00D53FD4"/>
    <w:rsid w:val="00D53FF4"/>
    <w:rsid w:val="00D5452A"/>
    <w:rsid w:val="00D545B8"/>
    <w:rsid w:val="00D5495A"/>
    <w:rsid w:val="00D54DB6"/>
    <w:rsid w:val="00D556EC"/>
    <w:rsid w:val="00D5577B"/>
    <w:rsid w:val="00D559AB"/>
    <w:rsid w:val="00D56060"/>
    <w:rsid w:val="00D5609C"/>
    <w:rsid w:val="00D56482"/>
    <w:rsid w:val="00D56501"/>
    <w:rsid w:val="00D56B5C"/>
    <w:rsid w:val="00D56D31"/>
    <w:rsid w:val="00D56D34"/>
    <w:rsid w:val="00D5730E"/>
    <w:rsid w:val="00D5759D"/>
    <w:rsid w:val="00D576E1"/>
    <w:rsid w:val="00D57C66"/>
    <w:rsid w:val="00D57F2F"/>
    <w:rsid w:val="00D57F39"/>
    <w:rsid w:val="00D601AE"/>
    <w:rsid w:val="00D601DD"/>
    <w:rsid w:val="00D612F0"/>
    <w:rsid w:val="00D61447"/>
    <w:rsid w:val="00D61910"/>
    <w:rsid w:val="00D61F98"/>
    <w:rsid w:val="00D62358"/>
    <w:rsid w:val="00D6267B"/>
    <w:rsid w:val="00D627E5"/>
    <w:rsid w:val="00D62ACB"/>
    <w:rsid w:val="00D62E51"/>
    <w:rsid w:val="00D62F17"/>
    <w:rsid w:val="00D630E4"/>
    <w:rsid w:val="00D6383F"/>
    <w:rsid w:val="00D63C69"/>
    <w:rsid w:val="00D64112"/>
    <w:rsid w:val="00D6419F"/>
    <w:rsid w:val="00D6420A"/>
    <w:rsid w:val="00D642B5"/>
    <w:rsid w:val="00D6444F"/>
    <w:rsid w:val="00D644C0"/>
    <w:rsid w:val="00D644C3"/>
    <w:rsid w:val="00D64578"/>
    <w:rsid w:val="00D64670"/>
    <w:rsid w:val="00D648A9"/>
    <w:rsid w:val="00D6495F"/>
    <w:rsid w:val="00D64D45"/>
    <w:rsid w:val="00D64F45"/>
    <w:rsid w:val="00D65229"/>
    <w:rsid w:val="00D652E7"/>
    <w:rsid w:val="00D65388"/>
    <w:rsid w:val="00D657B5"/>
    <w:rsid w:val="00D657F9"/>
    <w:rsid w:val="00D65B6F"/>
    <w:rsid w:val="00D65CCF"/>
    <w:rsid w:val="00D65E97"/>
    <w:rsid w:val="00D660DA"/>
    <w:rsid w:val="00D66753"/>
    <w:rsid w:val="00D6688D"/>
    <w:rsid w:val="00D668F7"/>
    <w:rsid w:val="00D672E8"/>
    <w:rsid w:val="00D67477"/>
    <w:rsid w:val="00D674E6"/>
    <w:rsid w:val="00D67895"/>
    <w:rsid w:val="00D67BFD"/>
    <w:rsid w:val="00D67C2C"/>
    <w:rsid w:val="00D67D53"/>
    <w:rsid w:val="00D67EA3"/>
    <w:rsid w:val="00D70137"/>
    <w:rsid w:val="00D70212"/>
    <w:rsid w:val="00D70A57"/>
    <w:rsid w:val="00D70CC9"/>
    <w:rsid w:val="00D710C1"/>
    <w:rsid w:val="00D71332"/>
    <w:rsid w:val="00D716B3"/>
    <w:rsid w:val="00D71721"/>
    <w:rsid w:val="00D71C6B"/>
    <w:rsid w:val="00D71E79"/>
    <w:rsid w:val="00D71F16"/>
    <w:rsid w:val="00D71F37"/>
    <w:rsid w:val="00D724CD"/>
    <w:rsid w:val="00D727AE"/>
    <w:rsid w:val="00D729E9"/>
    <w:rsid w:val="00D72B89"/>
    <w:rsid w:val="00D72BA7"/>
    <w:rsid w:val="00D72E4D"/>
    <w:rsid w:val="00D7306D"/>
    <w:rsid w:val="00D73265"/>
    <w:rsid w:val="00D7381B"/>
    <w:rsid w:val="00D73871"/>
    <w:rsid w:val="00D738A1"/>
    <w:rsid w:val="00D73A73"/>
    <w:rsid w:val="00D73A9E"/>
    <w:rsid w:val="00D73ADD"/>
    <w:rsid w:val="00D73B6C"/>
    <w:rsid w:val="00D7407E"/>
    <w:rsid w:val="00D741E4"/>
    <w:rsid w:val="00D74367"/>
    <w:rsid w:val="00D7441E"/>
    <w:rsid w:val="00D7465E"/>
    <w:rsid w:val="00D747B6"/>
    <w:rsid w:val="00D7497F"/>
    <w:rsid w:val="00D74A62"/>
    <w:rsid w:val="00D75101"/>
    <w:rsid w:val="00D756A8"/>
    <w:rsid w:val="00D756EB"/>
    <w:rsid w:val="00D757EC"/>
    <w:rsid w:val="00D75C7A"/>
    <w:rsid w:val="00D75EE6"/>
    <w:rsid w:val="00D760CC"/>
    <w:rsid w:val="00D76272"/>
    <w:rsid w:val="00D7659F"/>
    <w:rsid w:val="00D765A4"/>
    <w:rsid w:val="00D76736"/>
    <w:rsid w:val="00D76A63"/>
    <w:rsid w:val="00D77266"/>
    <w:rsid w:val="00D774C9"/>
    <w:rsid w:val="00D77A7F"/>
    <w:rsid w:val="00D77AF7"/>
    <w:rsid w:val="00D77F7B"/>
    <w:rsid w:val="00D800FA"/>
    <w:rsid w:val="00D80530"/>
    <w:rsid w:val="00D8055D"/>
    <w:rsid w:val="00D805BC"/>
    <w:rsid w:val="00D80729"/>
    <w:rsid w:val="00D8079E"/>
    <w:rsid w:val="00D809CD"/>
    <w:rsid w:val="00D80B8B"/>
    <w:rsid w:val="00D80D25"/>
    <w:rsid w:val="00D80D9E"/>
    <w:rsid w:val="00D80FB5"/>
    <w:rsid w:val="00D81001"/>
    <w:rsid w:val="00D81131"/>
    <w:rsid w:val="00D8164A"/>
    <w:rsid w:val="00D8190F"/>
    <w:rsid w:val="00D81950"/>
    <w:rsid w:val="00D81986"/>
    <w:rsid w:val="00D81C9A"/>
    <w:rsid w:val="00D81DCB"/>
    <w:rsid w:val="00D8204E"/>
    <w:rsid w:val="00D82476"/>
    <w:rsid w:val="00D828DC"/>
    <w:rsid w:val="00D82DBE"/>
    <w:rsid w:val="00D82E4C"/>
    <w:rsid w:val="00D831F4"/>
    <w:rsid w:val="00D8379A"/>
    <w:rsid w:val="00D837B5"/>
    <w:rsid w:val="00D8393C"/>
    <w:rsid w:val="00D83C68"/>
    <w:rsid w:val="00D83D6E"/>
    <w:rsid w:val="00D83DA8"/>
    <w:rsid w:val="00D83E42"/>
    <w:rsid w:val="00D83ECD"/>
    <w:rsid w:val="00D84231"/>
    <w:rsid w:val="00D8445E"/>
    <w:rsid w:val="00D84C2D"/>
    <w:rsid w:val="00D84D7D"/>
    <w:rsid w:val="00D85076"/>
    <w:rsid w:val="00D85555"/>
    <w:rsid w:val="00D85899"/>
    <w:rsid w:val="00D85C83"/>
    <w:rsid w:val="00D85ED6"/>
    <w:rsid w:val="00D86290"/>
    <w:rsid w:val="00D86526"/>
    <w:rsid w:val="00D8658A"/>
    <w:rsid w:val="00D866C2"/>
    <w:rsid w:val="00D867EA"/>
    <w:rsid w:val="00D8697A"/>
    <w:rsid w:val="00D86F0C"/>
    <w:rsid w:val="00D86F16"/>
    <w:rsid w:val="00D86F7F"/>
    <w:rsid w:val="00D872BC"/>
    <w:rsid w:val="00D8732C"/>
    <w:rsid w:val="00D87564"/>
    <w:rsid w:val="00D875F6"/>
    <w:rsid w:val="00D87699"/>
    <w:rsid w:val="00D87882"/>
    <w:rsid w:val="00D8796A"/>
    <w:rsid w:val="00D87C1A"/>
    <w:rsid w:val="00D87C70"/>
    <w:rsid w:val="00D87D66"/>
    <w:rsid w:val="00D87F24"/>
    <w:rsid w:val="00D9028F"/>
    <w:rsid w:val="00D90525"/>
    <w:rsid w:val="00D907EF"/>
    <w:rsid w:val="00D9086E"/>
    <w:rsid w:val="00D90BC9"/>
    <w:rsid w:val="00D910EA"/>
    <w:rsid w:val="00D91539"/>
    <w:rsid w:val="00D915C7"/>
    <w:rsid w:val="00D917D5"/>
    <w:rsid w:val="00D91FE2"/>
    <w:rsid w:val="00D92074"/>
    <w:rsid w:val="00D922B2"/>
    <w:rsid w:val="00D9235C"/>
    <w:rsid w:val="00D92483"/>
    <w:rsid w:val="00D92637"/>
    <w:rsid w:val="00D92676"/>
    <w:rsid w:val="00D92987"/>
    <w:rsid w:val="00D92EA4"/>
    <w:rsid w:val="00D92FA3"/>
    <w:rsid w:val="00D930D2"/>
    <w:rsid w:val="00D93190"/>
    <w:rsid w:val="00D93529"/>
    <w:rsid w:val="00D9370E"/>
    <w:rsid w:val="00D93814"/>
    <w:rsid w:val="00D93A26"/>
    <w:rsid w:val="00D93C35"/>
    <w:rsid w:val="00D93FF9"/>
    <w:rsid w:val="00D94084"/>
    <w:rsid w:val="00D94135"/>
    <w:rsid w:val="00D942D3"/>
    <w:rsid w:val="00D94C4D"/>
    <w:rsid w:val="00D94E25"/>
    <w:rsid w:val="00D9521E"/>
    <w:rsid w:val="00D9559A"/>
    <w:rsid w:val="00D9564C"/>
    <w:rsid w:val="00D95A44"/>
    <w:rsid w:val="00D96561"/>
    <w:rsid w:val="00D9708A"/>
    <w:rsid w:val="00D97361"/>
    <w:rsid w:val="00D974DB"/>
    <w:rsid w:val="00D97CBE"/>
    <w:rsid w:val="00D97D0A"/>
    <w:rsid w:val="00D97FA2"/>
    <w:rsid w:val="00DA0471"/>
    <w:rsid w:val="00DA0633"/>
    <w:rsid w:val="00DA083E"/>
    <w:rsid w:val="00DA0FB1"/>
    <w:rsid w:val="00DA11B7"/>
    <w:rsid w:val="00DA1296"/>
    <w:rsid w:val="00DA13B1"/>
    <w:rsid w:val="00DA172D"/>
    <w:rsid w:val="00DA1734"/>
    <w:rsid w:val="00DA1CA4"/>
    <w:rsid w:val="00DA1F02"/>
    <w:rsid w:val="00DA1FBC"/>
    <w:rsid w:val="00DA2097"/>
    <w:rsid w:val="00DA2144"/>
    <w:rsid w:val="00DA2229"/>
    <w:rsid w:val="00DA2867"/>
    <w:rsid w:val="00DA2979"/>
    <w:rsid w:val="00DA2A96"/>
    <w:rsid w:val="00DA2D8A"/>
    <w:rsid w:val="00DA31DE"/>
    <w:rsid w:val="00DA3286"/>
    <w:rsid w:val="00DA32D7"/>
    <w:rsid w:val="00DA382E"/>
    <w:rsid w:val="00DA3DC2"/>
    <w:rsid w:val="00DA4089"/>
    <w:rsid w:val="00DA428D"/>
    <w:rsid w:val="00DA43A0"/>
    <w:rsid w:val="00DA44AD"/>
    <w:rsid w:val="00DA4761"/>
    <w:rsid w:val="00DA4A1E"/>
    <w:rsid w:val="00DA4A71"/>
    <w:rsid w:val="00DA4E5B"/>
    <w:rsid w:val="00DA52A9"/>
    <w:rsid w:val="00DA5584"/>
    <w:rsid w:val="00DA585A"/>
    <w:rsid w:val="00DA592C"/>
    <w:rsid w:val="00DA595C"/>
    <w:rsid w:val="00DA59BE"/>
    <w:rsid w:val="00DA5C5F"/>
    <w:rsid w:val="00DA6099"/>
    <w:rsid w:val="00DA60A3"/>
    <w:rsid w:val="00DA6136"/>
    <w:rsid w:val="00DA62A9"/>
    <w:rsid w:val="00DA6CCA"/>
    <w:rsid w:val="00DA6E33"/>
    <w:rsid w:val="00DA7474"/>
    <w:rsid w:val="00DA74EC"/>
    <w:rsid w:val="00DA783A"/>
    <w:rsid w:val="00DA7851"/>
    <w:rsid w:val="00DA7E69"/>
    <w:rsid w:val="00DA7F4B"/>
    <w:rsid w:val="00DAA753"/>
    <w:rsid w:val="00DB027D"/>
    <w:rsid w:val="00DB06D5"/>
    <w:rsid w:val="00DB0B4C"/>
    <w:rsid w:val="00DB0D49"/>
    <w:rsid w:val="00DB1002"/>
    <w:rsid w:val="00DB1024"/>
    <w:rsid w:val="00DB129F"/>
    <w:rsid w:val="00DB14C7"/>
    <w:rsid w:val="00DB1A56"/>
    <w:rsid w:val="00DB2012"/>
    <w:rsid w:val="00DB23BF"/>
    <w:rsid w:val="00DB2815"/>
    <w:rsid w:val="00DB291F"/>
    <w:rsid w:val="00DB2A7E"/>
    <w:rsid w:val="00DB2D1F"/>
    <w:rsid w:val="00DB2F88"/>
    <w:rsid w:val="00DB2FFE"/>
    <w:rsid w:val="00DB31D3"/>
    <w:rsid w:val="00DB31FC"/>
    <w:rsid w:val="00DB320A"/>
    <w:rsid w:val="00DB360E"/>
    <w:rsid w:val="00DB3BE7"/>
    <w:rsid w:val="00DB3C58"/>
    <w:rsid w:val="00DB3C67"/>
    <w:rsid w:val="00DB3EC7"/>
    <w:rsid w:val="00DB41A8"/>
    <w:rsid w:val="00DB4378"/>
    <w:rsid w:val="00DB4E5D"/>
    <w:rsid w:val="00DB4E83"/>
    <w:rsid w:val="00DB51F2"/>
    <w:rsid w:val="00DB52E0"/>
    <w:rsid w:val="00DB52EA"/>
    <w:rsid w:val="00DB5820"/>
    <w:rsid w:val="00DB606D"/>
    <w:rsid w:val="00DB6586"/>
    <w:rsid w:val="00DB66CA"/>
    <w:rsid w:val="00DB706D"/>
    <w:rsid w:val="00DB7110"/>
    <w:rsid w:val="00DB71ED"/>
    <w:rsid w:val="00DB7621"/>
    <w:rsid w:val="00DB7652"/>
    <w:rsid w:val="00DB7990"/>
    <w:rsid w:val="00DB7D01"/>
    <w:rsid w:val="00DC0262"/>
    <w:rsid w:val="00DC02B4"/>
    <w:rsid w:val="00DC04C4"/>
    <w:rsid w:val="00DC0659"/>
    <w:rsid w:val="00DC073E"/>
    <w:rsid w:val="00DC0AF2"/>
    <w:rsid w:val="00DC0D0D"/>
    <w:rsid w:val="00DC0DC9"/>
    <w:rsid w:val="00DC0DD5"/>
    <w:rsid w:val="00DC0EA0"/>
    <w:rsid w:val="00DC1393"/>
    <w:rsid w:val="00DC1605"/>
    <w:rsid w:val="00DC17C7"/>
    <w:rsid w:val="00DC1814"/>
    <w:rsid w:val="00DC1A0F"/>
    <w:rsid w:val="00DC1B72"/>
    <w:rsid w:val="00DC1DF2"/>
    <w:rsid w:val="00DC2577"/>
    <w:rsid w:val="00DC28BA"/>
    <w:rsid w:val="00DC28BE"/>
    <w:rsid w:val="00DC29C1"/>
    <w:rsid w:val="00DC2A50"/>
    <w:rsid w:val="00DC2D1D"/>
    <w:rsid w:val="00DC2D92"/>
    <w:rsid w:val="00DC2EC6"/>
    <w:rsid w:val="00DC303D"/>
    <w:rsid w:val="00DC3201"/>
    <w:rsid w:val="00DC348B"/>
    <w:rsid w:val="00DC348D"/>
    <w:rsid w:val="00DC357F"/>
    <w:rsid w:val="00DC35AB"/>
    <w:rsid w:val="00DC37F5"/>
    <w:rsid w:val="00DC39D4"/>
    <w:rsid w:val="00DC3B86"/>
    <w:rsid w:val="00DC3BAA"/>
    <w:rsid w:val="00DC3CBC"/>
    <w:rsid w:val="00DC3E1C"/>
    <w:rsid w:val="00DC40D3"/>
    <w:rsid w:val="00DC41B9"/>
    <w:rsid w:val="00DC41BC"/>
    <w:rsid w:val="00DC41F9"/>
    <w:rsid w:val="00DC425C"/>
    <w:rsid w:val="00DC4489"/>
    <w:rsid w:val="00DC4715"/>
    <w:rsid w:val="00DC481D"/>
    <w:rsid w:val="00DC4907"/>
    <w:rsid w:val="00DC4BC5"/>
    <w:rsid w:val="00DC528F"/>
    <w:rsid w:val="00DC536C"/>
    <w:rsid w:val="00DC5A97"/>
    <w:rsid w:val="00DC5C41"/>
    <w:rsid w:val="00DC601C"/>
    <w:rsid w:val="00DC63A4"/>
    <w:rsid w:val="00DC63D0"/>
    <w:rsid w:val="00DC660F"/>
    <w:rsid w:val="00DC6910"/>
    <w:rsid w:val="00DC6B82"/>
    <w:rsid w:val="00DC6D2E"/>
    <w:rsid w:val="00DC7263"/>
    <w:rsid w:val="00DC7503"/>
    <w:rsid w:val="00DC765D"/>
    <w:rsid w:val="00DC77C1"/>
    <w:rsid w:val="00DC78CF"/>
    <w:rsid w:val="00DD0344"/>
    <w:rsid w:val="00DD06B7"/>
    <w:rsid w:val="00DD095A"/>
    <w:rsid w:val="00DD0ACB"/>
    <w:rsid w:val="00DD0B66"/>
    <w:rsid w:val="00DD0E60"/>
    <w:rsid w:val="00DD0ED7"/>
    <w:rsid w:val="00DD1061"/>
    <w:rsid w:val="00DD12B7"/>
    <w:rsid w:val="00DD1448"/>
    <w:rsid w:val="00DD1E05"/>
    <w:rsid w:val="00DD23D8"/>
    <w:rsid w:val="00DD27E4"/>
    <w:rsid w:val="00DD2AEA"/>
    <w:rsid w:val="00DD2B83"/>
    <w:rsid w:val="00DD2BBB"/>
    <w:rsid w:val="00DD2E6B"/>
    <w:rsid w:val="00DD31F8"/>
    <w:rsid w:val="00DD3386"/>
    <w:rsid w:val="00DD37A9"/>
    <w:rsid w:val="00DD3A24"/>
    <w:rsid w:val="00DD3FB8"/>
    <w:rsid w:val="00DD3FE8"/>
    <w:rsid w:val="00DD4002"/>
    <w:rsid w:val="00DD4007"/>
    <w:rsid w:val="00DD41B6"/>
    <w:rsid w:val="00DD46FA"/>
    <w:rsid w:val="00DD4914"/>
    <w:rsid w:val="00DD4D8F"/>
    <w:rsid w:val="00DD4DF6"/>
    <w:rsid w:val="00DD4F05"/>
    <w:rsid w:val="00DD4F83"/>
    <w:rsid w:val="00DD5471"/>
    <w:rsid w:val="00DD570C"/>
    <w:rsid w:val="00DD57C2"/>
    <w:rsid w:val="00DD59E0"/>
    <w:rsid w:val="00DD5A37"/>
    <w:rsid w:val="00DD5F44"/>
    <w:rsid w:val="00DD6168"/>
    <w:rsid w:val="00DD6677"/>
    <w:rsid w:val="00DD687F"/>
    <w:rsid w:val="00DD6B5B"/>
    <w:rsid w:val="00DD6E30"/>
    <w:rsid w:val="00DD6FC4"/>
    <w:rsid w:val="00DD72DA"/>
    <w:rsid w:val="00DD72DC"/>
    <w:rsid w:val="00DE0190"/>
    <w:rsid w:val="00DE0258"/>
    <w:rsid w:val="00DE03CF"/>
    <w:rsid w:val="00DE05DF"/>
    <w:rsid w:val="00DE09CB"/>
    <w:rsid w:val="00DE09D5"/>
    <w:rsid w:val="00DE0A72"/>
    <w:rsid w:val="00DE0B08"/>
    <w:rsid w:val="00DE0B75"/>
    <w:rsid w:val="00DE0F67"/>
    <w:rsid w:val="00DE16DC"/>
    <w:rsid w:val="00DE174B"/>
    <w:rsid w:val="00DE1A9A"/>
    <w:rsid w:val="00DE1C0D"/>
    <w:rsid w:val="00DE1C9E"/>
    <w:rsid w:val="00DE1E55"/>
    <w:rsid w:val="00DE1F8F"/>
    <w:rsid w:val="00DE22BD"/>
    <w:rsid w:val="00DE23E8"/>
    <w:rsid w:val="00DE2A18"/>
    <w:rsid w:val="00DE31A7"/>
    <w:rsid w:val="00DE32B3"/>
    <w:rsid w:val="00DE33C9"/>
    <w:rsid w:val="00DE373D"/>
    <w:rsid w:val="00DE3828"/>
    <w:rsid w:val="00DE3AF3"/>
    <w:rsid w:val="00DE3EDE"/>
    <w:rsid w:val="00DE40CA"/>
    <w:rsid w:val="00DE45CA"/>
    <w:rsid w:val="00DE461F"/>
    <w:rsid w:val="00DE46EC"/>
    <w:rsid w:val="00DE4837"/>
    <w:rsid w:val="00DE49DF"/>
    <w:rsid w:val="00DE4CEC"/>
    <w:rsid w:val="00DE507C"/>
    <w:rsid w:val="00DE517E"/>
    <w:rsid w:val="00DE551A"/>
    <w:rsid w:val="00DE5850"/>
    <w:rsid w:val="00DE5982"/>
    <w:rsid w:val="00DE5C8A"/>
    <w:rsid w:val="00DE5F09"/>
    <w:rsid w:val="00DE6124"/>
    <w:rsid w:val="00DE640A"/>
    <w:rsid w:val="00DE66E2"/>
    <w:rsid w:val="00DE693A"/>
    <w:rsid w:val="00DE697D"/>
    <w:rsid w:val="00DE6DEE"/>
    <w:rsid w:val="00DE73B2"/>
    <w:rsid w:val="00DE73CD"/>
    <w:rsid w:val="00DE7569"/>
    <w:rsid w:val="00DE76E2"/>
    <w:rsid w:val="00DE79DB"/>
    <w:rsid w:val="00DE7BBC"/>
    <w:rsid w:val="00DE7D0E"/>
    <w:rsid w:val="00DE7D46"/>
    <w:rsid w:val="00DE7DDC"/>
    <w:rsid w:val="00DF021E"/>
    <w:rsid w:val="00DF02C3"/>
    <w:rsid w:val="00DF046A"/>
    <w:rsid w:val="00DF0612"/>
    <w:rsid w:val="00DF0A53"/>
    <w:rsid w:val="00DF0A8C"/>
    <w:rsid w:val="00DF0AC3"/>
    <w:rsid w:val="00DF0D7A"/>
    <w:rsid w:val="00DF0DED"/>
    <w:rsid w:val="00DF0FFF"/>
    <w:rsid w:val="00DF13B3"/>
    <w:rsid w:val="00DF15ED"/>
    <w:rsid w:val="00DF1682"/>
    <w:rsid w:val="00DF1AA7"/>
    <w:rsid w:val="00DF1B7D"/>
    <w:rsid w:val="00DF1FA6"/>
    <w:rsid w:val="00DF222E"/>
    <w:rsid w:val="00DF22FC"/>
    <w:rsid w:val="00DF2A0C"/>
    <w:rsid w:val="00DF2D3B"/>
    <w:rsid w:val="00DF2F4F"/>
    <w:rsid w:val="00DF304B"/>
    <w:rsid w:val="00DF316D"/>
    <w:rsid w:val="00DF3917"/>
    <w:rsid w:val="00DF3F22"/>
    <w:rsid w:val="00DF40EE"/>
    <w:rsid w:val="00DF40FE"/>
    <w:rsid w:val="00DF4475"/>
    <w:rsid w:val="00DF45F6"/>
    <w:rsid w:val="00DF4780"/>
    <w:rsid w:val="00DF4814"/>
    <w:rsid w:val="00DF4ED8"/>
    <w:rsid w:val="00DF572D"/>
    <w:rsid w:val="00DF591A"/>
    <w:rsid w:val="00DF5B5C"/>
    <w:rsid w:val="00DF5D4C"/>
    <w:rsid w:val="00DF5E58"/>
    <w:rsid w:val="00DF618B"/>
    <w:rsid w:val="00DF62C6"/>
    <w:rsid w:val="00DF6343"/>
    <w:rsid w:val="00DF6F79"/>
    <w:rsid w:val="00DF700A"/>
    <w:rsid w:val="00DF767C"/>
    <w:rsid w:val="00DF76FC"/>
    <w:rsid w:val="00DF784F"/>
    <w:rsid w:val="00DF7A0E"/>
    <w:rsid w:val="00DF7A86"/>
    <w:rsid w:val="00E0029B"/>
    <w:rsid w:val="00E004BD"/>
    <w:rsid w:val="00E006F5"/>
    <w:rsid w:val="00E00BDA"/>
    <w:rsid w:val="00E00EA8"/>
    <w:rsid w:val="00E00EDA"/>
    <w:rsid w:val="00E0137C"/>
    <w:rsid w:val="00E01433"/>
    <w:rsid w:val="00E01588"/>
    <w:rsid w:val="00E016A0"/>
    <w:rsid w:val="00E01A2B"/>
    <w:rsid w:val="00E01F49"/>
    <w:rsid w:val="00E02111"/>
    <w:rsid w:val="00E022CE"/>
    <w:rsid w:val="00E0249D"/>
    <w:rsid w:val="00E026C2"/>
    <w:rsid w:val="00E0277C"/>
    <w:rsid w:val="00E02BEA"/>
    <w:rsid w:val="00E02E92"/>
    <w:rsid w:val="00E02FDA"/>
    <w:rsid w:val="00E03467"/>
    <w:rsid w:val="00E034A1"/>
    <w:rsid w:val="00E0363A"/>
    <w:rsid w:val="00E03B37"/>
    <w:rsid w:val="00E03C94"/>
    <w:rsid w:val="00E03D02"/>
    <w:rsid w:val="00E03D81"/>
    <w:rsid w:val="00E04187"/>
    <w:rsid w:val="00E04649"/>
    <w:rsid w:val="00E04903"/>
    <w:rsid w:val="00E04C0D"/>
    <w:rsid w:val="00E04C94"/>
    <w:rsid w:val="00E04F14"/>
    <w:rsid w:val="00E0507C"/>
    <w:rsid w:val="00E05264"/>
    <w:rsid w:val="00E0528A"/>
    <w:rsid w:val="00E052E9"/>
    <w:rsid w:val="00E05A32"/>
    <w:rsid w:val="00E05B39"/>
    <w:rsid w:val="00E05E7E"/>
    <w:rsid w:val="00E05FBC"/>
    <w:rsid w:val="00E06156"/>
    <w:rsid w:val="00E06604"/>
    <w:rsid w:val="00E06951"/>
    <w:rsid w:val="00E06A7E"/>
    <w:rsid w:val="00E06AC8"/>
    <w:rsid w:val="00E070BE"/>
    <w:rsid w:val="00E07254"/>
    <w:rsid w:val="00E07583"/>
    <w:rsid w:val="00E07B9D"/>
    <w:rsid w:val="00E07BFF"/>
    <w:rsid w:val="00E07CD4"/>
    <w:rsid w:val="00E07D5F"/>
    <w:rsid w:val="00E07F56"/>
    <w:rsid w:val="00E07FB6"/>
    <w:rsid w:val="00E10385"/>
    <w:rsid w:val="00E10449"/>
    <w:rsid w:val="00E104E9"/>
    <w:rsid w:val="00E104EE"/>
    <w:rsid w:val="00E10539"/>
    <w:rsid w:val="00E105E3"/>
    <w:rsid w:val="00E105F4"/>
    <w:rsid w:val="00E10CBB"/>
    <w:rsid w:val="00E1108C"/>
    <w:rsid w:val="00E1109D"/>
    <w:rsid w:val="00E11176"/>
    <w:rsid w:val="00E1132B"/>
    <w:rsid w:val="00E113FE"/>
    <w:rsid w:val="00E1145F"/>
    <w:rsid w:val="00E11837"/>
    <w:rsid w:val="00E11911"/>
    <w:rsid w:val="00E11D63"/>
    <w:rsid w:val="00E11F7F"/>
    <w:rsid w:val="00E12152"/>
    <w:rsid w:val="00E12265"/>
    <w:rsid w:val="00E12444"/>
    <w:rsid w:val="00E12784"/>
    <w:rsid w:val="00E127B6"/>
    <w:rsid w:val="00E12AE7"/>
    <w:rsid w:val="00E12B00"/>
    <w:rsid w:val="00E12EDF"/>
    <w:rsid w:val="00E1342E"/>
    <w:rsid w:val="00E1343B"/>
    <w:rsid w:val="00E13BC1"/>
    <w:rsid w:val="00E13D49"/>
    <w:rsid w:val="00E13E4E"/>
    <w:rsid w:val="00E13F5B"/>
    <w:rsid w:val="00E13FBF"/>
    <w:rsid w:val="00E142E4"/>
    <w:rsid w:val="00E1436C"/>
    <w:rsid w:val="00E1436F"/>
    <w:rsid w:val="00E14841"/>
    <w:rsid w:val="00E14ABF"/>
    <w:rsid w:val="00E14F13"/>
    <w:rsid w:val="00E1537B"/>
    <w:rsid w:val="00E15499"/>
    <w:rsid w:val="00E15E49"/>
    <w:rsid w:val="00E15FAB"/>
    <w:rsid w:val="00E1606D"/>
    <w:rsid w:val="00E1613C"/>
    <w:rsid w:val="00E1636E"/>
    <w:rsid w:val="00E1662E"/>
    <w:rsid w:val="00E1682C"/>
    <w:rsid w:val="00E16A4C"/>
    <w:rsid w:val="00E16E4C"/>
    <w:rsid w:val="00E1750B"/>
    <w:rsid w:val="00E1779D"/>
    <w:rsid w:val="00E177F0"/>
    <w:rsid w:val="00E179B2"/>
    <w:rsid w:val="00E17DD2"/>
    <w:rsid w:val="00E17FB8"/>
    <w:rsid w:val="00E20040"/>
    <w:rsid w:val="00E200DE"/>
    <w:rsid w:val="00E20129"/>
    <w:rsid w:val="00E20131"/>
    <w:rsid w:val="00E20279"/>
    <w:rsid w:val="00E2043B"/>
    <w:rsid w:val="00E20749"/>
    <w:rsid w:val="00E209F4"/>
    <w:rsid w:val="00E20A06"/>
    <w:rsid w:val="00E20AC3"/>
    <w:rsid w:val="00E20BD3"/>
    <w:rsid w:val="00E20D25"/>
    <w:rsid w:val="00E20DCC"/>
    <w:rsid w:val="00E2105A"/>
    <w:rsid w:val="00E21375"/>
    <w:rsid w:val="00E213D1"/>
    <w:rsid w:val="00E214D7"/>
    <w:rsid w:val="00E21BDF"/>
    <w:rsid w:val="00E21EA3"/>
    <w:rsid w:val="00E223AC"/>
    <w:rsid w:val="00E223E4"/>
    <w:rsid w:val="00E22AE7"/>
    <w:rsid w:val="00E22C51"/>
    <w:rsid w:val="00E22DF8"/>
    <w:rsid w:val="00E2315C"/>
    <w:rsid w:val="00E23181"/>
    <w:rsid w:val="00E23243"/>
    <w:rsid w:val="00E232E2"/>
    <w:rsid w:val="00E2338A"/>
    <w:rsid w:val="00E233C7"/>
    <w:rsid w:val="00E2373E"/>
    <w:rsid w:val="00E23C17"/>
    <w:rsid w:val="00E23D65"/>
    <w:rsid w:val="00E23FB6"/>
    <w:rsid w:val="00E2400A"/>
    <w:rsid w:val="00E24118"/>
    <w:rsid w:val="00E24480"/>
    <w:rsid w:val="00E2453A"/>
    <w:rsid w:val="00E245EB"/>
    <w:rsid w:val="00E24820"/>
    <w:rsid w:val="00E249D2"/>
    <w:rsid w:val="00E24D97"/>
    <w:rsid w:val="00E2547D"/>
    <w:rsid w:val="00E256BC"/>
    <w:rsid w:val="00E25B2C"/>
    <w:rsid w:val="00E25DD0"/>
    <w:rsid w:val="00E25F85"/>
    <w:rsid w:val="00E2640B"/>
    <w:rsid w:val="00E26472"/>
    <w:rsid w:val="00E2666D"/>
    <w:rsid w:val="00E26C99"/>
    <w:rsid w:val="00E26D90"/>
    <w:rsid w:val="00E2701D"/>
    <w:rsid w:val="00E270F0"/>
    <w:rsid w:val="00E27256"/>
    <w:rsid w:val="00E27E1E"/>
    <w:rsid w:val="00E302F6"/>
    <w:rsid w:val="00E3034A"/>
    <w:rsid w:val="00E30523"/>
    <w:rsid w:val="00E30544"/>
    <w:rsid w:val="00E306F4"/>
    <w:rsid w:val="00E30912"/>
    <w:rsid w:val="00E30980"/>
    <w:rsid w:val="00E30BAF"/>
    <w:rsid w:val="00E30CB5"/>
    <w:rsid w:val="00E30D77"/>
    <w:rsid w:val="00E310A7"/>
    <w:rsid w:val="00E310C4"/>
    <w:rsid w:val="00E31542"/>
    <w:rsid w:val="00E317AA"/>
    <w:rsid w:val="00E3184B"/>
    <w:rsid w:val="00E31A94"/>
    <w:rsid w:val="00E31C56"/>
    <w:rsid w:val="00E31C93"/>
    <w:rsid w:val="00E31DBB"/>
    <w:rsid w:val="00E31F2E"/>
    <w:rsid w:val="00E3215F"/>
    <w:rsid w:val="00E321A7"/>
    <w:rsid w:val="00E321DA"/>
    <w:rsid w:val="00E3231B"/>
    <w:rsid w:val="00E324CF"/>
    <w:rsid w:val="00E32667"/>
    <w:rsid w:val="00E32E04"/>
    <w:rsid w:val="00E32E78"/>
    <w:rsid w:val="00E32EAB"/>
    <w:rsid w:val="00E32EE2"/>
    <w:rsid w:val="00E33096"/>
    <w:rsid w:val="00E33303"/>
    <w:rsid w:val="00E33478"/>
    <w:rsid w:val="00E3354D"/>
    <w:rsid w:val="00E336A2"/>
    <w:rsid w:val="00E33AE6"/>
    <w:rsid w:val="00E33D43"/>
    <w:rsid w:val="00E33D5C"/>
    <w:rsid w:val="00E34212"/>
    <w:rsid w:val="00E344E0"/>
    <w:rsid w:val="00E34C0B"/>
    <w:rsid w:val="00E34DB0"/>
    <w:rsid w:val="00E34F3F"/>
    <w:rsid w:val="00E3500C"/>
    <w:rsid w:val="00E352BE"/>
    <w:rsid w:val="00E35410"/>
    <w:rsid w:val="00E35691"/>
    <w:rsid w:val="00E35A87"/>
    <w:rsid w:val="00E35B34"/>
    <w:rsid w:val="00E35DA8"/>
    <w:rsid w:val="00E35F3B"/>
    <w:rsid w:val="00E36217"/>
    <w:rsid w:val="00E36B3A"/>
    <w:rsid w:val="00E36E88"/>
    <w:rsid w:val="00E3746A"/>
    <w:rsid w:val="00E37550"/>
    <w:rsid w:val="00E3778F"/>
    <w:rsid w:val="00E37A18"/>
    <w:rsid w:val="00E37CA3"/>
    <w:rsid w:val="00E37D8F"/>
    <w:rsid w:val="00E37E89"/>
    <w:rsid w:val="00E37EAC"/>
    <w:rsid w:val="00E40006"/>
    <w:rsid w:val="00E400CA"/>
    <w:rsid w:val="00E40182"/>
    <w:rsid w:val="00E4027B"/>
    <w:rsid w:val="00E4048F"/>
    <w:rsid w:val="00E4085B"/>
    <w:rsid w:val="00E40AD3"/>
    <w:rsid w:val="00E40D4A"/>
    <w:rsid w:val="00E41045"/>
    <w:rsid w:val="00E4134E"/>
    <w:rsid w:val="00E4153F"/>
    <w:rsid w:val="00E41647"/>
    <w:rsid w:val="00E41839"/>
    <w:rsid w:val="00E41A95"/>
    <w:rsid w:val="00E41BA9"/>
    <w:rsid w:val="00E41CB4"/>
    <w:rsid w:val="00E41D4C"/>
    <w:rsid w:val="00E4230B"/>
    <w:rsid w:val="00E4239C"/>
    <w:rsid w:val="00E426D1"/>
    <w:rsid w:val="00E42976"/>
    <w:rsid w:val="00E42E8E"/>
    <w:rsid w:val="00E42EA3"/>
    <w:rsid w:val="00E43012"/>
    <w:rsid w:val="00E43245"/>
    <w:rsid w:val="00E43256"/>
    <w:rsid w:val="00E432A5"/>
    <w:rsid w:val="00E433D6"/>
    <w:rsid w:val="00E4395F"/>
    <w:rsid w:val="00E43A63"/>
    <w:rsid w:val="00E44023"/>
    <w:rsid w:val="00E44077"/>
    <w:rsid w:val="00E44144"/>
    <w:rsid w:val="00E445FF"/>
    <w:rsid w:val="00E44682"/>
    <w:rsid w:val="00E44809"/>
    <w:rsid w:val="00E44847"/>
    <w:rsid w:val="00E449F3"/>
    <w:rsid w:val="00E44AE1"/>
    <w:rsid w:val="00E44BA1"/>
    <w:rsid w:val="00E44DBA"/>
    <w:rsid w:val="00E44E4C"/>
    <w:rsid w:val="00E45482"/>
    <w:rsid w:val="00E45806"/>
    <w:rsid w:val="00E46100"/>
    <w:rsid w:val="00E4627E"/>
    <w:rsid w:val="00E46367"/>
    <w:rsid w:val="00E46588"/>
    <w:rsid w:val="00E46728"/>
    <w:rsid w:val="00E468AA"/>
    <w:rsid w:val="00E46A4A"/>
    <w:rsid w:val="00E46B05"/>
    <w:rsid w:val="00E46D91"/>
    <w:rsid w:val="00E4725F"/>
    <w:rsid w:val="00E472A9"/>
    <w:rsid w:val="00E4789D"/>
    <w:rsid w:val="00E47BDB"/>
    <w:rsid w:val="00E5039F"/>
    <w:rsid w:val="00E5069C"/>
    <w:rsid w:val="00E50743"/>
    <w:rsid w:val="00E50B0F"/>
    <w:rsid w:val="00E50D9A"/>
    <w:rsid w:val="00E510D6"/>
    <w:rsid w:val="00E518A6"/>
    <w:rsid w:val="00E51CDA"/>
    <w:rsid w:val="00E520F1"/>
    <w:rsid w:val="00E52206"/>
    <w:rsid w:val="00E52235"/>
    <w:rsid w:val="00E522B2"/>
    <w:rsid w:val="00E522D1"/>
    <w:rsid w:val="00E523D6"/>
    <w:rsid w:val="00E5246A"/>
    <w:rsid w:val="00E52535"/>
    <w:rsid w:val="00E525E9"/>
    <w:rsid w:val="00E527E9"/>
    <w:rsid w:val="00E52813"/>
    <w:rsid w:val="00E52858"/>
    <w:rsid w:val="00E52964"/>
    <w:rsid w:val="00E52AC8"/>
    <w:rsid w:val="00E530DE"/>
    <w:rsid w:val="00E5310E"/>
    <w:rsid w:val="00E53474"/>
    <w:rsid w:val="00E53728"/>
    <w:rsid w:val="00E53741"/>
    <w:rsid w:val="00E53850"/>
    <w:rsid w:val="00E53B32"/>
    <w:rsid w:val="00E53BDB"/>
    <w:rsid w:val="00E53D2C"/>
    <w:rsid w:val="00E53E18"/>
    <w:rsid w:val="00E541B3"/>
    <w:rsid w:val="00E541D8"/>
    <w:rsid w:val="00E54236"/>
    <w:rsid w:val="00E542AE"/>
    <w:rsid w:val="00E546D1"/>
    <w:rsid w:val="00E54CF0"/>
    <w:rsid w:val="00E54E0E"/>
    <w:rsid w:val="00E54E34"/>
    <w:rsid w:val="00E55070"/>
    <w:rsid w:val="00E550E9"/>
    <w:rsid w:val="00E5542B"/>
    <w:rsid w:val="00E555A5"/>
    <w:rsid w:val="00E555CF"/>
    <w:rsid w:val="00E55678"/>
    <w:rsid w:val="00E5567B"/>
    <w:rsid w:val="00E55D27"/>
    <w:rsid w:val="00E5627D"/>
    <w:rsid w:val="00E563AE"/>
    <w:rsid w:val="00E56538"/>
    <w:rsid w:val="00E5673A"/>
    <w:rsid w:val="00E5675B"/>
    <w:rsid w:val="00E5681D"/>
    <w:rsid w:val="00E56AD8"/>
    <w:rsid w:val="00E56D98"/>
    <w:rsid w:val="00E56E19"/>
    <w:rsid w:val="00E56E26"/>
    <w:rsid w:val="00E571AA"/>
    <w:rsid w:val="00E57332"/>
    <w:rsid w:val="00E5737A"/>
    <w:rsid w:val="00E5744E"/>
    <w:rsid w:val="00E57554"/>
    <w:rsid w:val="00E577EE"/>
    <w:rsid w:val="00E579BD"/>
    <w:rsid w:val="00E57A14"/>
    <w:rsid w:val="00E57D7F"/>
    <w:rsid w:val="00E60F95"/>
    <w:rsid w:val="00E616C0"/>
    <w:rsid w:val="00E6186B"/>
    <w:rsid w:val="00E619CD"/>
    <w:rsid w:val="00E61A38"/>
    <w:rsid w:val="00E61CC2"/>
    <w:rsid w:val="00E6206F"/>
    <w:rsid w:val="00E62342"/>
    <w:rsid w:val="00E62373"/>
    <w:rsid w:val="00E62624"/>
    <w:rsid w:val="00E626E2"/>
    <w:rsid w:val="00E6282A"/>
    <w:rsid w:val="00E628F6"/>
    <w:rsid w:val="00E62A5B"/>
    <w:rsid w:val="00E62BA8"/>
    <w:rsid w:val="00E62E80"/>
    <w:rsid w:val="00E63101"/>
    <w:rsid w:val="00E6324F"/>
    <w:rsid w:val="00E6350D"/>
    <w:rsid w:val="00E6390E"/>
    <w:rsid w:val="00E63985"/>
    <w:rsid w:val="00E639D4"/>
    <w:rsid w:val="00E63ACD"/>
    <w:rsid w:val="00E63C6F"/>
    <w:rsid w:val="00E64014"/>
    <w:rsid w:val="00E64015"/>
    <w:rsid w:val="00E642DB"/>
    <w:rsid w:val="00E64584"/>
    <w:rsid w:val="00E64698"/>
    <w:rsid w:val="00E646B2"/>
    <w:rsid w:val="00E64B61"/>
    <w:rsid w:val="00E64D42"/>
    <w:rsid w:val="00E64F18"/>
    <w:rsid w:val="00E650F0"/>
    <w:rsid w:val="00E65143"/>
    <w:rsid w:val="00E6515D"/>
    <w:rsid w:val="00E6516E"/>
    <w:rsid w:val="00E65C5C"/>
    <w:rsid w:val="00E65E8E"/>
    <w:rsid w:val="00E6629B"/>
    <w:rsid w:val="00E66583"/>
    <w:rsid w:val="00E6680C"/>
    <w:rsid w:val="00E6683F"/>
    <w:rsid w:val="00E66904"/>
    <w:rsid w:val="00E669C2"/>
    <w:rsid w:val="00E66E25"/>
    <w:rsid w:val="00E67316"/>
    <w:rsid w:val="00E676D5"/>
    <w:rsid w:val="00E6784B"/>
    <w:rsid w:val="00E67A8D"/>
    <w:rsid w:val="00E67B54"/>
    <w:rsid w:val="00E67D3A"/>
    <w:rsid w:val="00E67E64"/>
    <w:rsid w:val="00E70002"/>
    <w:rsid w:val="00E704AA"/>
    <w:rsid w:val="00E704B9"/>
    <w:rsid w:val="00E7070B"/>
    <w:rsid w:val="00E7071F"/>
    <w:rsid w:val="00E70743"/>
    <w:rsid w:val="00E71111"/>
    <w:rsid w:val="00E713EE"/>
    <w:rsid w:val="00E7155D"/>
    <w:rsid w:val="00E71892"/>
    <w:rsid w:val="00E71C5E"/>
    <w:rsid w:val="00E71CF8"/>
    <w:rsid w:val="00E71E2E"/>
    <w:rsid w:val="00E71EA3"/>
    <w:rsid w:val="00E72870"/>
    <w:rsid w:val="00E7292E"/>
    <w:rsid w:val="00E72C28"/>
    <w:rsid w:val="00E72E22"/>
    <w:rsid w:val="00E73392"/>
    <w:rsid w:val="00E7342C"/>
    <w:rsid w:val="00E7364C"/>
    <w:rsid w:val="00E738D8"/>
    <w:rsid w:val="00E7399E"/>
    <w:rsid w:val="00E73B47"/>
    <w:rsid w:val="00E73B6D"/>
    <w:rsid w:val="00E74111"/>
    <w:rsid w:val="00E7452C"/>
    <w:rsid w:val="00E745D6"/>
    <w:rsid w:val="00E74716"/>
    <w:rsid w:val="00E74778"/>
    <w:rsid w:val="00E74898"/>
    <w:rsid w:val="00E748CB"/>
    <w:rsid w:val="00E74AD2"/>
    <w:rsid w:val="00E74AD5"/>
    <w:rsid w:val="00E74ADB"/>
    <w:rsid w:val="00E74D29"/>
    <w:rsid w:val="00E74D4E"/>
    <w:rsid w:val="00E751DD"/>
    <w:rsid w:val="00E758F6"/>
    <w:rsid w:val="00E75A35"/>
    <w:rsid w:val="00E75A60"/>
    <w:rsid w:val="00E75AD5"/>
    <w:rsid w:val="00E75BDF"/>
    <w:rsid w:val="00E75F34"/>
    <w:rsid w:val="00E7613F"/>
    <w:rsid w:val="00E76150"/>
    <w:rsid w:val="00E76433"/>
    <w:rsid w:val="00E7647C"/>
    <w:rsid w:val="00E7666C"/>
    <w:rsid w:val="00E76935"/>
    <w:rsid w:val="00E76C8C"/>
    <w:rsid w:val="00E772FB"/>
    <w:rsid w:val="00E77336"/>
    <w:rsid w:val="00E77530"/>
    <w:rsid w:val="00E7784B"/>
    <w:rsid w:val="00E778F0"/>
    <w:rsid w:val="00E77E56"/>
    <w:rsid w:val="00E8066C"/>
    <w:rsid w:val="00E807D8"/>
    <w:rsid w:val="00E8088D"/>
    <w:rsid w:val="00E80BF5"/>
    <w:rsid w:val="00E81055"/>
    <w:rsid w:val="00E810E8"/>
    <w:rsid w:val="00E8131C"/>
    <w:rsid w:val="00E81476"/>
    <w:rsid w:val="00E816E9"/>
    <w:rsid w:val="00E81ABD"/>
    <w:rsid w:val="00E81B0C"/>
    <w:rsid w:val="00E81F12"/>
    <w:rsid w:val="00E820A1"/>
    <w:rsid w:val="00E82283"/>
    <w:rsid w:val="00E823D2"/>
    <w:rsid w:val="00E82405"/>
    <w:rsid w:val="00E8249F"/>
    <w:rsid w:val="00E82777"/>
    <w:rsid w:val="00E8283A"/>
    <w:rsid w:val="00E8299D"/>
    <w:rsid w:val="00E82AFA"/>
    <w:rsid w:val="00E82D78"/>
    <w:rsid w:val="00E82F9F"/>
    <w:rsid w:val="00E831DE"/>
    <w:rsid w:val="00E83AD8"/>
    <w:rsid w:val="00E83D1A"/>
    <w:rsid w:val="00E83EBA"/>
    <w:rsid w:val="00E84073"/>
    <w:rsid w:val="00E841B9"/>
    <w:rsid w:val="00E841E5"/>
    <w:rsid w:val="00E84841"/>
    <w:rsid w:val="00E84A6B"/>
    <w:rsid w:val="00E84A7C"/>
    <w:rsid w:val="00E84B87"/>
    <w:rsid w:val="00E84BB6"/>
    <w:rsid w:val="00E84CDB"/>
    <w:rsid w:val="00E84E82"/>
    <w:rsid w:val="00E85865"/>
    <w:rsid w:val="00E85942"/>
    <w:rsid w:val="00E85A88"/>
    <w:rsid w:val="00E85BB9"/>
    <w:rsid w:val="00E85DC2"/>
    <w:rsid w:val="00E85FF7"/>
    <w:rsid w:val="00E86212"/>
    <w:rsid w:val="00E86506"/>
    <w:rsid w:val="00E866CD"/>
    <w:rsid w:val="00E870C0"/>
    <w:rsid w:val="00E87465"/>
    <w:rsid w:val="00E874A3"/>
    <w:rsid w:val="00E87750"/>
    <w:rsid w:val="00E87A86"/>
    <w:rsid w:val="00E87E90"/>
    <w:rsid w:val="00E900CC"/>
    <w:rsid w:val="00E90350"/>
    <w:rsid w:val="00E9085B"/>
    <w:rsid w:val="00E908B1"/>
    <w:rsid w:val="00E90B1B"/>
    <w:rsid w:val="00E90D03"/>
    <w:rsid w:val="00E90FED"/>
    <w:rsid w:val="00E9122E"/>
    <w:rsid w:val="00E917F1"/>
    <w:rsid w:val="00E91A7F"/>
    <w:rsid w:val="00E91B3B"/>
    <w:rsid w:val="00E91BAF"/>
    <w:rsid w:val="00E91C32"/>
    <w:rsid w:val="00E91D0B"/>
    <w:rsid w:val="00E91E73"/>
    <w:rsid w:val="00E91EA2"/>
    <w:rsid w:val="00E91EA5"/>
    <w:rsid w:val="00E91FA8"/>
    <w:rsid w:val="00E922F8"/>
    <w:rsid w:val="00E92384"/>
    <w:rsid w:val="00E92B13"/>
    <w:rsid w:val="00E92E00"/>
    <w:rsid w:val="00E93167"/>
    <w:rsid w:val="00E936B0"/>
    <w:rsid w:val="00E936F4"/>
    <w:rsid w:val="00E93A0C"/>
    <w:rsid w:val="00E93BCB"/>
    <w:rsid w:val="00E93BE0"/>
    <w:rsid w:val="00E93E8D"/>
    <w:rsid w:val="00E93E92"/>
    <w:rsid w:val="00E93EDD"/>
    <w:rsid w:val="00E93F6D"/>
    <w:rsid w:val="00E940B0"/>
    <w:rsid w:val="00E94279"/>
    <w:rsid w:val="00E94346"/>
    <w:rsid w:val="00E94B03"/>
    <w:rsid w:val="00E94EB4"/>
    <w:rsid w:val="00E94F99"/>
    <w:rsid w:val="00E9531D"/>
    <w:rsid w:val="00E9564C"/>
    <w:rsid w:val="00E95669"/>
    <w:rsid w:val="00E9574F"/>
    <w:rsid w:val="00E95886"/>
    <w:rsid w:val="00E9591A"/>
    <w:rsid w:val="00E95A0D"/>
    <w:rsid w:val="00E95BC8"/>
    <w:rsid w:val="00E95BFC"/>
    <w:rsid w:val="00E95FFA"/>
    <w:rsid w:val="00E96156"/>
    <w:rsid w:val="00E96265"/>
    <w:rsid w:val="00E96314"/>
    <w:rsid w:val="00E96407"/>
    <w:rsid w:val="00E96629"/>
    <w:rsid w:val="00E96865"/>
    <w:rsid w:val="00E969BB"/>
    <w:rsid w:val="00E96C98"/>
    <w:rsid w:val="00E96CEA"/>
    <w:rsid w:val="00E96D39"/>
    <w:rsid w:val="00E97139"/>
    <w:rsid w:val="00E972E1"/>
    <w:rsid w:val="00E978F5"/>
    <w:rsid w:val="00E9790C"/>
    <w:rsid w:val="00E97AAD"/>
    <w:rsid w:val="00E97BE8"/>
    <w:rsid w:val="00E97C8C"/>
    <w:rsid w:val="00E97C90"/>
    <w:rsid w:val="00E97D82"/>
    <w:rsid w:val="00E97DBB"/>
    <w:rsid w:val="00E97F34"/>
    <w:rsid w:val="00EA018B"/>
    <w:rsid w:val="00EA02BC"/>
    <w:rsid w:val="00EA0B72"/>
    <w:rsid w:val="00EA0B9C"/>
    <w:rsid w:val="00EA0CDD"/>
    <w:rsid w:val="00EA0D03"/>
    <w:rsid w:val="00EA0E3E"/>
    <w:rsid w:val="00EA0EA6"/>
    <w:rsid w:val="00EA0F38"/>
    <w:rsid w:val="00EA1117"/>
    <w:rsid w:val="00EA11A9"/>
    <w:rsid w:val="00EA11B2"/>
    <w:rsid w:val="00EA199D"/>
    <w:rsid w:val="00EA19EC"/>
    <w:rsid w:val="00EA1A52"/>
    <w:rsid w:val="00EA1B4C"/>
    <w:rsid w:val="00EA1B7A"/>
    <w:rsid w:val="00EA1D73"/>
    <w:rsid w:val="00EA1F20"/>
    <w:rsid w:val="00EA1F84"/>
    <w:rsid w:val="00EA206C"/>
    <w:rsid w:val="00EA212B"/>
    <w:rsid w:val="00EA222A"/>
    <w:rsid w:val="00EA2AFB"/>
    <w:rsid w:val="00EA2CB3"/>
    <w:rsid w:val="00EA2D14"/>
    <w:rsid w:val="00EA3457"/>
    <w:rsid w:val="00EA397A"/>
    <w:rsid w:val="00EA39C9"/>
    <w:rsid w:val="00EA39F0"/>
    <w:rsid w:val="00EA3A0A"/>
    <w:rsid w:val="00EA3B89"/>
    <w:rsid w:val="00EA3D6C"/>
    <w:rsid w:val="00EA4115"/>
    <w:rsid w:val="00EA416E"/>
    <w:rsid w:val="00EA41BB"/>
    <w:rsid w:val="00EA42D8"/>
    <w:rsid w:val="00EA449A"/>
    <w:rsid w:val="00EA44A1"/>
    <w:rsid w:val="00EA44ED"/>
    <w:rsid w:val="00EA454D"/>
    <w:rsid w:val="00EA456A"/>
    <w:rsid w:val="00EA4730"/>
    <w:rsid w:val="00EA4746"/>
    <w:rsid w:val="00EA47DC"/>
    <w:rsid w:val="00EA4B0C"/>
    <w:rsid w:val="00EA4B69"/>
    <w:rsid w:val="00EA4D01"/>
    <w:rsid w:val="00EA4EC0"/>
    <w:rsid w:val="00EA5002"/>
    <w:rsid w:val="00EA50B2"/>
    <w:rsid w:val="00EA5125"/>
    <w:rsid w:val="00EA5471"/>
    <w:rsid w:val="00EA5638"/>
    <w:rsid w:val="00EA5649"/>
    <w:rsid w:val="00EA58FC"/>
    <w:rsid w:val="00EA5B3E"/>
    <w:rsid w:val="00EA5BA7"/>
    <w:rsid w:val="00EA5D09"/>
    <w:rsid w:val="00EA5FB8"/>
    <w:rsid w:val="00EA606D"/>
    <w:rsid w:val="00EA6124"/>
    <w:rsid w:val="00EA654B"/>
    <w:rsid w:val="00EA655B"/>
    <w:rsid w:val="00EA6F38"/>
    <w:rsid w:val="00EA7083"/>
    <w:rsid w:val="00EA731A"/>
    <w:rsid w:val="00EA74C6"/>
    <w:rsid w:val="00EA786C"/>
    <w:rsid w:val="00EA7F74"/>
    <w:rsid w:val="00EB036B"/>
    <w:rsid w:val="00EB06EF"/>
    <w:rsid w:val="00EB088E"/>
    <w:rsid w:val="00EB0AF2"/>
    <w:rsid w:val="00EB10CA"/>
    <w:rsid w:val="00EB1150"/>
    <w:rsid w:val="00EB189D"/>
    <w:rsid w:val="00EB1C8D"/>
    <w:rsid w:val="00EB208B"/>
    <w:rsid w:val="00EB2185"/>
    <w:rsid w:val="00EB2705"/>
    <w:rsid w:val="00EB2A34"/>
    <w:rsid w:val="00EB2ED5"/>
    <w:rsid w:val="00EB2F2F"/>
    <w:rsid w:val="00EB306E"/>
    <w:rsid w:val="00EB3222"/>
    <w:rsid w:val="00EB3347"/>
    <w:rsid w:val="00EB37D9"/>
    <w:rsid w:val="00EB38A4"/>
    <w:rsid w:val="00EB3B72"/>
    <w:rsid w:val="00EB3F06"/>
    <w:rsid w:val="00EB4059"/>
    <w:rsid w:val="00EB4353"/>
    <w:rsid w:val="00EB44CA"/>
    <w:rsid w:val="00EB4509"/>
    <w:rsid w:val="00EB4B9A"/>
    <w:rsid w:val="00EB4CA2"/>
    <w:rsid w:val="00EB51C4"/>
    <w:rsid w:val="00EB57E8"/>
    <w:rsid w:val="00EB5C65"/>
    <w:rsid w:val="00EB5E57"/>
    <w:rsid w:val="00EB6083"/>
    <w:rsid w:val="00EB6208"/>
    <w:rsid w:val="00EB629E"/>
    <w:rsid w:val="00EB6521"/>
    <w:rsid w:val="00EB6B51"/>
    <w:rsid w:val="00EB75E5"/>
    <w:rsid w:val="00EB7B71"/>
    <w:rsid w:val="00EB7CC1"/>
    <w:rsid w:val="00EB7D27"/>
    <w:rsid w:val="00EC024B"/>
    <w:rsid w:val="00EC046C"/>
    <w:rsid w:val="00EC06CD"/>
    <w:rsid w:val="00EC07E7"/>
    <w:rsid w:val="00EC0973"/>
    <w:rsid w:val="00EC0DE7"/>
    <w:rsid w:val="00EC1067"/>
    <w:rsid w:val="00EC1302"/>
    <w:rsid w:val="00EC1398"/>
    <w:rsid w:val="00EC1ADB"/>
    <w:rsid w:val="00EC1C9D"/>
    <w:rsid w:val="00EC23EB"/>
    <w:rsid w:val="00EC251F"/>
    <w:rsid w:val="00EC26CE"/>
    <w:rsid w:val="00EC2868"/>
    <w:rsid w:val="00EC2C56"/>
    <w:rsid w:val="00EC2C93"/>
    <w:rsid w:val="00EC2FC5"/>
    <w:rsid w:val="00EC331A"/>
    <w:rsid w:val="00EC33FF"/>
    <w:rsid w:val="00EC34E7"/>
    <w:rsid w:val="00EC372F"/>
    <w:rsid w:val="00EC3B58"/>
    <w:rsid w:val="00EC3C04"/>
    <w:rsid w:val="00EC3D28"/>
    <w:rsid w:val="00EC4168"/>
    <w:rsid w:val="00EC4493"/>
    <w:rsid w:val="00EC4774"/>
    <w:rsid w:val="00EC49CA"/>
    <w:rsid w:val="00EC4C10"/>
    <w:rsid w:val="00EC4C78"/>
    <w:rsid w:val="00EC503B"/>
    <w:rsid w:val="00EC5052"/>
    <w:rsid w:val="00EC5695"/>
    <w:rsid w:val="00EC5CCE"/>
    <w:rsid w:val="00EC5E2F"/>
    <w:rsid w:val="00EC61F0"/>
    <w:rsid w:val="00EC6454"/>
    <w:rsid w:val="00EC64E1"/>
    <w:rsid w:val="00EC69A5"/>
    <w:rsid w:val="00EC6A29"/>
    <w:rsid w:val="00EC6B41"/>
    <w:rsid w:val="00EC6B9F"/>
    <w:rsid w:val="00EC6C17"/>
    <w:rsid w:val="00EC6EB5"/>
    <w:rsid w:val="00EC7066"/>
    <w:rsid w:val="00EC70B5"/>
    <w:rsid w:val="00EC7240"/>
    <w:rsid w:val="00EC7646"/>
    <w:rsid w:val="00EC77D6"/>
    <w:rsid w:val="00EC7806"/>
    <w:rsid w:val="00EC7905"/>
    <w:rsid w:val="00EC7CC0"/>
    <w:rsid w:val="00ED0472"/>
    <w:rsid w:val="00ED0768"/>
    <w:rsid w:val="00ED08A8"/>
    <w:rsid w:val="00ED0CB6"/>
    <w:rsid w:val="00ED10C5"/>
    <w:rsid w:val="00ED1355"/>
    <w:rsid w:val="00ED1469"/>
    <w:rsid w:val="00ED15E1"/>
    <w:rsid w:val="00ED1B8F"/>
    <w:rsid w:val="00ED1DD4"/>
    <w:rsid w:val="00ED23A2"/>
    <w:rsid w:val="00ED2465"/>
    <w:rsid w:val="00ED2AAE"/>
    <w:rsid w:val="00ED2AB9"/>
    <w:rsid w:val="00ED2C11"/>
    <w:rsid w:val="00ED2DD7"/>
    <w:rsid w:val="00ED2FCA"/>
    <w:rsid w:val="00ED3AE1"/>
    <w:rsid w:val="00ED4261"/>
    <w:rsid w:val="00ED45BB"/>
    <w:rsid w:val="00ED4742"/>
    <w:rsid w:val="00ED4AF0"/>
    <w:rsid w:val="00ED544E"/>
    <w:rsid w:val="00ED5A45"/>
    <w:rsid w:val="00ED5B5A"/>
    <w:rsid w:val="00ED5CA6"/>
    <w:rsid w:val="00ED5CBE"/>
    <w:rsid w:val="00ED5EFB"/>
    <w:rsid w:val="00ED60D9"/>
    <w:rsid w:val="00ED6483"/>
    <w:rsid w:val="00ED653C"/>
    <w:rsid w:val="00ED6750"/>
    <w:rsid w:val="00ED6D2C"/>
    <w:rsid w:val="00ED6DB9"/>
    <w:rsid w:val="00ED6EDA"/>
    <w:rsid w:val="00ED7510"/>
    <w:rsid w:val="00ED7601"/>
    <w:rsid w:val="00ED7A63"/>
    <w:rsid w:val="00ED7C2A"/>
    <w:rsid w:val="00ED7D4B"/>
    <w:rsid w:val="00ED7EB5"/>
    <w:rsid w:val="00ED7F00"/>
    <w:rsid w:val="00EE0150"/>
    <w:rsid w:val="00EE034E"/>
    <w:rsid w:val="00EE06C2"/>
    <w:rsid w:val="00EE0BED"/>
    <w:rsid w:val="00EE0C00"/>
    <w:rsid w:val="00EE0D27"/>
    <w:rsid w:val="00EE0DB7"/>
    <w:rsid w:val="00EE1144"/>
    <w:rsid w:val="00EE12B0"/>
    <w:rsid w:val="00EE1412"/>
    <w:rsid w:val="00EE1791"/>
    <w:rsid w:val="00EE1A70"/>
    <w:rsid w:val="00EE1D79"/>
    <w:rsid w:val="00EE2273"/>
    <w:rsid w:val="00EE25D7"/>
    <w:rsid w:val="00EE2775"/>
    <w:rsid w:val="00EE2786"/>
    <w:rsid w:val="00EE2993"/>
    <w:rsid w:val="00EE2BDA"/>
    <w:rsid w:val="00EE2E4C"/>
    <w:rsid w:val="00EE3086"/>
    <w:rsid w:val="00EE338B"/>
    <w:rsid w:val="00EE3447"/>
    <w:rsid w:val="00EE36B7"/>
    <w:rsid w:val="00EE376D"/>
    <w:rsid w:val="00EE38EA"/>
    <w:rsid w:val="00EE3B2D"/>
    <w:rsid w:val="00EE3D58"/>
    <w:rsid w:val="00EE3DC4"/>
    <w:rsid w:val="00EE3EF8"/>
    <w:rsid w:val="00EE42C8"/>
    <w:rsid w:val="00EE52EB"/>
    <w:rsid w:val="00EE54EC"/>
    <w:rsid w:val="00EE58DA"/>
    <w:rsid w:val="00EE596A"/>
    <w:rsid w:val="00EE5ADD"/>
    <w:rsid w:val="00EE5EE2"/>
    <w:rsid w:val="00EE5FC8"/>
    <w:rsid w:val="00EE6281"/>
    <w:rsid w:val="00EE62AA"/>
    <w:rsid w:val="00EE6482"/>
    <w:rsid w:val="00EE6574"/>
    <w:rsid w:val="00EE6735"/>
    <w:rsid w:val="00EE6C06"/>
    <w:rsid w:val="00EE7607"/>
    <w:rsid w:val="00EE7810"/>
    <w:rsid w:val="00EE7BC4"/>
    <w:rsid w:val="00EE7F7A"/>
    <w:rsid w:val="00EF02B0"/>
    <w:rsid w:val="00EF0323"/>
    <w:rsid w:val="00EF079C"/>
    <w:rsid w:val="00EF0922"/>
    <w:rsid w:val="00EF0ABF"/>
    <w:rsid w:val="00EF0C47"/>
    <w:rsid w:val="00EF0CBD"/>
    <w:rsid w:val="00EF0E35"/>
    <w:rsid w:val="00EF0E74"/>
    <w:rsid w:val="00EF0F90"/>
    <w:rsid w:val="00EF1065"/>
    <w:rsid w:val="00EF107E"/>
    <w:rsid w:val="00EF135A"/>
    <w:rsid w:val="00EF161D"/>
    <w:rsid w:val="00EF1834"/>
    <w:rsid w:val="00EF18ED"/>
    <w:rsid w:val="00EF1A82"/>
    <w:rsid w:val="00EF1C6D"/>
    <w:rsid w:val="00EF1F2C"/>
    <w:rsid w:val="00EF2B56"/>
    <w:rsid w:val="00EF2C32"/>
    <w:rsid w:val="00EF2D01"/>
    <w:rsid w:val="00EF2E3C"/>
    <w:rsid w:val="00EF31C6"/>
    <w:rsid w:val="00EF3515"/>
    <w:rsid w:val="00EF37A4"/>
    <w:rsid w:val="00EF3CB5"/>
    <w:rsid w:val="00EF40A4"/>
    <w:rsid w:val="00EF4288"/>
    <w:rsid w:val="00EF4432"/>
    <w:rsid w:val="00EF451C"/>
    <w:rsid w:val="00EF4FD2"/>
    <w:rsid w:val="00EF5062"/>
    <w:rsid w:val="00EF509C"/>
    <w:rsid w:val="00EF539D"/>
    <w:rsid w:val="00EF5861"/>
    <w:rsid w:val="00EF5D95"/>
    <w:rsid w:val="00EF5E2A"/>
    <w:rsid w:val="00EF5FED"/>
    <w:rsid w:val="00EF6143"/>
    <w:rsid w:val="00EF6213"/>
    <w:rsid w:val="00EF6300"/>
    <w:rsid w:val="00EF64C1"/>
    <w:rsid w:val="00EF64D1"/>
    <w:rsid w:val="00EF6512"/>
    <w:rsid w:val="00EF6646"/>
    <w:rsid w:val="00EF666F"/>
    <w:rsid w:val="00EF6D46"/>
    <w:rsid w:val="00EF6F8D"/>
    <w:rsid w:val="00EF70B9"/>
    <w:rsid w:val="00EF7209"/>
    <w:rsid w:val="00EF792F"/>
    <w:rsid w:val="00EF7F75"/>
    <w:rsid w:val="00F002F1"/>
    <w:rsid w:val="00F0030A"/>
    <w:rsid w:val="00F00EDD"/>
    <w:rsid w:val="00F00F3E"/>
    <w:rsid w:val="00F00FA7"/>
    <w:rsid w:val="00F012A3"/>
    <w:rsid w:val="00F01565"/>
    <w:rsid w:val="00F017FF"/>
    <w:rsid w:val="00F01853"/>
    <w:rsid w:val="00F01FBA"/>
    <w:rsid w:val="00F02097"/>
    <w:rsid w:val="00F025F1"/>
    <w:rsid w:val="00F03015"/>
    <w:rsid w:val="00F03182"/>
    <w:rsid w:val="00F03255"/>
    <w:rsid w:val="00F0362A"/>
    <w:rsid w:val="00F04138"/>
    <w:rsid w:val="00F04188"/>
    <w:rsid w:val="00F04894"/>
    <w:rsid w:val="00F04AFA"/>
    <w:rsid w:val="00F04D7A"/>
    <w:rsid w:val="00F04E46"/>
    <w:rsid w:val="00F0531C"/>
    <w:rsid w:val="00F0563A"/>
    <w:rsid w:val="00F05689"/>
    <w:rsid w:val="00F0590E"/>
    <w:rsid w:val="00F05DB4"/>
    <w:rsid w:val="00F05E18"/>
    <w:rsid w:val="00F05F4C"/>
    <w:rsid w:val="00F060CB"/>
    <w:rsid w:val="00F068FD"/>
    <w:rsid w:val="00F06A35"/>
    <w:rsid w:val="00F06A43"/>
    <w:rsid w:val="00F06F66"/>
    <w:rsid w:val="00F073C4"/>
    <w:rsid w:val="00F07428"/>
    <w:rsid w:val="00F07525"/>
    <w:rsid w:val="00F076D5"/>
    <w:rsid w:val="00F07822"/>
    <w:rsid w:val="00F07B39"/>
    <w:rsid w:val="00F07C08"/>
    <w:rsid w:val="00F07D99"/>
    <w:rsid w:val="00F07FD7"/>
    <w:rsid w:val="00F10139"/>
    <w:rsid w:val="00F10273"/>
    <w:rsid w:val="00F106EE"/>
    <w:rsid w:val="00F10875"/>
    <w:rsid w:val="00F10A23"/>
    <w:rsid w:val="00F10A43"/>
    <w:rsid w:val="00F10C24"/>
    <w:rsid w:val="00F10DAF"/>
    <w:rsid w:val="00F1112A"/>
    <w:rsid w:val="00F11629"/>
    <w:rsid w:val="00F118CA"/>
    <w:rsid w:val="00F11919"/>
    <w:rsid w:val="00F11BFD"/>
    <w:rsid w:val="00F11C78"/>
    <w:rsid w:val="00F11CD3"/>
    <w:rsid w:val="00F12024"/>
    <w:rsid w:val="00F12109"/>
    <w:rsid w:val="00F125DB"/>
    <w:rsid w:val="00F125FE"/>
    <w:rsid w:val="00F12817"/>
    <w:rsid w:val="00F12A3F"/>
    <w:rsid w:val="00F12DBF"/>
    <w:rsid w:val="00F12FA4"/>
    <w:rsid w:val="00F12FE9"/>
    <w:rsid w:val="00F1303F"/>
    <w:rsid w:val="00F131CF"/>
    <w:rsid w:val="00F1353D"/>
    <w:rsid w:val="00F138B9"/>
    <w:rsid w:val="00F13932"/>
    <w:rsid w:val="00F13983"/>
    <w:rsid w:val="00F13A07"/>
    <w:rsid w:val="00F13AA8"/>
    <w:rsid w:val="00F13BBB"/>
    <w:rsid w:val="00F13CF1"/>
    <w:rsid w:val="00F13D1C"/>
    <w:rsid w:val="00F140F2"/>
    <w:rsid w:val="00F14160"/>
    <w:rsid w:val="00F14249"/>
    <w:rsid w:val="00F14FEB"/>
    <w:rsid w:val="00F15116"/>
    <w:rsid w:val="00F15172"/>
    <w:rsid w:val="00F151E7"/>
    <w:rsid w:val="00F1531F"/>
    <w:rsid w:val="00F15526"/>
    <w:rsid w:val="00F15633"/>
    <w:rsid w:val="00F1595E"/>
    <w:rsid w:val="00F15B07"/>
    <w:rsid w:val="00F15BD6"/>
    <w:rsid w:val="00F15EA9"/>
    <w:rsid w:val="00F15F62"/>
    <w:rsid w:val="00F15FA8"/>
    <w:rsid w:val="00F16339"/>
    <w:rsid w:val="00F170FE"/>
    <w:rsid w:val="00F1725D"/>
    <w:rsid w:val="00F174D2"/>
    <w:rsid w:val="00F17610"/>
    <w:rsid w:val="00F1789A"/>
    <w:rsid w:val="00F17A77"/>
    <w:rsid w:val="00F17D66"/>
    <w:rsid w:val="00F204D7"/>
    <w:rsid w:val="00F20697"/>
    <w:rsid w:val="00F207CE"/>
    <w:rsid w:val="00F20A3E"/>
    <w:rsid w:val="00F20ADE"/>
    <w:rsid w:val="00F20F4B"/>
    <w:rsid w:val="00F20FF5"/>
    <w:rsid w:val="00F21004"/>
    <w:rsid w:val="00F217C6"/>
    <w:rsid w:val="00F21DF9"/>
    <w:rsid w:val="00F227B4"/>
    <w:rsid w:val="00F227F5"/>
    <w:rsid w:val="00F22860"/>
    <w:rsid w:val="00F22894"/>
    <w:rsid w:val="00F22C4A"/>
    <w:rsid w:val="00F22D68"/>
    <w:rsid w:val="00F23068"/>
    <w:rsid w:val="00F2318A"/>
    <w:rsid w:val="00F23279"/>
    <w:rsid w:val="00F23479"/>
    <w:rsid w:val="00F234E3"/>
    <w:rsid w:val="00F236DA"/>
    <w:rsid w:val="00F23763"/>
    <w:rsid w:val="00F2390D"/>
    <w:rsid w:val="00F23E4B"/>
    <w:rsid w:val="00F23E51"/>
    <w:rsid w:val="00F242AA"/>
    <w:rsid w:val="00F24306"/>
    <w:rsid w:val="00F24424"/>
    <w:rsid w:val="00F2442F"/>
    <w:rsid w:val="00F24543"/>
    <w:rsid w:val="00F24695"/>
    <w:rsid w:val="00F248AA"/>
    <w:rsid w:val="00F24F0C"/>
    <w:rsid w:val="00F24FD4"/>
    <w:rsid w:val="00F25328"/>
    <w:rsid w:val="00F25409"/>
    <w:rsid w:val="00F2551E"/>
    <w:rsid w:val="00F255F1"/>
    <w:rsid w:val="00F25696"/>
    <w:rsid w:val="00F2622F"/>
    <w:rsid w:val="00F26366"/>
    <w:rsid w:val="00F263FE"/>
    <w:rsid w:val="00F266C1"/>
    <w:rsid w:val="00F269EB"/>
    <w:rsid w:val="00F26A78"/>
    <w:rsid w:val="00F26ACD"/>
    <w:rsid w:val="00F2729C"/>
    <w:rsid w:val="00F272CC"/>
    <w:rsid w:val="00F2737A"/>
    <w:rsid w:val="00F2751C"/>
    <w:rsid w:val="00F27612"/>
    <w:rsid w:val="00F27662"/>
    <w:rsid w:val="00F276FE"/>
    <w:rsid w:val="00F27CB2"/>
    <w:rsid w:val="00F30100"/>
    <w:rsid w:val="00F30139"/>
    <w:rsid w:val="00F3037F"/>
    <w:rsid w:val="00F3038E"/>
    <w:rsid w:val="00F30396"/>
    <w:rsid w:val="00F30453"/>
    <w:rsid w:val="00F30462"/>
    <w:rsid w:val="00F3053D"/>
    <w:rsid w:val="00F307E1"/>
    <w:rsid w:val="00F30822"/>
    <w:rsid w:val="00F30A17"/>
    <w:rsid w:val="00F30B75"/>
    <w:rsid w:val="00F30D3E"/>
    <w:rsid w:val="00F310C4"/>
    <w:rsid w:val="00F31211"/>
    <w:rsid w:val="00F31248"/>
    <w:rsid w:val="00F3136A"/>
    <w:rsid w:val="00F314DA"/>
    <w:rsid w:val="00F31504"/>
    <w:rsid w:val="00F31536"/>
    <w:rsid w:val="00F320B3"/>
    <w:rsid w:val="00F32C48"/>
    <w:rsid w:val="00F330AB"/>
    <w:rsid w:val="00F333A3"/>
    <w:rsid w:val="00F3364A"/>
    <w:rsid w:val="00F33868"/>
    <w:rsid w:val="00F33CE0"/>
    <w:rsid w:val="00F33CEF"/>
    <w:rsid w:val="00F34064"/>
    <w:rsid w:val="00F34204"/>
    <w:rsid w:val="00F343C4"/>
    <w:rsid w:val="00F34E04"/>
    <w:rsid w:val="00F34E26"/>
    <w:rsid w:val="00F34FC2"/>
    <w:rsid w:val="00F35088"/>
    <w:rsid w:val="00F353A5"/>
    <w:rsid w:val="00F353FF"/>
    <w:rsid w:val="00F35ED2"/>
    <w:rsid w:val="00F360F2"/>
    <w:rsid w:val="00F364BA"/>
    <w:rsid w:val="00F3654A"/>
    <w:rsid w:val="00F368A8"/>
    <w:rsid w:val="00F36E2E"/>
    <w:rsid w:val="00F36E69"/>
    <w:rsid w:val="00F36FFB"/>
    <w:rsid w:val="00F37696"/>
    <w:rsid w:val="00F37754"/>
    <w:rsid w:val="00F37AB9"/>
    <w:rsid w:val="00F37C03"/>
    <w:rsid w:val="00F37C88"/>
    <w:rsid w:val="00F40186"/>
    <w:rsid w:val="00F40464"/>
    <w:rsid w:val="00F40786"/>
    <w:rsid w:val="00F40A9A"/>
    <w:rsid w:val="00F40BB2"/>
    <w:rsid w:val="00F40BEC"/>
    <w:rsid w:val="00F40C39"/>
    <w:rsid w:val="00F40CF2"/>
    <w:rsid w:val="00F41126"/>
    <w:rsid w:val="00F41199"/>
    <w:rsid w:val="00F4163F"/>
    <w:rsid w:val="00F41721"/>
    <w:rsid w:val="00F418BD"/>
    <w:rsid w:val="00F41B3C"/>
    <w:rsid w:val="00F41CDE"/>
    <w:rsid w:val="00F42251"/>
    <w:rsid w:val="00F42378"/>
    <w:rsid w:val="00F42DC8"/>
    <w:rsid w:val="00F430A7"/>
    <w:rsid w:val="00F43466"/>
    <w:rsid w:val="00F43561"/>
    <w:rsid w:val="00F4380B"/>
    <w:rsid w:val="00F43A1B"/>
    <w:rsid w:val="00F43B37"/>
    <w:rsid w:val="00F43F0A"/>
    <w:rsid w:val="00F4409D"/>
    <w:rsid w:val="00F4418F"/>
    <w:rsid w:val="00F44865"/>
    <w:rsid w:val="00F44AF7"/>
    <w:rsid w:val="00F44B5A"/>
    <w:rsid w:val="00F44C6A"/>
    <w:rsid w:val="00F44F43"/>
    <w:rsid w:val="00F44FA5"/>
    <w:rsid w:val="00F45245"/>
    <w:rsid w:val="00F4541D"/>
    <w:rsid w:val="00F456A5"/>
    <w:rsid w:val="00F456C8"/>
    <w:rsid w:val="00F4573B"/>
    <w:rsid w:val="00F45769"/>
    <w:rsid w:val="00F45C8A"/>
    <w:rsid w:val="00F45DE5"/>
    <w:rsid w:val="00F45ED9"/>
    <w:rsid w:val="00F45FC6"/>
    <w:rsid w:val="00F46220"/>
    <w:rsid w:val="00F462C3"/>
    <w:rsid w:val="00F46580"/>
    <w:rsid w:val="00F46599"/>
    <w:rsid w:val="00F465D0"/>
    <w:rsid w:val="00F467D6"/>
    <w:rsid w:val="00F46B44"/>
    <w:rsid w:val="00F46C86"/>
    <w:rsid w:val="00F46F47"/>
    <w:rsid w:val="00F47186"/>
    <w:rsid w:val="00F473FB"/>
    <w:rsid w:val="00F477DF"/>
    <w:rsid w:val="00F479A8"/>
    <w:rsid w:val="00F47A41"/>
    <w:rsid w:val="00F47B63"/>
    <w:rsid w:val="00F47C6E"/>
    <w:rsid w:val="00F50202"/>
    <w:rsid w:val="00F50317"/>
    <w:rsid w:val="00F50637"/>
    <w:rsid w:val="00F50680"/>
    <w:rsid w:val="00F5082F"/>
    <w:rsid w:val="00F50D73"/>
    <w:rsid w:val="00F50E2D"/>
    <w:rsid w:val="00F50EFC"/>
    <w:rsid w:val="00F5139C"/>
    <w:rsid w:val="00F514F1"/>
    <w:rsid w:val="00F518B2"/>
    <w:rsid w:val="00F51B6A"/>
    <w:rsid w:val="00F51F0C"/>
    <w:rsid w:val="00F52149"/>
    <w:rsid w:val="00F52750"/>
    <w:rsid w:val="00F52C3C"/>
    <w:rsid w:val="00F52F39"/>
    <w:rsid w:val="00F52F91"/>
    <w:rsid w:val="00F53069"/>
    <w:rsid w:val="00F53076"/>
    <w:rsid w:val="00F5334C"/>
    <w:rsid w:val="00F53478"/>
    <w:rsid w:val="00F53751"/>
    <w:rsid w:val="00F538F3"/>
    <w:rsid w:val="00F53C1F"/>
    <w:rsid w:val="00F53EF7"/>
    <w:rsid w:val="00F54191"/>
    <w:rsid w:val="00F541AA"/>
    <w:rsid w:val="00F54C19"/>
    <w:rsid w:val="00F54DD2"/>
    <w:rsid w:val="00F54E2A"/>
    <w:rsid w:val="00F550BC"/>
    <w:rsid w:val="00F55258"/>
    <w:rsid w:val="00F552B2"/>
    <w:rsid w:val="00F555BF"/>
    <w:rsid w:val="00F55669"/>
    <w:rsid w:val="00F5636D"/>
    <w:rsid w:val="00F56489"/>
    <w:rsid w:val="00F56772"/>
    <w:rsid w:val="00F5686C"/>
    <w:rsid w:val="00F56B0B"/>
    <w:rsid w:val="00F56BAB"/>
    <w:rsid w:val="00F56CC9"/>
    <w:rsid w:val="00F56EA4"/>
    <w:rsid w:val="00F56F6D"/>
    <w:rsid w:val="00F57138"/>
    <w:rsid w:val="00F572DE"/>
    <w:rsid w:val="00F572E3"/>
    <w:rsid w:val="00F57557"/>
    <w:rsid w:val="00F57623"/>
    <w:rsid w:val="00F57B2B"/>
    <w:rsid w:val="00F57D5D"/>
    <w:rsid w:val="00F57DF9"/>
    <w:rsid w:val="00F5F99C"/>
    <w:rsid w:val="00F60289"/>
    <w:rsid w:val="00F603C3"/>
    <w:rsid w:val="00F60422"/>
    <w:rsid w:val="00F606C0"/>
    <w:rsid w:val="00F60893"/>
    <w:rsid w:val="00F61171"/>
    <w:rsid w:val="00F61564"/>
    <w:rsid w:val="00F61921"/>
    <w:rsid w:val="00F61A06"/>
    <w:rsid w:val="00F61FDB"/>
    <w:rsid w:val="00F62021"/>
    <w:rsid w:val="00F62288"/>
    <w:rsid w:val="00F6251A"/>
    <w:rsid w:val="00F625D0"/>
    <w:rsid w:val="00F62708"/>
    <w:rsid w:val="00F62E9F"/>
    <w:rsid w:val="00F62EA3"/>
    <w:rsid w:val="00F62EE5"/>
    <w:rsid w:val="00F63248"/>
    <w:rsid w:val="00F637E6"/>
    <w:rsid w:val="00F63A09"/>
    <w:rsid w:val="00F63A34"/>
    <w:rsid w:val="00F63CAE"/>
    <w:rsid w:val="00F63E80"/>
    <w:rsid w:val="00F63FB0"/>
    <w:rsid w:val="00F641F3"/>
    <w:rsid w:val="00F64213"/>
    <w:rsid w:val="00F6436C"/>
    <w:rsid w:val="00F644EE"/>
    <w:rsid w:val="00F64897"/>
    <w:rsid w:val="00F64AE0"/>
    <w:rsid w:val="00F64B86"/>
    <w:rsid w:val="00F64D13"/>
    <w:rsid w:val="00F64DB2"/>
    <w:rsid w:val="00F64E71"/>
    <w:rsid w:val="00F6516F"/>
    <w:rsid w:val="00F65199"/>
    <w:rsid w:val="00F651BC"/>
    <w:rsid w:val="00F65281"/>
    <w:rsid w:val="00F65525"/>
    <w:rsid w:val="00F65572"/>
    <w:rsid w:val="00F655CD"/>
    <w:rsid w:val="00F65850"/>
    <w:rsid w:val="00F6585C"/>
    <w:rsid w:val="00F65B1E"/>
    <w:rsid w:val="00F65BBA"/>
    <w:rsid w:val="00F66095"/>
    <w:rsid w:val="00F66464"/>
    <w:rsid w:val="00F664C3"/>
    <w:rsid w:val="00F66853"/>
    <w:rsid w:val="00F66911"/>
    <w:rsid w:val="00F66BFD"/>
    <w:rsid w:val="00F66D11"/>
    <w:rsid w:val="00F67159"/>
    <w:rsid w:val="00F67907"/>
    <w:rsid w:val="00F67AE2"/>
    <w:rsid w:val="00F67BA9"/>
    <w:rsid w:val="00F67DED"/>
    <w:rsid w:val="00F70697"/>
    <w:rsid w:val="00F70734"/>
    <w:rsid w:val="00F709AC"/>
    <w:rsid w:val="00F70D88"/>
    <w:rsid w:val="00F70F41"/>
    <w:rsid w:val="00F70FCF"/>
    <w:rsid w:val="00F71221"/>
    <w:rsid w:val="00F71434"/>
    <w:rsid w:val="00F7149D"/>
    <w:rsid w:val="00F71711"/>
    <w:rsid w:val="00F7192A"/>
    <w:rsid w:val="00F71C3E"/>
    <w:rsid w:val="00F71D21"/>
    <w:rsid w:val="00F71EA3"/>
    <w:rsid w:val="00F7204F"/>
    <w:rsid w:val="00F721A6"/>
    <w:rsid w:val="00F721FF"/>
    <w:rsid w:val="00F72346"/>
    <w:rsid w:val="00F7236D"/>
    <w:rsid w:val="00F724F4"/>
    <w:rsid w:val="00F72594"/>
    <w:rsid w:val="00F725CF"/>
    <w:rsid w:val="00F72659"/>
    <w:rsid w:val="00F7268D"/>
    <w:rsid w:val="00F726FD"/>
    <w:rsid w:val="00F7274A"/>
    <w:rsid w:val="00F72DEC"/>
    <w:rsid w:val="00F72E70"/>
    <w:rsid w:val="00F72F68"/>
    <w:rsid w:val="00F732F4"/>
    <w:rsid w:val="00F73313"/>
    <w:rsid w:val="00F7351D"/>
    <w:rsid w:val="00F73A3D"/>
    <w:rsid w:val="00F73A95"/>
    <w:rsid w:val="00F743C8"/>
    <w:rsid w:val="00F74587"/>
    <w:rsid w:val="00F74806"/>
    <w:rsid w:val="00F74830"/>
    <w:rsid w:val="00F74B62"/>
    <w:rsid w:val="00F74C16"/>
    <w:rsid w:val="00F74C7A"/>
    <w:rsid w:val="00F74D18"/>
    <w:rsid w:val="00F74E38"/>
    <w:rsid w:val="00F75126"/>
    <w:rsid w:val="00F752BA"/>
    <w:rsid w:val="00F752C4"/>
    <w:rsid w:val="00F754B8"/>
    <w:rsid w:val="00F7585C"/>
    <w:rsid w:val="00F75D96"/>
    <w:rsid w:val="00F76027"/>
    <w:rsid w:val="00F762B7"/>
    <w:rsid w:val="00F764BA"/>
    <w:rsid w:val="00F76535"/>
    <w:rsid w:val="00F765F6"/>
    <w:rsid w:val="00F766A6"/>
    <w:rsid w:val="00F766E4"/>
    <w:rsid w:val="00F76D38"/>
    <w:rsid w:val="00F76D8C"/>
    <w:rsid w:val="00F77104"/>
    <w:rsid w:val="00F77357"/>
    <w:rsid w:val="00F773B6"/>
    <w:rsid w:val="00F77438"/>
    <w:rsid w:val="00F7795B"/>
    <w:rsid w:val="00F77DAA"/>
    <w:rsid w:val="00F77DB3"/>
    <w:rsid w:val="00F77DCA"/>
    <w:rsid w:val="00F77EB1"/>
    <w:rsid w:val="00F80303"/>
    <w:rsid w:val="00F80521"/>
    <w:rsid w:val="00F80595"/>
    <w:rsid w:val="00F8086B"/>
    <w:rsid w:val="00F80ADB"/>
    <w:rsid w:val="00F80C35"/>
    <w:rsid w:val="00F80FFB"/>
    <w:rsid w:val="00F8104B"/>
    <w:rsid w:val="00F811BF"/>
    <w:rsid w:val="00F8121A"/>
    <w:rsid w:val="00F81B46"/>
    <w:rsid w:val="00F81BFA"/>
    <w:rsid w:val="00F81C10"/>
    <w:rsid w:val="00F81C69"/>
    <w:rsid w:val="00F82324"/>
    <w:rsid w:val="00F823F1"/>
    <w:rsid w:val="00F82709"/>
    <w:rsid w:val="00F8296D"/>
    <w:rsid w:val="00F82F8C"/>
    <w:rsid w:val="00F83107"/>
    <w:rsid w:val="00F833C8"/>
    <w:rsid w:val="00F83645"/>
    <w:rsid w:val="00F836AA"/>
    <w:rsid w:val="00F8375B"/>
    <w:rsid w:val="00F83773"/>
    <w:rsid w:val="00F83C02"/>
    <w:rsid w:val="00F83C56"/>
    <w:rsid w:val="00F83F44"/>
    <w:rsid w:val="00F84103"/>
    <w:rsid w:val="00F844E6"/>
    <w:rsid w:val="00F844F0"/>
    <w:rsid w:val="00F847FD"/>
    <w:rsid w:val="00F849BE"/>
    <w:rsid w:val="00F84D8C"/>
    <w:rsid w:val="00F84DB5"/>
    <w:rsid w:val="00F84FFF"/>
    <w:rsid w:val="00F850C5"/>
    <w:rsid w:val="00F85374"/>
    <w:rsid w:val="00F856CC"/>
    <w:rsid w:val="00F856CE"/>
    <w:rsid w:val="00F858E0"/>
    <w:rsid w:val="00F85B14"/>
    <w:rsid w:val="00F85D6F"/>
    <w:rsid w:val="00F85DBD"/>
    <w:rsid w:val="00F85DCE"/>
    <w:rsid w:val="00F85F06"/>
    <w:rsid w:val="00F86053"/>
    <w:rsid w:val="00F860E3"/>
    <w:rsid w:val="00F86447"/>
    <w:rsid w:val="00F86774"/>
    <w:rsid w:val="00F86942"/>
    <w:rsid w:val="00F86959"/>
    <w:rsid w:val="00F86C6F"/>
    <w:rsid w:val="00F87134"/>
    <w:rsid w:val="00F8733D"/>
    <w:rsid w:val="00F873BF"/>
    <w:rsid w:val="00F8746F"/>
    <w:rsid w:val="00F87545"/>
    <w:rsid w:val="00F87663"/>
    <w:rsid w:val="00F87872"/>
    <w:rsid w:val="00F87961"/>
    <w:rsid w:val="00F87EBA"/>
    <w:rsid w:val="00F90000"/>
    <w:rsid w:val="00F90072"/>
    <w:rsid w:val="00F9017E"/>
    <w:rsid w:val="00F9054B"/>
    <w:rsid w:val="00F90A7F"/>
    <w:rsid w:val="00F9114B"/>
    <w:rsid w:val="00F91428"/>
    <w:rsid w:val="00F91486"/>
    <w:rsid w:val="00F91491"/>
    <w:rsid w:val="00F91BA7"/>
    <w:rsid w:val="00F92948"/>
    <w:rsid w:val="00F931EE"/>
    <w:rsid w:val="00F93318"/>
    <w:rsid w:val="00F93C7B"/>
    <w:rsid w:val="00F93D8C"/>
    <w:rsid w:val="00F93FA2"/>
    <w:rsid w:val="00F94043"/>
    <w:rsid w:val="00F940B4"/>
    <w:rsid w:val="00F943BC"/>
    <w:rsid w:val="00F945F0"/>
    <w:rsid w:val="00F94A97"/>
    <w:rsid w:val="00F94AB1"/>
    <w:rsid w:val="00F94D82"/>
    <w:rsid w:val="00F94DD4"/>
    <w:rsid w:val="00F95707"/>
    <w:rsid w:val="00F9576E"/>
    <w:rsid w:val="00F95AEB"/>
    <w:rsid w:val="00F95FAB"/>
    <w:rsid w:val="00F967F8"/>
    <w:rsid w:val="00F968C4"/>
    <w:rsid w:val="00F968FA"/>
    <w:rsid w:val="00F96A52"/>
    <w:rsid w:val="00F96AA3"/>
    <w:rsid w:val="00F96AE4"/>
    <w:rsid w:val="00F96B16"/>
    <w:rsid w:val="00F972CB"/>
    <w:rsid w:val="00F97369"/>
    <w:rsid w:val="00F97429"/>
    <w:rsid w:val="00F97503"/>
    <w:rsid w:val="00F97D0B"/>
    <w:rsid w:val="00F97F19"/>
    <w:rsid w:val="00FA01C6"/>
    <w:rsid w:val="00FA0349"/>
    <w:rsid w:val="00FA0376"/>
    <w:rsid w:val="00FA0A0D"/>
    <w:rsid w:val="00FA0B9E"/>
    <w:rsid w:val="00FA0F04"/>
    <w:rsid w:val="00FA11D8"/>
    <w:rsid w:val="00FA12A4"/>
    <w:rsid w:val="00FA1312"/>
    <w:rsid w:val="00FA1466"/>
    <w:rsid w:val="00FA14C1"/>
    <w:rsid w:val="00FA1768"/>
    <w:rsid w:val="00FA187B"/>
    <w:rsid w:val="00FA1E79"/>
    <w:rsid w:val="00FA1E9B"/>
    <w:rsid w:val="00FA236D"/>
    <w:rsid w:val="00FA293C"/>
    <w:rsid w:val="00FA31CA"/>
    <w:rsid w:val="00FA336E"/>
    <w:rsid w:val="00FA33E4"/>
    <w:rsid w:val="00FA3A7A"/>
    <w:rsid w:val="00FA3B63"/>
    <w:rsid w:val="00FA3F1A"/>
    <w:rsid w:val="00FA4E86"/>
    <w:rsid w:val="00FA4F00"/>
    <w:rsid w:val="00FA5062"/>
    <w:rsid w:val="00FA55A1"/>
    <w:rsid w:val="00FA577B"/>
    <w:rsid w:val="00FA5792"/>
    <w:rsid w:val="00FA5838"/>
    <w:rsid w:val="00FA5892"/>
    <w:rsid w:val="00FA59C7"/>
    <w:rsid w:val="00FA59EE"/>
    <w:rsid w:val="00FA5CF3"/>
    <w:rsid w:val="00FA61E4"/>
    <w:rsid w:val="00FA64F3"/>
    <w:rsid w:val="00FA6547"/>
    <w:rsid w:val="00FA6AD2"/>
    <w:rsid w:val="00FA71D1"/>
    <w:rsid w:val="00FA75AC"/>
    <w:rsid w:val="00FA7775"/>
    <w:rsid w:val="00FA78DD"/>
    <w:rsid w:val="00FA7C1C"/>
    <w:rsid w:val="00FA9DB8"/>
    <w:rsid w:val="00FAC6CE"/>
    <w:rsid w:val="00FB0021"/>
    <w:rsid w:val="00FB022D"/>
    <w:rsid w:val="00FB04A9"/>
    <w:rsid w:val="00FB04B4"/>
    <w:rsid w:val="00FB0749"/>
    <w:rsid w:val="00FB07E4"/>
    <w:rsid w:val="00FB0D8B"/>
    <w:rsid w:val="00FB0F65"/>
    <w:rsid w:val="00FB0FDE"/>
    <w:rsid w:val="00FB10E7"/>
    <w:rsid w:val="00FB15D4"/>
    <w:rsid w:val="00FB16D8"/>
    <w:rsid w:val="00FB1961"/>
    <w:rsid w:val="00FB1C6C"/>
    <w:rsid w:val="00FB200E"/>
    <w:rsid w:val="00FB2303"/>
    <w:rsid w:val="00FB25E7"/>
    <w:rsid w:val="00FB29F3"/>
    <w:rsid w:val="00FB2A05"/>
    <w:rsid w:val="00FB2E72"/>
    <w:rsid w:val="00FB2F07"/>
    <w:rsid w:val="00FB30E2"/>
    <w:rsid w:val="00FB3370"/>
    <w:rsid w:val="00FB3441"/>
    <w:rsid w:val="00FB3A76"/>
    <w:rsid w:val="00FB3D2C"/>
    <w:rsid w:val="00FB417E"/>
    <w:rsid w:val="00FB48E3"/>
    <w:rsid w:val="00FB4B80"/>
    <w:rsid w:val="00FB513C"/>
    <w:rsid w:val="00FB5217"/>
    <w:rsid w:val="00FB55E5"/>
    <w:rsid w:val="00FB5744"/>
    <w:rsid w:val="00FB5852"/>
    <w:rsid w:val="00FB58FF"/>
    <w:rsid w:val="00FB5B3B"/>
    <w:rsid w:val="00FB5BB0"/>
    <w:rsid w:val="00FB5FA1"/>
    <w:rsid w:val="00FB5FF4"/>
    <w:rsid w:val="00FB60F7"/>
    <w:rsid w:val="00FB6BDD"/>
    <w:rsid w:val="00FB6CE4"/>
    <w:rsid w:val="00FB712B"/>
    <w:rsid w:val="00FB746D"/>
    <w:rsid w:val="00FB74EC"/>
    <w:rsid w:val="00FB7604"/>
    <w:rsid w:val="00FB77E2"/>
    <w:rsid w:val="00FB78F6"/>
    <w:rsid w:val="00FB7B60"/>
    <w:rsid w:val="00FB7BF8"/>
    <w:rsid w:val="00FB7F17"/>
    <w:rsid w:val="00FB7FF3"/>
    <w:rsid w:val="00FC0333"/>
    <w:rsid w:val="00FC0339"/>
    <w:rsid w:val="00FC05FB"/>
    <w:rsid w:val="00FC066D"/>
    <w:rsid w:val="00FC07BB"/>
    <w:rsid w:val="00FC18EF"/>
    <w:rsid w:val="00FC2217"/>
    <w:rsid w:val="00FC22EE"/>
    <w:rsid w:val="00FC2433"/>
    <w:rsid w:val="00FC2D12"/>
    <w:rsid w:val="00FC2E50"/>
    <w:rsid w:val="00FC2F73"/>
    <w:rsid w:val="00FC300C"/>
    <w:rsid w:val="00FC3240"/>
    <w:rsid w:val="00FC344D"/>
    <w:rsid w:val="00FC3597"/>
    <w:rsid w:val="00FC3698"/>
    <w:rsid w:val="00FC3A03"/>
    <w:rsid w:val="00FC3BAC"/>
    <w:rsid w:val="00FC3D95"/>
    <w:rsid w:val="00FC3E8B"/>
    <w:rsid w:val="00FC3ED3"/>
    <w:rsid w:val="00FC4878"/>
    <w:rsid w:val="00FC4C16"/>
    <w:rsid w:val="00FC4C9E"/>
    <w:rsid w:val="00FC4CC6"/>
    <w:rsid w:val="00FC4F22"/>
    <w:rsid w:val="00FC5185"/>
    <w:rsid w:val="00FC54DF"/>
    <w:rsid w:val="00FC56BA"/>
    <w:rsid w:val="00FC57E6"/>
    <w:rsid w:val="00FC5FDE"/>
    <w:rsid w:val="00FC61DB"/>
    <w:rsid w:val="00FC6217"/>
    <w:rsid w:val="00FC62D0"/>
    <w:rsid w:val="00FC62F8"/>
    <w:rsid w:val="00FC6CD4"/>
    <w:rsid w:val="00FC6FE2"/>
    <w:rsid w:val="00FC71EE"/>
    <w:rsid w:val="00FC72C9"/>
    <w:rsid w:val="00FC7313"/>
    <w:rsid w:val="00FC757D"/>
    <w:rsid w:val="00FC76FE"/>
    <w:rsid w:val="00FC78CE"/>
    <w:rsid w:val="00FC7A93"/>
    <w:rsid w:val="00FC7E43"/>
    <w:rsid w:val="00FC7EC7"/>
    <w:rsid w:val="00FD0B44"/>
    <w:rsid w:val="00FD0EF6"/>
    <w:rsid w:val="00FD1704"/>
    <w:rsid w:val="00FD17BC"/>
    <w:rsid w:val="00FD19CB"/>
    <w:rsid w:val="00FD19D0"/>
    <w:rsid w:val="00FD1B3C"/>
    <w:rsid w:val="00FD1FB4"/>
    <w:rsid w:val="00FD218A"/>
    <w:rsid w:val="00FD242C"/>
    <w:rsid w:val="00FD24A0"/>
    <w:rsid w:val="00FD27A8"/>
    <w:rsid w:val="00FD27C2"/>
    <w:rsid w:val="00FD280B"/>
    <w:rsid w:val="00FD28FC"/>
    <w:rsid w:val="00FD2F83"/>
    <w:rsid w:val="00FD306D"/>
    <w:rsid w:val="00FD3499"/>
    <w:rsid w:val="00FD3891"/>
    <w:rsid w:val="00FD393C"/>
    <w:rsid w:val="00FD3F26"/>
    <w:rsid w:val="00FD3FB6"/>
    <w:rsid w:val="00FD40FA"/>
    <w:rsid w:val="00FD4183"/>
    <w:rsid w:val="00FD4281"/>
    <w:rsid w:val="00FD4303"/>
    <w:rsid w:val="00FD43F3"/>
    <w:rsid w:val="00FD4788"/>
    <w:rsid w:val="00FD47D6"/>
    <w:rsid w:val="00FD4859"/>
    <w:rsid w:val="00FD4897"/>
    <w:rsid w:val="00FD4AD8"/>
    <w:rsid w:val="00FD4D28"/>
    <w:rsid w:val="00FD4EDE"/>
    <w:rsid w:val="00FD504D"/>
    <w:rsid w:val="00FD523D"/>
    <w:rsid w:val="00FD53D8"/>
    <w:rsid w:val="00FD543F"/>
    <w:rsid w:val="00FD57C8"/>
    <w:rsid w:val="00FD57D7"/>
    <w:rsid w:val="00FD58E9"/>
    <w:rsid w:val="00FD5B26"/>
    <w:rsid w:val="00FD5BE1"/>
    <w:rsid w:val="00FD5C0C"/>
    <w:rsid w:val="00FD6194"/>
    <w:rsid w:val="00FD6201"/>
    <w:rsid w:val="00FD65B9"/>
    <w:rsid w:val="00FD6621"/>
    <w:rsid w:val="00FD674C"/>
    <w:rsid w:val="00FD6796"/>
    <w:rsid w:val="00FD68D5"/>
    <w:rsid w:val="00FD6C61"/>
    <w:rsid w:val="00FD6EFC"/>
    <w:rsid w:val="00FD7824"/>
    <w:rsid w:val="00FD7A27"/>
    <w:rsid w:val="00FD7BE5"/>
    <w:rsid w:val="00FD7CFF"/>
    <w:rsid w:val="00FE001F"/>
    <w:rsid w:val="00FE09B6"/>
    <w:rsid w:val="00FE0B5D"/>
    <w:rsid w:val="00FE0DA7"/>
    <w:rsid w:val="00FE0FD7"/>
    <w:rsid w:val="00FE141D"/>
    <w:rsid w:val="00FE1BCE"/>
    <w:rsid w:val="00FE1C5B"/>
    <w:rsid w:val="00FE233B"/>
    <w:rsid w:val="00FE27DC"/>
    <w:rsid w:val="00FE2B62"/>
    <w:rsid w:val="00FE2FF1"/>
    <w:rsid w:val="00FE304D"/>
    <w:rsid w:val="00FE32CC"/>
    <w:rsid w:val="00FE34AF"/>
    <w:rsid w:val="00FE36A7"/>
    <w:rsid w:val="00FE3A12"/>
    <w:rsid w:val="00FE3E0F"/>
    <w:rsid w:val="00FE408C"/>
    <w:rsid w:val="00FE40A0"/>
    <w:rsid w:val="00FE414D"/>
    <w:rsid w:val="00FE44B2"/>
    <w:rsid w:val="00FE48E2"/>
    <w:rsid w:val="00FE4934"/>
    <w:rsid w:val="00FE4B3B"/>
    <w:rsid w:val="00FE4F5E"/>
    <w:rsid w:val="00FE4FF0"/>
    <w:rsid w:val="00FE54C5"/>
    <w:rsid w:val="00FE54EF"/>
    <w:rsid w:val="00FE566E"/>
    <w:rsid w:val="00FE5695"/>
    <w:rsid w:val="00FE569D"/>
    <w:rsid w:val="00FE5862"/>
    <w:rsid w:val="00FE5BCA"/>
    <w:rsid w:val="00FE5FB5"/>
    <w:rsid w:val="00FE5FB9"/>
    <w:rsid w:val="00FE60B8"/>
    <w:rsid w:val="00FE6421"/>
    <w:rsid w:val="00FE642A"/>
    <w:rsid w:val="00FE659F"/>
    <w:rsid w:val="00FE68EB"/>
    <w:rsid w:val="00FE70EB"/>
    <w:rsid w:val="00FE75F1"/>
    <w:rsid w:val="00FE7B49"/>
    <w:rsid w:val="00FE7B52"/>
    <w:rsid w:val="00FE7BF6"/>
    <w:rsid w:val="00FF08CC"/>
    <w:rsid w:val="00FF0A35"/>
    <w:rsid w:val="00FF0CA1"/>
    <w:rsid w:val="00FF0D6D"/>
    <w:rsid w:val="00FF0FCD"/>
    <w:rsid w:val="00FF14ED"/>
    <w:rsid w:val="00FF177F"/>
    <w:rsid w:val="00FF19A4"/>
    <w:rsid w:val="00FF1D09"/>
    <w:rsid w:val="00FF21A7"/>
    <w:rsid w:val="00FF284D"/>
    <w:rsid w:val="00FF294B"/>
    <w:rsid w:val="00FF2BC6"/>
    <w:rsid w:val="00FF2C37"/>
    <w:rsid w:val="00FF2D05"/>
    <w:rsid w:val="00FF3052"/>
    <w:rsid w:val="00FF366F"/>
    <w:rsid w:val="00FF3778"/>
    <w:rsid w:val="00FF3A39"/>
    <w:rsid w:val="00FF3C82"/>
    <w:rsid w:val="00FF3EC2"/>
    <w:rsid w:val="00FF3F29"/>
    <w:rsid w:val="00FF3F45"/>
    <w:rsid w:val="00FF4082"/>
    <w:rsid w:val="00FF4193"/>
    <w:rsid w:val="00FF4204"/>
    <w:rsid w:val="00FF42E2"/>
    <w:rsid w:val="00FF48E9"/>
    <w:rsid w:val="00FF4BCF"/>
    <w:rsid w:val="00FF4FF3"/>
    <w:rsid w:val="00FF520C"/>
    <w:rsid w:val="00FF529A"/>
    <w:rsid w:val="00FF551E"/>
    <w:rsid w:val="00FF584E"/>
    <w:rsid w:val="00FF59A9"/>
    <w:rsid w:val="00FF59ED"/>
    <w:rsid w:val="00FF5BCE"/>
    <w:rsid w:val="00FF5C3F"/>
    <w:rsid w:val="00FF5C64"/>
    <w:rsid w:val="00FF5D10"/>
    <w:rsid w:val="00FF5F94"/>
    <w:rsid w:val="00FF6095"/>
    <w:rsid w:val="00FF60DB"/>
    <w:rsid w:val="00FF64D0"/>
    <w:rsid w:val="00FF6604"/>
    <w:rsid w:val="00FF689B"/>
    <w:rsid w:val="00FF6B07"/>
    <w:rsid w:val="00FF6D3C"/>
    <w:rsid w:val="00FF6DA0"/>
    <w:rsid w:val="00FF6FA2"/>
    <w:rsid w:val="00FF7012"/>
    <w:rsid w:val="00FF756E"/>
    <w:rsid w:val="00FF75D6"/>
    <w:rsid w:val="00FF77BF"/>
    <w:rsid w:val="00FF783B"/>
    <w:rsid w:val="01003C5A"/>
    <w:rsid w:val="010CF1EC"/>
    <w:rsid w:val="010EAB92"/>
    <w:rsid w:val="01159F0C"/>
    <w:rsid w:val="0115A789"/>
    <w:rsid w:val="01182ADC"/>
    <w:rsid w:val="0119EBDB"/>
    <w:rsid w:val="011F3C73"/>
    <w:rsid w:val="01250961"/>
    <w:rsid w:val="012A9E8D"/>
    <w:rsid w:val="012C418D"/>
    <w:rsid w:val="012E2494"/>
    <w:rsid w:val="012EA46F"/>
    <w:rsid w:val="012F5E8A"/>
    <w:rsid w:val="0131C309"/>
    <w:rsid w:val="0131EB82"/>
    <w:rsid w:val="01333409"/>
    <w:rsid w:val="013E625C"/>
    <w:rsid w:val="01404184"/>
    <w:rsid w:val="01489947"/>
    <w:rsid w:val="01522DC8"/>
    <w:rsid w:val="01539437"/>
    <w:rsid w:val="01593EEB"/>
    <w:rsid w:val="015A67E6"/>
    <w:rsid w:val="01608B11"/>
    <w:rsid w:val="0165C85C"/>
    <w:rsid w:val="016B4D4A"/>
    <w:rsid w:val="016B5F87"/>
    <w:rsid w:val="017C1539"/>
    <w:rsid w:val="017FC824"/>
    <w:rsid w:val="01838FFA"/>
    <w:rsid w:val="0188D631"/>
    <w:rsid w:val="018CBF9C"/>
    <w:rsid w:val="018E69F3"/>
    <w:rsid w:val="018EA1BF"/>
    <w:rsid w:val="01931D0D"/>
    <w:rsid w:val="0193A6D8"/>
    <w:rsid w:val="0194A5DA"/>
    <w:rsid w:val="019BB750"/>
    <w:rsid w:val="019EAB6B"/>
    <w:rsid w:val="01A29A6A"/>
    <w:rsid w:val="01A68D34"/>
    <w:rsid w:val="01B055F2"/>
    <w:rsid w:val="01B8A88F"/>
    <w:rsid w:val="01BECE99"/>
    <w:rsid w:val="01BF0847"/>
    <w:rsid w:val="01CF410D"/>
    <w:rsid w:val="01D20085"/>
    <w:rsid w:val="01D42ABB"/>
    <w:rsid w:val="01DC3AC8"/>
    <w:rsid w:val="01E639BF"/>
    <w:rsid w:val="01E7895F"/>
    <w:rsid w:val="01E93A0C"/>
    <w:rsid w:val="01EB6282"/>
    <w:rsid w:val="01EBA42B"/>
    <w:rsid w:val="01EDB271"/>
    <w:rsid w:val="01EE1FF4"/>
    <w:rsid w:val="01EF4873"/>
    <w:rsid w:val="01F1CD25"/>
    <w:rsid w:val="01F2C99E"/>
    <w:rsid w:val="01F98771"/>
    <w:rsid w:val="01FBF066"/>
    <w:rsid w:val="01FD3C96"/>
    <w:rsid w:val="01FD68A9"/>
    <w:rsid w:val="020475B2"/>
    <w:rsid w:val="020A9D61"/>
    <w:rsid w:val="020A9ED7"/>
    <w:rsid w:val="021882DA"/>
    <w:rsid w:val="02238A74"/>
    <w:rsid w:val="0226119F"/>
    <w:rsid w:val="0226DA37"/>
    <w:rsid w:val="022CBE3C"/>
    <w:rsid w:val="022D2309"/>
    <w:rsid w:val="0234C0DE"/>
    <w:rsid w:val="02378B8D"/>
    <w:rsid w:val="023A5E20"/>
    <w:rsid w:val="023E6B7C"/>
    <w:rsid w:val="024ABA15"/>
    <w:rsid w:val="024AE89A"/>
    <w:rsid w:val="024D422B"/>
    <w:rsid w:val="024D86EA"/>
    <w:rsid w:val="024D946E"/>
    <w:rsid w:val="024ED8C4"/>
    <w:rsid w:val="0253FFB7"/>
    <w:rsid w:val="025CFA5E"/>
    <w:rsid w:val="02635155"/>
    <w:rsid w:val="0267332D"/>
    <w:rsid w:val="0268DB82"/>
    <w:rsid w:val="026B1EE8"/>
    <w:rsid w:val="026C90C6"/>
    <w:rsid w:val="026EEAB3"/>
    <w:rsid w:val="027067EF"/>
    <w:rsid w:val="0273F664"/>
    <w:rsid w:val="0275CD45"/>
    <w:rsid w:val="0277FED9"/>
    <w:rsid w:val="027C8BC7"/>
    <w:rsid w:val="0285BD25"/>
    <w:rsid w:val="0287E412"/>
    <w:rsid w:val="028BD3F4"/>
    <w:rsid w:val="028F25BA"/>
    <w:rsid w:val="0294150C"/>
    <w:rsid w:val="02974608"/>
    <w:rsid w:val="02982963"/>
    <w:rsid w:val="029A0625"/>
    <w:rsid w:val="029BD5E2"/>
    <w:rsid w:val="02B76D7B"/>
    <w:rsid w:val="02C0447D"/>
    <w:rsid w:val="02C2AFCF"/>
    <w:rsid w:val="02C409F0"/>
    <w:rsid w:val="02C8B4D2"/>
    <w:rsid w:val="02CB3DF7"/>
    <w:rsid w:val="02DD7BF4"/>
    <w:rsid w:val="02E3E7A3"/>
    <w:rsid w:val="02E46448"/>
    <w:rsid w:val="02E5C1EC"/>
    <w:rsid w:val="02EBCE25"/>
    <w:rsid w:val="02EDAC0B"/>
    <w:rsid w:val="02F705E4"/>
    <w:rsid w:val="02FFAD24"/>
    <w:rsid w:val="03005BF7"/>
    <w:rsid w:val="030182DD"/>
    <w:rsid w:val="030A492F"/>
    <w:rsid w:val="030B5A5B"/>
    <w:rsid w:val="030E967C"/>
    <w:rsid w:val="031463EB"/>
    <w:rsid w:val="03148EE0"/>
    <w:rsid w:val="031E9533"/>
    <w:rsid w:val="0322C6E1"/>
    <w:rsid w:val="0323388E"/>
    <w:rsid w:val="0324EB76"/>
    <w:rsid w:val="032626A4"/>
    <w:rsid w:val="03287D6A"/>
    <w:rsid w:val="0328BC28"/>
    <w:rsid w:val="032A3B94"/>
    <w:rsid w:val="032D0247"/>
    <w:rsid w:val="032E878A"/>
    <w:rsid w:val="03323AA4"/>
    <w:rsid w:val="03357B53"/>
    <w:rsid w:val="0338D9FB"/>
    <w:rsid w:val="03393AB9"/>
    <w:rsid w:val="03402BA8"/>
    <w:rsid w:val="0340A095"/>
    <w:rsid w:val="0343F301"/>
    <w:rsid w:val="03463287"/>
    <w:rsid w:val="03475470"/>
    <w:rsid w:val="034C333E"/>
    <w:rsid w:val="034F58E5"/>
    <w:rsid w:val="0354664F"/>
    <w:rsid w:val="03573F2C"/>
    <w:rsid w:val="03641E2F"/>
    <w:rsid w:val="0365EBCF"/>
    <w:rsid w:val="036CCC10"/>
    <w:rsid w:val="036D29ED"/>
    <w:rsid w:val="036DFCC1"/>
    <w:rsid w:val="0372F764"/>
    <w:rsid w:val="0374BB6B"/>
    <w:rsid w:val="0376AE59"/>
    <w:rsid w:val="03776234"/>
    <w:rsid w:val="038069F9"/>
    <w:rsid w:val="038B2624"/>
    <w:rsid w:val="038EB596"/>
    <w:rsid w:val="03908045"/>
    <w:rsid w:val="03926985"/>
    <w:rsid w:val="03953170"/>
    <w:rsid w:val="03954426"/>
    <w:rsid w:val="0395F1C9"/>
    <w:rsid w:val="039B90A3"/>
    <w:rsid w:val="039D6156"/>
    <w:rsid w:val="039E1E1B"/>
    <w:rsid w:val="03A4A2D5"/>
    <w:rsid w:val="03A68216"/>
    <w:rsid w:val="03B0E7FD"/>
    <w:rsid w:val="03B70578"/>
    <w:rsid w:val="03B96B43"/>
    <w:rsid w:val="03BB79B8"/>
    <w:rsid w:val="03BE4B2F"/>
    <w:rsid w:val="03C42721"/>
    <w:rsid w:val="03C5F36E"/>
    <w:rsid w:val="03CEC180"/>
    <w:rsid w:val="03D336B0"/>
    <w:rsid w:val="03D34146"/>
    <w:rsid w:val="03D7A0E5"/>
    <w:rsid w:val="03DDEFA4"/>
    <w:rsid w:val="03E1E835"/>
    <w:rsid w:val="03E87D2D"/>
    <w:rsid w:val="03E8C82D"/>
    <w:rsid w:val="03E8E899"/>
    <w:rsid w:val="03ED2AF5"/>
    <w:rsid w:val="03EE55D1"/>
    <w:rsid w:val="03F27C83"/>
    <w:rsid w:val="03FE2CE2"/>
    <w:rsid w:val="04032DEB"/>
    <w:rsid w:val="0405BA7B"/>
    <w:rsid w:val="04064EB0"/>
    <w:rsid w:val="040676BA"/>
    <w:rsid w:val="04106E4C"/>
    <w:rsid w:val="0412F84D"/>
    <w:rsid w:val="0416EEFE"/>
    <w:rsid w:val="041BE398"/>
    <w:rsid w:val="041C14B4"/>
    <w:rsid w:val="041CA963"/>
    <w:rsid w:val="0420B2DD"/>
    <w:rsid w:val="0421C653"/>
    <w:rsid w:val="04238EAE"/>
    <w:rsid w:val="042B3D5B"/>
    <w:rsid w:val="042E11CB"/>
    <w:rsid w:val="042F6CCE"/>
    <w:rsid w:val="04315D28"/>
    <w:rsid w:val="0431CD34"/>
    <w:rsid w:val="0433BB36"/>
    <w:rsid w:val="04346AA6"/>
    <w:rsid w:val="044628E5"/>
    <w:rsid w:val="0455B6A3"/>
    <w:rsid w:val="045F30C5"/>
    <w:rsid w:val="045F8A60"/>
    <w:rsid w:val="0470AD0D"/>
    <w:rsid w:val="047C1CD8"/>
    <w:rsid w:val="047C2638"/>
    <w:rsid w:val="047C78EC"/>
    <w:rsid w:val="047F1544"/>
    <w:rsid w:val="04872031"/>
    <w:rsid w:val="0491AE38"/>
    <w:rsid w:val="0498FEA5"/>
    <w:rsid w:val="049AF39E"/>
    <w:rsid w:val="049F0147"/>
    <w:rsid w:val="04A4B70C"/>
    <w:rsid w:val="04ABCE13"/>
    <w:rsid w:val="04AC0EEF"/>
    <w:rsid w:val="04B7B6C9"/>
    <w:rsid w:val="04BDF5D0"/>
    <w:rsid w:val="04BFFC97"/>
    <w:rsid w:val="04CB43EA"/>
    <w:rsid w:val="04CCF037"/>
    <w:rsid w:val="04D0A2E8"/>
    <w:rsid w:val="04D28127"/>
    <w:rsid w:val="04D70984"/>
    <w:rsid w:val="04D801B4"/>
    <w:rsid w:val="04D81FD3"/>
    <w:rsid w:val="04DE45BF"/>
    <w:rsid w:val="04E0EAF3"/>
    <w:rsid w:val="04E24C49"/>
    <w:rsid w:val="04E32923"/>
    <w:rsid w:val="04E3898E"/>
    <w:rsid w:val="04E7D5A1"/>
    <w:rsid w:val="04E9B74D"/>
    <w:rsid w:val="04EE2669"/>
    <w:rsid w:val="04F3E652"/>
    <w:rsid w:val="0501F8C1"/>
    <w:rsid w:val="05022A9C"/>
    <w:rsid w:val="05028D77"/>
    <w:rsid w:val="050EE035"/>
    <w:rsid w:val="05109F37"/>
    <w:rsid w:val="0512C04D"/>
    <w:rsid w:val="0512DBE5"/>
    <w:rsid w:val="051A513F"/>
    <w:rsid w:val="051BB64F"/>
    <w:rsid w:val="05226FB7"/>
    <w:rsid w:val="05227F91"/>
    <w:rsid w:val="0522FAAE"/>
    <w:rsid w:val="05230D55"/>
    <w:rsid w:val="052D2E81"/>
    <w:rsid w:val="052DB72C"/>
    <w:rsid w:val="052DFD50"/>
    <w:rsid w:val="0533DF7A"/>
    <w:rsid w:val="0537489B"/>
    <w:rsid w:val="053C622D"/>
    <w:rsid w:val="053C8047"/>
    <w:rsid w:val="053E0732"/>
    <w:rsid w:val="053E2E67"/>
    <w:rsid w:val="0542C858"/>
    <w:rsid w:val="05451894"/>
    <w:rsid w:val="0545E4CF"/>
    <w:rsid w:val="0546BCF0"/>
    <w:rsid w:val="0547F78D"/>
    <w:rsid w:val="055752B9"/>
    <w:rsid w:val="055AB703"/>
    <w:rsid w:val="055F56D4"/>
    <w:rsid w:val="055F5C58"/>
    <w:rsid w:val="05616980"/>
    <w:rsid w:val="056185C7"/>
    <w:rsid w:val="0561C72C"/>
    <w:rsid w:val="056514DF"/>
    <w:rsid w:val="0570354B"/>
    <w:rsid w:val="05749948"/>
    <w:rsid w:val="0580B3D1"/>
    <w:rsid w:val="058213B3"/>
    <w:rsid w:val="05841986"/>
    <w:rsid w:val="05893DDF"/>
    <w:rsid w:val="0589BA58"/>
    <w:rsid w:val="0591C0B2"/>
    <w:rsid w:val="059248C7"/>
    <w:rsid w:val="0592A454"/>
    <w:rsid w:val="0595CBF5"/>
    <w:rsid w:val="05974D2F"/>
    <w:rsid w:val="05999C94"/>
    <w:rsid w:val="059AEC80"/>
    <w:rsid w:val="05A0F414"/>
    <w:rsid w:val="05A2191B"/>
    <w:rsid w:val="05A7C167"/>
    <w:rsid w:val="05ADEC80"/>
    <w:rsid w:val="05AE0285"/>
    <w:rsid w:val="05AEE849"/>
    <w:rsid w:val="05C2B69F"/>
    <w:rsid w:val="05C599FA"/>
    <w:rsid w:val="05C9D98E"/>
    <w:rsid w:val="05CD12A3"/>
    <w:rsid w:val="05D0AE35"/>
    <w:rsid w:val="05D27163"/>
    <w:rsid w:val="05D69B18"/>
    <w:rsid w:val="05D75329"/>
    <w:rsid w:val="05D8F0F0"/>
    <w:rsid w:val="05D9FBA6"/>
    <w:rsid w:val="05DDA4DA"/>
    <w:rsid w:val="05DF1AB6"/>
    <w:rsid w:val="05EEF9A5"/>
    <w:rsid w:val="05F23427"/>
    <w:rsid w:val="05F3959F"/>
    <w:rsid w:val="05F55002"/>
    <w:rsid w:val="06010282"/>
    <w:rsid w:val="06024244"/>
    <w:rsid w:val="060259A6"/>
    <w:rsid w:val="060D11BD"/>
    <w:rsid w:val="060D3315"/>
    <w:rsid w:val="06192FDD"/>
    <w:rsid w:val="061A0622"/>
    <w:rsid w:val="061ADBCB"/>
    <w:rsid w:val="061D19B2"/>
    <w:rsid w:val="06208CEF"/>
    <w:rsid w:val="0620CC66"/>
    <w:rsid w:val="0621DE77"/>
    <w:rsid w:val="0623AA1F"/>
    <w:rsid w:val="062E6266"/>
    <w:rsid w:val="062E9D14"/>
    <w:rsid w:val="062F1468"/>
    <w:rsid w:val="062F584A"/>
    <w:rsid w:val="063265BC"/>
    <w:rsid w:val="0640A731"/>
    <w:rsid w:val="0640D621"/>
    <w:rsid w:val="0640FE86"/>
    <w:rsid w:val="064B0097"/>
    <w:rsid w:val="064E1FB1"/>
    <w:rsid w:val="06514BD2"/>
    <w:rsid w:val="0655881A"/>
    <w:rsid w:val="06561C49"/>
    <w:rsid w:val="0657F53E"/>
    <w:rsid w:val="06581D39"/>
    <w:rsid w:val="0658F10E"/>
    <w:rsid w:val="065FB51A"/>
    <w:rsid w:val="0661E4FE"/>
    <w:rsid w:val="066D961E"/>
    <w:rsid w:val="066DD6A8"/>
    <w:rsid w:val="067054A6"/>
    <w:rsid w:val="0670780D"/>
    <w:rsid w:val="06708C0E"/>
    <w:rsid w:val="0678B213"/>
    <w:rsid w:val="067AF9E6"/>
    <w:rsid w:val="067BA8A0"/>
    <w:rsid w:val="067CC1BD"/>
    <w:rsid w:val="067D0C68"/>
    <w:rsid w:val="06840170"/>
    <w:rsid w:val="068B7910"/>
    <w:rsid w:val="068CAD72"/>
    <w:rsid w:val="068D6D22"/>
    <w:rsid w:val="06943030"/>
    <w:rsid w:val="06945B56"/>
    <w:rsid w:val="06978A6E"/>
    <w:rsid w:val="06A4D932"/>
    <w:rsid w:val="06A8BD3C"/>
    <w:rsid w:val="06AAC29D"/>
    <w:rsid w:val="06AEDCC3"/>
    <w:rsid w:val="06AF1B16"/>
    <w:rsid w:val="06B96D0D"/>
    <w:rsid w:val="06BE30C4"/>
    <w:rsid w:val="06BF7AEF"/>
    <w:rsid w:val="06C2C572"/>
    <w:rsid w:val="06C8DCEF"/>
    <w:rsid w:val="06CCA57D"/>
    <w:rsid w:val="06CF72A1"/>
    <w:rsid w:val="06D6934E"/>
    <w:rsid w:val="06E0923A"/>
    <w:rsid w:val="06E41173"/>
    <w:rsid w:val="06E5CAEF"/>
    <w:rsid w:val="06E768F9"/>
    <w:rsid w:val="06EA0C67"/>
    <w:rsid w:val="06EF7DFB"/>
    <w:rsid w:val="06F32C9C"/>
    <w:rsid w:val="06FA4FD9"/>
    <w:rsid w:val="0707221B"/>
    <w:rsid w:val="070C77E8"/>
    <w:rsid w:val="070EDE1B"/>
    <w:rsid w:val="07107966"/>
    <w:rsid w:val="0711EF61"/>
    <w:rsid w:val="0713DCDD"/>
    <w:rsid w:val="071F504E"/>
    <w:rsid w:val="0721FCCF"/>
    <w:rsid w:val="07283715"/>
    <w:rsid w:val="072FBFDF"/>
    <w:rsid w:val="0731BEC1"/>
    <w:rsid w:val="0736EC7E"/>
    <w:rsid w:val="07380E29"/>
    <w:rsid w:val="073A09C4"/>
    <w:rsid w:val="0743B57F"/>
    <w:rsid w:val="0753450A"/>
    <w:rsid w:val="075D7E32"/>
    <w:rsid w:val="075F18FB"/>
    <w:rsid w:val="07600E54"/>
    <w:rsid w:val="0762A506"/>
    <w:rsid w:val="0763D2AB"/>
    <w:rsid w:val="076514DD"/>
    <w:rsid w:val="07686755"/>
    <w:rsid w:val="076B6E72"/>
    <w:rsid w:val="076DC62D"/>
    <w:rsid w:val="0772A4C6"/>
    <w:rsid w:val="0773315F"/>
    <w:rsid w:val="0773C391"/>
    <w:rsid w:val="0775CD42"/>
    <w:rsid w:val="0777EC60"/>
    <w:rsid w:val="07789573"/>
    <w:rsid w:val="077E58FC"/>
    <w:rsid w:val="0782687E"/>
    <w:rsid w:val="078483F9"/>
    <w:rsid w:val="07915B7E"/>
    <w:rsid w:val="07965C16"/>
    <w:rsid w:val="07A16733"/>
    <w:rsid w:val="07AF75DF"/>
    <w:rsid w:val="07B86F09"/>
    <w:rsid w:val="07B9FCB6"/>
    <w:rsid w:val="07C1C0F9"/>
    <w:rsid w:val="07C37EEB"/>
    <w:rsid w:val="07CB86C8"/>
    <w:rsid w:val="07CE0A8E"/>
    <w:rsid w:val="07D1299B"/>
    <w:rsid w:val="07E71BCC"/>
    <w:rsid w:val="07EEABE9"/>
    <w:rsid w:val="07EEDE1B"/>
    <w:rsid w:val="07F34813"/>
    <w:rsid w:val="07F5E45C"/>
    <w:rsid w:val="07F71BCD"/>
    <w:rsid w:val="07FA236D"/>
    <w:rsid w:val="07FE2B91"/>
    <w:rsid w:val="0801BACC"/>
    <w:rsid w:val="0803A7D6"/>
    <w:rsid w:val="0804761A"/>
    <w:rsid w:val="080BE1A8"/>
    <w:rsid w:val="080C7EE2"/>
    <w:rsid w:val="0813D5E3"/>
    <w:rsid w:val="0814ACED"/>
    <w:rsid w:val="0819ADEE"/>
    <w:rsid w:val="081C6351"/>
    <w:rsid w:val="081D0FE8"/>
    <w:rsid w:val="082279A4"/>
    <w:rsid w:val="0822FD49"/>
    <w:rsid w:val="0824AC77"/>
    <w:rsid w:val="0826B5CD"/>
    <w:rsid w:val="08271E1C"/>
    <w:rsid w:val="08286475"/>
    <w:rsid w:val="082EC069"/>
    <w:rsid w:val="0834C54B"/>
    <w:rsid w:val="0835E50B"/>
    <w:rsid w:val="0836E4D5"/>
    <w:rsid w:val="083921DC"/>
    <w:rsid w:val="0841940D"/>
    <w:rsid w:val="084250B8"/>
    <w:rsid w:val="08426223"/>
    <w:rsid w:val="08433311"/>
    <w:rsid w:val="0843BF95"/>
    <w:rsid w:val="08475E3A"/>
    <w:rsid w:val="084F984E"/>
    <w:rsid w:val="084FDD37"/>
    <w:rsid w:val="0858C2D5"/>
    <w:rsid w:val="085E2A5C"/>
    <w:rsid w:val="085F94B6"/>
    <w:rsid w:val="085FFBD5"/>
    <w:rsid w:val="0861BEBE"/>
    <w:rsid w:val="08687002"/>
    <w:rsid w:val="086C5EBF"/>
    <w:rsid w:val="086E4DD3"/>
    <w:rsid w:val="08719966"/>
    <w:rsid w:val="087E9878"/>
    <w:rsid w:val="08832612"/>
    <w:rsid w:val="08875779"/>
    <w:rsid w:val="0887DED6"/>
    <w:rsid w:val="0889ABE1"/>
    <w:rsid w:val="088B4283"/>
    <w:rsid w:val="088EAA8C"/>
    <w:rsid w:val="0895B270"/>
    <w:rsid w:val="08977211"/>
    <w:rsid w:val="089DB448"/>
    <w:rsid w:val="089FB6F6"/>
    <w:rsid w:val="08A5CD85"/>
    <w:rsid w:val="08A60E29"/>
    <w:rsid w:val="08AB7736"/>
    <w:rsid w:val="08B2B9F1"/>
    <w:rsid w:val="08BC5606"/>
    <w:rsid w:val="08C2FD66"/>
    <w:rsid w:val="08C6A6D3"/>
    <w:rsid w:val="08C71FD6"/>
    <w:rsid w:val="08C8455B"/>
    <w:rsid w:val="08CA3B0A"/>
    <w:rsid w:val="08CFBFB1"/>
    <w:rsid w:val="08D6B7B3"/>
    <w:rsid w:val="08DB6104"/>
    <w:rsid w:val="08E7355F"/>
    <w:rsid w:val="08EBF5A2"/>
    <w:rsid w:val="08EED756"/>
    <w:rsid w:val="08F02966"/>
    <w:rsid w:val="08F15039"/>
    <w:rsid w:val="08F36A12"/>
    <w:rsid w:val="08F3F336"/>
    <w:rsid w:val="090333C8"/>
    <w:rsid w:val="090373EC"/>
    <w:rsid w:val="09069006"/>
    <w:rsid w:val="090B68C5"/>
    <w:rsid w:val="090EF401"/>
    <w:rsid w:val="090F40E1"/>
    <w:rsid w:val="0910E982"/>
    <w:rsid w:val="0911C365"/>
    <w:rsid w:val="091AF585"/>
    <w:rsid w:val="091B63F4"/>
    <w:rsid w:val="09208E95"/>
    <w:rsid w:val="0921E7D5"/>
    <w:rsid w:val="0927C7D2"/>
    <w:rsid w:val="092A3B11"/>
    <w:rsid w:val="092C08A5"/>
    <w:rsid w:val="092FEA8E"/>
    <w:rsid w:val="093088E4"/>
    <w:rsid w:val="093C0362"/>
    <w:rsid w:val="093C7233"/>
    <w:rsid w:val="093F0A6C"/>
    <w:rsid w:val="0944929F"/>
    <w:rsid w:val="0946C89F"/>
    <w:rsid w:val="0948717F"/>
    <w:rsid w:val="0949DAB8"/>
    <w:rsid w:val="095C2082"/>
    <w:rsid w:val="095CFA37"/>
    <w:rsid w:val="095F6426"/>
    <w:rsid w:val="09608623"/>
    <w:rsid w:val="09616D63"/>
    <w:rsid w:val="09671BF7"/>
    <w:rsid w:val="0972497E"/>
    <w:rsid w:val="097323E0"/>
    <w:rsid w:val="0974DE49"/>
    <w:rsid w:val="0976B394"/>
    <w:rsid w:val="0978F99D"/>
    <w:rsid w:val="097F1C82"/>
    <w:rsid w:val="09815D96"/>
    <w:rsid w:val="0987DCFE"/>
    <w:rsid w:val="098D5BEF"/>
    <w:rsid w:val="098F5CA8"/>
    <w:rsid w:val="099365D4"/>
    <w:rsid w:val="09970643"/>
    <w:rsid w:val="0999237B"/>
    <w:rsid w:val="099B8398"/>
    <w:rsid w:val="09A19204"/>
    <w:rsid w:val="09A28985"/>
    <w:rsid w:val="09A42579"/>
    <w:rsid w:val="09A42B69"/>
    <w:rsid w:val="09A49A41"/>
    <w:rsid w:val="09A4E0A5"/>
    <w:rsid w:val="09AA1824"/>
    <w:rsid w:val="09AB0C79"/>
    <w:rsid w:val="09AB487E"/>
    <w:rsid w:val="09ABCB07"/>
    <w:rsid w:val="09B417D7"/>
    <w:rsid w:val="09B4AE59"/>
    <w:rsid w:val="09B91F2F"/>
    <w:rsid w:val="09C5E2CC"/>
    <w:rsid w:val="09C62B7B"/>
    <w:rsid w:val="09CA9E87"/>
    <w:rsid w:val="09CB03B1"/>
    <w:rsid w:val="09D012D4"/>
    <w:rsid w:val="09D03EFC"/>
    <w:rsid w:val="09D0CF25"/>
    <w:rsid w:val="09DA204A"/>
    <w:rsid w:val="09DAE726"/>
    <w:rsid w:val="09DDB782"/>
    <w:rsid w:val="09DE9282"/>
    <w:rsid w:val="09DFA165"/>
    <w:rsid w:val="09E477D4"/>
    <w:rsid w:val="09E6B90F"/>
    <w:rsid w:val="09EAC713"/>
    <w:rsid w:val="09F0A26A"/>
    <w:rsid w:val="09F15228"/>
    <w:rsid w:val="09F23914"/>
    <w:rsid w:val="09F49501"/>
    <w:rsid w:val="09F5FA9C"/>
    <w:rsid w:val="09F61878"/>
    <w:rsid w:val="09FCE72E"/>
    <w:rsid w:val="09FEB613"/>
    <w:rsid w:val="09FFB734"/>
    <w:rsid w:val="0A19CFCA"/>
    <w:rsid w:val="0A1B80EB"/>
    <w:rsid w:val="0A1C0C95"/>
    <w:rsid w:val="0A1D4A9D"/>
    <w:rsid w:val="0A2180F8"/>
    <w:rsid w:val="0A25AEBB"/>
    <w:rsid w:val="0A2785F0"/>
    <w:rsid w:val="0A2AB78F"/>
    <w:rsid w:val="0A2BA873"/>
    <w:rsid w:val="0A42D6DC"/>
    <w:rsid w:val="0A4885B9"/>
    <w:rsid w:val="0A498C00"/>
    <w:rsid w:val="0A4B469E"/>
    <w:rsid w:val="0A55E546"/>
    <w:rsid w:val="0A5C210E"/>
    <w:rsid w:val="0A61C767"/>
    <w:rsid w:val="0A623AC7"/>
    <w:rsid w:val="0A6A9882"/>
    <w:rsid w:val="0A6AE2CD"/>
    <w:rsid w:val="0A6C85CD"/>
    <w:rsid w:val="0A6DE13B"/>
    <w:rsid w:val="0A6DED93"/>
    <w:rsid w:val="0A7935D1"/>
    <w:rsid w:val="0A7946B7"/>
    <w:rsid w:val="0A7C24DF"/>
    <w:rsid w:val="0A7CD5A9"/>
    <w:rsid w:val="0A7FE864"/>
    <w:rsid w:val="0A81A732"/>
    <w:rsid w:val="0A81BA7B"/>
    <w:rsid w:val="0A82D662"/>
    <w:rsid w:val="0A8F94E3"/>
    <w:rsid w:val="0A919CCB"/>
    <w:rsid w:val="0A91B59B"/>
    <w:rsid w:val="0A921464"/>
    <w:rsid w:val="0A9DED64"/>
    <w:rsid w:val="0AA43ACC"/>
    <w:rsid w:val="0AA79660"/>
    <w:rsid w:val="0AB999A8"/>
    <w:rsid w:val="0ABDE274"/>
    <w:rsid w:val="0AD040C1"/>
    <w:rsid w:val="0ADB3384"/>
    <w:rsid w:val="0ADDCA31"/>
    <w:rsid w:val="0ADE06FF"/>
    <w:rsid w:val="0AE0A5E2"/>
    <w:rsid w:val="0AE0AE9A"/>
    <w:rsid w:val="0AE6DF6A"/>
    <w:rsid w:val="0AF762F3"/>
    <w:rsid w:val="0AFB943B"/>
    <w:rsid w:val="0AFEDFFC"/>
    <w:rsid w:val="0B0129E8"/>
    <w:rsid w:val="0B0444D8"/>
    <w:rsid w:val="0B061FC2"/>
    <w:rsid w:val="0B06E628"/>
    <w:rsid w:val="0B0FE112"/>
    <w:rsid w:val="0B1D0147"/>
    <w:rsid w:val="0B1EE611"/>
    <w:rsid w:val="0B1F0BA9"/>
    <w:rsid w:val="0B23478E"/>
    <w:rsid w:val="0B252138"/>
    <w:rsid w:val="0B29D290"/>
    <w:rsid w:val="0B29E968"/>
    <w:rsid w:val="0B308E56"/>
    <w:rsid w:val="0B3A8F07"/>
    <w:rsid w:val="0B3E75ED"/>
    <w:rsid w:val="0B3FCCBA"/>
    <w:rsid w:val="0B4A46F9"/>
    <w:rsid w:val="0B4B6718"/>
    <w:rsid w:val="0B515A1F"/>
    <w:rsid w:val="0B552B1E"/>
    <w:rsid w:val="0B56DDD8"/>
    <w:rsid w:val="0B582737"/>
    <w:rsid w:val="0B586229"/>
    <w:rsid w:val="0B58D7D2"/>
    <w:rsid w:val="0B5FC153"/>
    <w:rsid w:val="0B61A323"/>
    <w:rsid w:val="0B684E5F"/>
    <w:rsid w:val="0B6AE71A"/>
    <w:rsid w:val="0B6F416F"/>
    <w:rsid w:val="0B75D333"/>
    <w:rsid w:val="0B780DDE"/>
    <w:rsid w:val="0B80A0E2"/>
    <w:rsid w:val="0B8ABFEE"/>
    <w:rsid w:val="0B8D93B6"/>
    <w:rsid w:val="0B979F26"/>
    <w:rsid w:val="0B984A6C"/>
    <w:rsid w:val="0B9CD286"/>
    <w:rsid w:val="0BA085F8"/>
    <w:rsid w:val="0BA0A033"/>
    <w:rsid w:val="0BA26518"/>
    <w:rsid w:val="0BA4332C"/>
    <w:rsid w:val="0BA848E7"/>
    <w:rsid w:val="0BA8AB03"/>
    <w:rsid w:val="0BA95116"/>
    <w:rsid w:val="0BA9B286"/>
    <w:rsid w:val="0BB9900B"/>
    <w:rsid w:val="0BC564BA"/>
    <w:rsid w:val="0BC632E0"/>
    <w:rsid w:val="0BDD6326"/>
    <w:rsid w:val="0BDF1FBD"/>
    <w:rsid w:val="0BE9BC27"/>
    <w:rsid w:val="0BEAB221"/>
    <w:rsid w:val="0BECD73B"/>
    <w:rsid w:val="0BEE8516"/>
    <w:rsid w:val="0BF2E73D"/>
    <w:rsid w:val="0BFC7579"/>
    <w:rsid w:val="0C05FEB7"/>
    <w:rsid w:val="0C0701C6"/>
    <w:rsid w:val="0C0971D9"/>
    <w:rsid w:val="0C09C41F"/>
    <w:rsid w:val="0C0F8CFE"/>
    <w:rsid w:val="0C100E49"/>
    <w:rsid w:val="0C119B2C"/>
    <w:rsid w:val="0C143FB6"/>
    <w:rsid w:val="0C165F73"/>
    <w:rsid w:val="0C2287E1"/>
    <w:rsid w:val="0C236AE9"/>
    <w:rsid w:val="0C260A67"/>
    <w:rsid w:val="0C282301"/>
    <w:rsid w:val="0C2A8905"/>
    <w:rsid w:val="0C2BD9B4"/>
    <w:rsid w:val="0C320710"/>
    <w:rsid w:val="0C332760"/>
    <w:rsid w:val="0C3F0826"/>
    <w:rsid w:val="0C414270"/>
    <w:rsid w:val="0C41D4E9"/>
    <w:rsid w:val="0C456FFB"/>
    <w:rsid w:val="0C47E68D"/>
    <w:rsid w:val="0C49E6AA"/>
    <w:rsid w:val="0C4AF146"/>
    <w:rsid w:val="0C502F5E"/>
    <w:rsid w:val="0C531444"/>
    <w:rsid w:val="0C5394AF"/>
    <w:rsid w:val="0C567956"/>
    <w:rsid w:val="0C588876"/>
    <w:rsid w:val="0C5C5C4D"/>
    <w:rsid w:val="0C5D04EC"/>
    <w:rsid w:val="0C5EC48E"/>
    <w:rsid w:val="0C64EADA"/>
    <w:rsid w:val="0C6A955C"/>
    <w:rsid w:val="0C6BBC51"/>
    <w:rsid w:val="0C6E0C02"/>
    <w:rsid w:val="0C701A51"/>
    <w:rsid w:val="0C738361"/>
    <w:rsid w:val="0C73BEFF"/>
    <w:rsid w:val="0C768CA8"/>
    <w:rsid w:val="0C7E29D8"/>
    <w:rsid w:val="0C8E2EB7"/>
    <w:rsid w:val="0C8E43EC"/>
    <w:rsid w:val="0C8F8308"/>
    <w:rsid w:val="0C915664"/>
    <w:rsid w:val="0C99025B"/>
    <w:rsid w:val="0C996670"/>
    <w:rsid w:val="0C9DFE3C"/>
    <w:rsid w:val="0C9E2F6A"/>
    <w:rsid w:val="0CA13855"/>
    <w:rsid w:val="0CA18786"/>
    <w:rsid w:val="0CA73068"/>
    <w:rsid w:val="0CAE6AC3"/>
    <w:rsid w:val="0CAFADBA"/>
    <w:rsid w:val="0CB3096D"/>
    <w:rsid w:val="0CB683F1"/>
    <w:rsid w:val="0CB82045"/>
    <w:rsid w:val="0CBABC24"/>
    <w:rsid w:val="0CC09D3F"/>
    <w:rsid w:val="0CC2BF00"/>
    <w:rsid w:val="0CC7E1F7"/>
    <w:rsid w:val="0CCB7DBE"/>
    <w:rsid w:val="0CCD4BAA"/>
    <w:rsid w:val="0CD033BB"/>
    <w:rsid w:val="0CD315AB"/>
    <w:rsid w:val="0CD8C171"/>
    <w:rsid w:val="0CDB1E56"/>
    <w:rsid w:val="0CDB90D2"/>
    <w:rsid w:val="0CDED3C6"/>
    <w:rsid w:val="0CE270CB"/>
    <w:rsid w:val="0CEA02A5"/>
    <w:rsid w:val="0CF159AB"/>
    <w:rsid w:val="0D0D69A9"/>
    <w:rsid w:val="0D0EA20E"/>
    <w:rsid w:val="0D1178EF"/>
    <w:rsid w:val="0D16F8C7"/>
    <w:rsid w:val="0D1CAAE0"/>
    <w:rsid w:val="0D1D4192"/>
    <w:rsid w:val="0D217409"/>
    <w:rsid w:val="0D264010"/>
    <w:rsid w:val="0D27B662"/>
    <w:rsid w:val="0D35F1FB"/>
    <w:rsid w:val="0D37EF28"/>
    <w:rsid w:val="0D405A17"/>
    <w:rsid w:val="0D438510"/>
    <w:rsid w:val="0D453441"/>
    <w:rsid w:val="0D47056F"/>
    <w:rsid w:val="0D48ACB4"/>
    <w:rsid w:val="0D4A28C5"/>
    <w:rsid w:val="0D508EC0"/>
    <w:rsid w:val="0D5C228F"/>
    <w:rsid w:val="0D65005A"/>
    <w:rsid w:val="0D6EFE7D"/>
    <w:rsid w:val="0D743ACF"/>
    <w:rsid w:val="0D780EEF"/>
    <w:rsid w:val="0D81443D"/>
    <w:rsid w:val="0D86E217"/>
    <w:rsid w:val="0D87A9DA"/>
    <w:rsid w:val="0D881DF9"/>
    <w:rsid w:val="0D882C9E"/>
    <w:rsid w:val="0D89A52F"/>
    <w:rsid w:val="0D8B82CD"/>
    <w:rsid w:val="0D8C5841"/>
    <w:rsid w:val="0D92FEBB"/>
    <w:rsid w:val="0D93FFCE"/>
    <w:rsid w:val="0D961C8A"/>
    <w:rsid w:val="0D96A46B"/>
    <w:rsid w:val="0D97BE63"/>
    <w:rsid w:val="0D9A5F12"/>
    <w:rsid w:val="0D9A8BF3"/>
    <w:rsid w:val="0D9C7313"/>
    <w:rsid w:val="0D9F27D6"/>
    <w:rsid w:val="0DA77DE6"/>
    <w:rsid w:val="0DAB782B"/>
    <w:rsid w:val="0DADE920"/>
    <w:rsid w:val="0DB0BF67"/>
    <w:rsid w:val="0DB5B3DB"/>
    <w:rsid w:val="0DBB7F96"/>
    <w:rsid w:val="0DC096C3"/>
    <w:rsid w:val="0DC0C634"/>
    <w:rsid w:val="0DC3A501"/>
    <w:rsid w:val="0DCADC7F"/>
    <w:rsid w:val="0DCD96B8"/>
    <w:rsid w:val="0DD27C4B"/>
    <w:rsid w:val="0DD5FA2F"/>
    <w:rsid w:val="0DDDA0AC"/>
    <w:rsid w:val="0DE2946C"/>
    <w:rsid w:val="0DE6786D"/>
    <w:rsid w:val="0DE7FCF4"/>
    <w:rsid w:val="0DEB889A"/>
    <w:rsid w:val="0DF2172F"/>
    <w:rsid w:val="0DF3F65D"/>
    <w:rsid w:val="0DF7622A"/>
    <w:rsid w:val="0E01D6C5"/>
    <w:rsid w:val="0E02204C"/>
    <w:rsid w:val="0E038B62"/>
    <w:rsid w:val="0E048014"/>
    <w:rsid w:val="0E05B2B2"/>
    <w:rsid w:val="0E094FCB"/>
    <w:rsid w:val="0E0B5473"/>
    <w:rsid w:val="0E0C63AF"/>
    <w:rsid w:val="0E1012FE"/>
    <w:rsid w:val="0E10B10A"/>
    <w:rsid w:val="0E1271C5"/>
    <w:rsid w:val="0E14BAED"/>
    <w:rsid w:val="0E17EA06"/>
    <w:rsid w:val="0E1C017C"/>
    <w:rsid w:val="0E1FF4FE"/>
    <w:rsid w:val="0E39CE9D"/>
    <w:rsid w:val="0E4581DE"/>
    <w:rsid w:val="0E469F3F"/>
    <w:rsid w:val="0E484F91"/>
    <w:rsid w:val="0E4911DE"/>
    <w:rsid w:val="0E5202D2"/>
    <w:rsid w:val="0E59A244"/>
    <w:rsid w:val="0E602601"/>
    <w:rsid w:val="0E6111FB"/>
    <w:rsid w:val="0E6163B5"/>
    <w:rsid w:val="0E62CDCB"/>
    <w:rsid w:val="0E64E3CF"/>
    <w:rsid w:val="0E65A3A4"/>
    <w:rsid w:val="0E671D86"/>
    <w:rsid w:val="0E696813"/>
    <w:rsid w:val="0E6B941A"/>
    <w:rsid w:val="0E6BA99F"/>
    <w:rsid w:val="0E6E6E64"/>
    <w:rsid w:val="0E6EAE98"/>
    <w:rsid w:val="0E6F9EA6"/>
    <w:rsid w:val="0E7430BA"/>
    <w:rsid w:val="0E75C3B6"/>
    <w:rsid w:val="0E7953B2"/>
    <w:rsid w:val="0E7C0AB5"/>
    <w:rsid w:val="0E885343"/>
    <w:rsid w:val="0E8968C2"/>
    <w:rsid w:val="0E898DC7"/>
    <w:rsid w:val="0E8990E8"/>
    <w:rsid w:val="0E92D094"/>
    <w:rsid w:val="0E939966"/>
    <w:rsid w:val="0E980100"/>
    <w:rsid w:val="0E9B5338"/>
    <w:rsid w:val="0E9DCDCA"/>
    <w:rsid w:val="0E9E92E6"/>
    <w:rsid w:val="0EA54A09"/>
    <w:rsid w:val="0EAD73D1"/>
    <w:rsid w:val="0EAE064A"/>
    <w:rsid w:val="0EAFF371"/>
    <w:rsid w:val="0EB3AF6E"/>
    <w:rsid w:val="0EB6F97E"/>
    <w:rsid w:val="0EBB6DB8"/>
    <w:rsid w:val="0EBFC94C"/>
    <w:rsid w:val="0EC00C30"/>
    <w:rsid w:val="0EC3787E"/>
    <w:rsid w:val="0EC55132"/>
    <w:rsid w:val="0ECBB484"/>
    <w:rsid w:val="0ECF716C"/>
    <w:rsid w:val="0ED2F864"/>
    <w:rsid w:val="0ED5DE7F"/>
    <w:rsid w:val="0EDA1893"/>
    <w:rsid w:val="0EDE4D32"/>
    <w:rsid w:val="0EF32EE9"/>
    <w:rsid w:val="0EF3AFEC"/>
    <w:rsid w:val="0EFB0A5D"/>
    <w:rsid w:val="0F02B939"/>
    <w:rsid w:val="0F05A450"/>
    <w:rsid w:val="0F169210"/>
    <w:rsid w:val="0F192B0D"/>
    <w:rsid w:val="0F19AC46"/>
    <w:rsid w:val="0F23100E"/>
    <w:rsid w:val="0F243218"/>
    <w:rsid w:val="0F29F6D5"/>
    <w:rsid w:val="0F30D872"/>
    <w:rsid w:val="0F32C1BD"/>
    <w:rsid w:val="0F377EEF"/>
    <w:rsid w:val="0F380AA4"/>
    <w:rsid w:val="0F3BF935"/>
    <w:rsid w:val="0F412988"/>
    <w:rsid w:val="0F43AFDF"/>
    <w:rsid w:val="0F43B124"/>
    <w:rsid w:val="0F457344"/>
    <w:rsid w:val="0F46BDAE"/>
    <w:rsid w:val="0F569D2A"/>
    <w:rsid w:val="0F576760"/>
    <w:rsid w:val="0F5A69D6"/>
    <w:rsid w:val="0F607226"/>
    <w:rsid w:val="0F634234"/>
    <w:rsid w:val="0F66126D"/>
    <w:rsid w:val="0F66E514"/>
    <w:rsid w:val="0F6BDD9D"/>
    <w:rsid w:val="0F6C993D"/>
    <w:rsid w:val="0F6E35AA"/>
    <w:rsid w:val="0F7107BB"/>
    <w:rsid w:val="0F7110AC"/>
    <w:rsid w:val="0F7634FE"/>
    <w:rsid w:val="0F800F8D"/>
    <w:rsid w:val="0F871248"/>
    <w:rsid w:val="0F89B743"/>
    <w:rsid w:val="0F925D4B"/>
    <w:rsid w:val="0F9584ED"/>
    <w:rsid w:val="0F9640D1"/>
    <w:rsid w:val="0F9C4635"/>
    <w:rsid w:val="0F9EAE3C"/>
    <w:rsid w:val="0FA9CCCA"/>
    <w:rsid w:val="0FACBE77"/>
    <w:rsid w:val="0FAD8E9D"/>
    <w:rsid w:val="0FB330EC"/>
    <w:rsid w:val="0FC0CAE4"/>
    <w:rsid w:val="0FC0E3A1"/>
    <w:rsid w:val="0FC1246D"/>
    <w:rsid w:val="0FC4D01A"/>
    <w:rsid w:val="0FC5DBA7"/>
    <w:rsid w:val="0FC7749C"/>
    <w:rsid w:val="0FC93B86"/>
    <w:rsid w:val="0FD1F709"/>
    <w:rsid w:val="0FD7D128"/>
    <w:rsid w:val="0FD8CC21"/>
    <w:rsid w:val="0FD8D917"/>
    <w:rsid w:val="0FE697EB"/>
    <w:rsid w:val="0FE85D14"/>
    <w:rsid w:val="0FEA8941"/>
    <w:rsid w:val="0FED54A6"/>
    <w:rsid w:val="0FEF1360"/>
    <w:rsid w:val="0FF393A4"/>
    <w:rsid w:val="0FF95473"/>
    <w:rsid w:val="0FFC107F"/>
    <w:rsid w:val="0FFD7BAD"/>
    <w:rsid w:val="0FFEC40D"/>
    <w:rsid w:val="1005B4F4"/>
    <w:rsid w:val="1007385A"/>
    <w:rsid w:val="100862A0"/>
    <w:rsid w:val="1009BBEB"/>
    <w:rsid w:val="100A5F88"/>
    <w:rsid w:val="10106396"/>
    <w:rsid w:val="1013C7D7"/>
    <w:rsid w:val="1020A938"/>
    <w:rsid w:val="102212E4"/>
    <w:rsid w:val="10238316"/>
    <w:rsid w:val="1027A6E3"/>
    <w:rsid w:val="1027F214"/>
    <w:rsid w:val="102A3699"/>
    <w:rsid w:val="1035A947"/>
    <w:rsid w:val="1036C0DF"/>
    <w:rsid w:val="10383FAA"/>
    <w:rsid w:val="10387FE3"/>
    <w:rsid w:val="103B4146"/>
    <w:rsid w:val="103E7F9C"/>
    <w:rsid w:val="10431872"/>
    <w:rsid w:val="1045A7E4"/>
    <w:rsid w:val="1045FA9F"/>
    <w:rsid w:val="104C6BA3"/>
    <w:rsid w:val="104C9122"/>
    <w:rsid w:val="104CA3B1"/>
    <w:rsid w:val="1052CB4D"/>
    <w:rsid w:val="10584A1D"/>
    <w:rsid w:val="105B1946"/>
    <w:rsid w:val="105B509C"/>
    <w:rsid w:val="105C544F"/>
    <w:rsid w:val="10605DF8"/>
    <w:rsid w:val="1060E9CE"/>
    <w:rsid w:val="1062D68A"/>
    <w:rsid w:val="10688A6D"/>
    <w:rsid w:val="106C85B5"/>
    <w:rsid w:val="106E9020"/>
    <w:rsid w:val="107D1A70"/>
    <w:rsid w:val="108455C0"/>
    <w:rsid w:val="10894930"/>
    <w:rsid w:val="10909C2F"/>
    <w:rsid w:val="10940392"/>
    <w:rsid w:val="1098CA09"/>
    <w:rsid w:val="109BAE36"/>
    <w:rsid w:val="109EB628"/>
    <w:rsid w:val="10A46C6F"/>
    <w:rsid w:val="10A58B8E"/>
    <w:rsid w:val="10A5915A"/>
    <w:rsid w:val="10B41433"/>
    <w:rsid w:val="10B64F57"/>
    <w:rsid w:val="10BCB582"/>
    <w:rsid w:val="10C1936C"/>
    <w:rsid w:val="10C4B214"/>
    <w:rsid w:val="10C77A27"/>
    <w:rsid w:val="10CC28F1"/>
    <w:rsid w:val="10CE4C40"/>
    <w:rsid w:val="10D06EC8"/>
    <w:rsid w:val="10D8E25A"/>
    <w:rsid w:val="10DDE5E3"/>
    <w:rsid w:val="10DE4491"/>
    <w:rsid w:val="10DFDC98"/>
    <w:rsid w:val="10E09362"/>
    <w:rsid w:val="10E15EAF"/>
    <w:rsid w:val="10E6A494"/>
    <w:rsid w:val="10E9EDE4"/>
    <w:rsid w:val="10E9F276"/>
    <w:rsid w:val="10EA4124"/>
    <w:rsid w:val="10EC2BEC"/>
    <w:rsid w:val="10EDE3E0"/>
    <w:rsid w:val="10F16AAF"/>
    <w:rsid w:val="10F1D3E3"/>
    <w:rsid w:val="10F35EE1"/>
    <w:rsid w:val="10F60C40"/>
    <w:rsid w:val="1102C5BF"/>
    <w:rsid w:val="1102CA61"/>
    <w:rsid w:val="1105CFDB"/>
    <w:rsid w:val="110B158B"/>
    <w:rsid w:val="11108879"/>
    <w:rsid w:val="11145280"/>
    <w:rsid w:val="1116EA5F"/>
    <w:rsid w:val="111C408F"/>
    <w:rsid w:val="111D3392"/>
    <w:rsid w:val="1121FC40"/>
    <w:rsid w:val="11253871"/>
    <w:rsid w:val="112AB030"/>
    <w:rsid w:val="112D611E"/>
    <w:rsid w:val="112E35FF"/>
    <w:rsid w:val="11329AC5"/>
    <w:rsid w:val="113954AC"/>
    <w:rsid w:val="113EE75F"/>
    <w:rsid w:val="11444DE6"/>
    <w:rsid w:val="11493F8D"/>
    <w:rsid w:val="114CA78F"/>
    <w:rsid w:val="1150D616"/>
    <w:rsid w:val="1153CF44"/>
    <w:rsid w:val="11546DE9"/>
    <w:rsid w:val="1155AF15"/>
    <w:rsid w:val="11582C34"/>
    <w:rsid w:val="115E27DE"/>
    <w:rsid w:val="116095B4"/>
    <w:rsid w:val="1161A04D"/>
    <w:rsid w:val="116434C5"/>
    <w:rsid w:val="11669E2A"/>
    <w:rsid w:val="116BE05B"/>
    <w:rsid w:val="117488A1"/>
    <w:rsid w:val="11778FA6"/>
    <w:rsid w:val="1177DDCB"/>
    <w:rsid w:val="117AF424"/>
    <w:rsid w:val="117C0568"/>
    <w:rsid w:val="117F3417"/>
    <w:rsid w:val="11826BBE"/>
    <w:rsid w:val="1182AA98"/>
    <w:rsid w:val="1190DF41"/>
    <w:rsid w:val="11949CB8"/>
    <w:rsid w:val="11960201"/>
    <w:rsid w:val="119883F5"/>
    <w:rsid w:val="119899DB"/>
    <w:rsid w:val="119EEBB5"/>
    <w:rsid w:val="11A53CC2"/>
    <w:rsid w:val="11A6ACD6"/>
    <w:rsid w:val="11AE7744"/>
    <w:rsid w:val="11AF25B8"/>
    <w:rsid w:val="11B0EE0C"/>
    <w:rsid w:val="11B84EA2"/>
    <w:rsid w:val="11BD7110"/>
    <w:rsid w:val="11C3283F"/>
    <w:rsid w:val="11CB38E8"/>
    <w:rsid w:val="11CE353D"/>
    <w:rsid w:val="11D1E52E"/>
    <w:rsid w:val="11D39212"/>
    <w:rsid w:val="11D4D340"/>
    <w:rsid w:val="11DBFE1F"/>
    <w:rsid w:val="11E19939"/>
    <w:rsid w:val="11E1FFCA"/>
    <w:rsid w:val="11E4E8DC"/>
    <w:rsid w:val="11ED1AEA"/>
    <w:rsid w:val="11EDCABE"/>
    <w:rsid w:val="11F4925A"/>
    <w:rsid w:val="11F7FE9B"/>
    <w:rsid w:val="11FFCB6F"/>
    <w:rsid w:val="120218F0"/>
    <w:rsid w:val="1205D1BC"/>
    <w:rsid w:val="120E58B1"/>
    <w:rsid w:val="120EB43C"/>
    <w:rsid w:val="12191D7C"/>
    <w:rsid w:val="121D1138"/>
    <w:rsid w:val="121D2025"/>
    <w:rsid w:val="121DA0C4"/>
    <w:rsid w:val="121FA6D2"/>
    <w:rsid w:val="12236519"/>
    <w:rsid w:val="12252E1E"/>
    <w:rsid w:val="12254B14"/>
    <w:rsid w:val="1226C35A"/>
    <w:rsid w:val="122C12C4"/>
    <w:rsid w:val="122C88A1"/>
    <w:rsid w:val="122EDD42"/>
    <w:rsid w:val="123591E7"/>
    <w:rsid w:val="1237D251"/>
    <w:rsid w:val="1239889D"/>
    <w:rsid w:val="123BCAFB"/>
    <w:rsid w:val="123CD804"/>
    <w:rsid w:val="1246B7F7"/>
    <w:rsid w:val="124CD5E4"/>
    <w:rsid w:val="124FD3FF"/>
    <w:rsid w:val="1253CC8C"/>
    <w:rsid w:val="125AECBE"/>
    <w:rsid w:val="125FD08D"/>
    <w:rsid w:val="126325A8"/>
    <w:rsid w:val="12653C9A"/>
    <w:rsid w:val="1265B697"/>
    <w:rsid w:val="12661952"/>
    <w:rsid w:val="126BDE7E"/>
    <w:rsid w:val="126CC874"/>
    <w:rsid w:val="126F5789"/>
    <w:rsid w:val="12736AA3"/>
    <w:rsid w:val="127D97ED"/>
    <w:rsid w:val="1282EE4C"/>
    <w:rsid w:val="128A8075"/>
    <w:rsid w:val="128CA0CB"/>
    <w:rsid w:val="128F2C94"/>
    <w:rsid w:val="12933413"/>
    <w:rsid w:val="129DAEF8"/>
    <w:rsid w:val="129EF91C"/>
    <w:rsid w:val="129F021A"/>
    <w:rsid w:val="12A26ED6"/>
    <w:rsid w:val="12A4CA19"/>
    <w:rsid w:val="12A8CBB1"/>
    <w:rsid w:val="12AA95DF"/>
    <w:rsid w:val="12AB0CCC"/>
    <w:rsid w:val="12B0D20E"/>
    <w:rsid w:val="12B7E03A"/>
    <w:rsid w:val="12B9FE50"/>
    <w:rsid w:val="12BE5323"/>
    <w:rsid w:val="12C11F20"/>
    <w:rsid w:val="12D93F68"/>
    <w:rsid w:val="12E44E2F"/>
    <w:rsid w:val="12F09FF7"/>
    <w:rsid w:val="12F12D02"/>
    <w:rsid w:val="12F40B6D"/>
    <w:rsid w:val="12F5FB1A"/>
    <w:rsid w:val="12F60D16"/>
    <w:rsid w:val="1303502D"/>
    <w:rsid w:val="1305838F"/>
    <w:rsid w:val="130615AC"/>
    <w:rsid w:val="13097914"/>
    <w:rsid w:val="130BE619"/>
    <w:rsid w:val="1312B5BF"/>
    <w:rsid w:val="1313D31D"/>
    <w:rsid w:val="1314C110"/>
    <w:rsid w:val="131B86C0"/>
    <w:rsid w:val="131F278E"/>
    <w:rsid w:val="1320ED77"/>
    <w:rsid w:val="13257C06"/>
    <w:rsid w:val="132C0830"/>
    <w:rsid w:val="132F10BD"/>
    <w:rsid w:val="1339E54B"/>
    <w:rsid w:val="133BE613"/>
    <w:rsid w:val="13408AB6"/>
    <w:rsid w:val="1344ED81"/>
    <w:rsid w:val="13455A4E"/>
    <w:rsid w:val="1345E5AD"/>
    <w:rsid w:val="134B0CF7"/>
    <w:rsid w:val="134E92A0"/>
    <w:rsid w:val="134FD0D8"/>
    <w:rsid w:val="13503364"/>
    <w:rsid w:val="13568312"/>
    <w:rsid w:val="1370428B"/>
    <w:rsid w:val="13772A53"/>
    <w:rsid w:val="1377F9A5"/>
    <w:rsid w:val="137E58BD"/>
    <w:rsid w:val="137F64A4"/>
    <w:rsid w:val="138C2AB5"/>
    <w:rsid w:val="138FDC7C"/>
    <w:rsid w:val="139084AE"/>
    <w:rsid w:val="13943954"/>
    <w:rsid w:val="13980A44"/>
    <w:rsid w:val="139A14C2"/>
    <w:rsid w:val="139E5565"/>
    <w:rsid w:val="13A4D5D8"/>
    <w:rsid w:val="13AB3092"/>
    <w:rsid w:val="13AF7E47"/>
    <w:rsid w:val="13B29646"/>
    <w:rsid w:val="13B332F0"/>
    <w:rsid w:val="13B338D0"/>
    <w:rsid w:val="13B61893"/>
    <w:rsid w:val="13C2AD3F"/>
    <w:rsid w:val="13C4C3B8"/>
    <w:rsid w:val="13CD2942"/>
    <w:rsid w:val="13DD67F1"/>
    <w:rsid w:val="13E43B78"/>
    <w:rsid w:val="13E8887F"/>
    <w:rsid w:val="13F8B41D"/>
    <w:rsid w:val="13FCB7CC"/>
    <w:rsid w:val="13FD59DC"/>
    <w:rsid w:val="1400CF33"/>
    <w:rsid w:val="140316BA"/>
    <w:rsid w:val="14069670"/>
    <w:rsid w:val="140D1FDD"/>
    <w:rsid w:val="140EB140"/>
    <w:rsid w:val="14129FA9"/>
    <w:rsid w:val="14197129"/>
    <w:rsid w:val="141AA1D6"/>
    <w:rsid w:val="141C4DC1"/>
    <w:rsid w:val="141CB9DD"/>
    <w:rsid w:val="1424DA30"/>
    <w:rsid w:val="142659E3"/>
    <w:rsid w:val="14296198"/>
    <w:rsid w:val="142B9843"/>
    <w:rsid w:val="1430BC28"/>
    <w:rsid w:val="143248E8"/>
    <w:rsid w:val="143974F7"/>
    <w:rsid w:val="1439CEDA"/>
    <w:rsid w:val="143CDF60"/>
    <w:rsid w:val="143EA394"/>
    <w:rsid w:val="1440731E"/>
    <w:rsid w:val="1442A162"/>
    <w:rsid w:val="144A6E4E"/>
    <w:rsid w:val="14527056"/>
    <w:rsid w:val="14542688"/>
    <w:rsid w:val="14576F41"/>
    <w:rsid w:val="145ED300"/>
    <w:rsid w:val="146142B4"/>
    <w:rsid w:val="146612C3"/>
    <w:rsid w:val="1471B538"/>
    <w:rsid w:val="1478F5C7"/>
    <w:rsid w:val="147C2E8C"/>
    <w:rsid w:val="147E700A"/>
    <w:rsid w:val="147EC6A9"/>
    <w:rsid w:val="148213B6"/>
    <w:rsid w:val="148BDAB9"/>
    <w:rsid w:val="1499187C"/>
    <w:rsid w:val="14A01A68"/>
    <w:rsid w:val="14A96290"/>
    <w:rsid w:val="14A9BF44"/>
    <w:rsid w:val="14AFC650"/>
    <w:rsid w:val="14B0CF60"/>
    <w:rsid w:val="14B803C9"/>
    <w:rsid w:val="14B9C458"/>
    <w:rsid w:val="14CAD0CF"/>
    <w:rsid w:val="14D66F38"/>
    <w:rsid w:val="14DE3443"/>
    <w:rsid w:val="14DF90DA"/>
    <w:rsid w:val="14E1577E"/>
    <w:rsid w:val="14E34340"/>
    <w:rsid w:val="14E8EA42"/>
    <w:rsid w:val="14E906D1"/>
    <w:rsid w:val="14EA45C9"/>
    <w:rsid w:val="14FA6736"/>
    <w:rsid w:val="1501EAAC"/>
    <w:rsid w:val="1503BB26"/>
    <w:rsid w:val="150A948A"/>
    <w:rsid w:val="150BFE32"/>
    <w:rsid w:val="1513BD93"/>
    <w:rsid w:val="1513ECEA"/>
    <w:rsid w:val="151497CE"/>
    <w:rsid w:val="1515D3FA"/>
    <w:rsid w:val="15169046"/>
    <w:rsid w:val="1517C7B0"/>
    <w:rsid w:val="1519DE04"/>
    <w:rsid w:val="151BACB8"/>
    <w:rsid w:val="151D5E93"/>
    <w:rsid w:val="151F0B89"/>
    <w:rsid w:val="151FE114"/>
    <w:rsid w:val="1521BA6E"/>
    <w:rsid w:val="1527A40C"/>
    <w:rsid w:val="152AA72F"/>
    <w:rsid w:val="152C472B"/>
    <w:rsid w:val="152FC25E"/>
    <w:rsid w:val="1530B9FC"/>
    <w:rsid w:val="153431D4"/>
    <w:rsid w:val="1538988A"/>
    <w:rsid w:val="153B97D1"/>
    <w:rsid w:val="153D4B62"/>
    <w:rsid w:val="153E79C1"/>
    <w:rsid w:val="1543449C"/>
    <w:rsid w:val="1549AC5C"/>
    <w:rsid w:val="154AB0CB"/>
    <w:rsid w:val="154AFF8D"/>
    <w:rsid w:val="154D532C"/>
    <w:rsid w:val="15539EE5"/>
    <w:rsid w:val="1559A717"/>
    <w:rsid w:val="155F1F48"/>
    <w:rsid w:val="156838B8"/>
    <w:rsid w:val="156CE5DB"/>
    <w:rsid w:val="156DAD0E"/>
    <w:rsid w:val="15727806"/>
    <w:rsid w:val="157999F7"/>
    <w:rsid w:val="157FC4C2"/>
    <w:rsid w:val="15859259"/>
    <w:rsid w:val="158761C5"/>
    <w:rsid w:val="1592E84E"/>
    <w:rsid w:val="15945C8D"/>
    <w:rsid w:val="1595A3BE"/>
    <w:rsid w:val="1597CA80"/>
    <w:rsid w:val="15A29DAC"/>
    <w:rsid w:val="15B6B436"/>
    <w:rsid w:val="15B6D334"/>
    <w:rsid w:val="15BD9FA7"/>
    <w:rsid w:val="15BEB922"/>
    <w:rsid w:val="15C08302"/>
    <w:rsid w:val="15C0ACF6"/>
    <w:rsid w:val="15CDCEA7"/>
    <w:rsid w:val="15D00AA9"/>
    <w:rsid w:val="15D4C0CE"/>
    <w:rsid w:val="15D5C24C"/>
    <w:rsid w:val="15D68657"/>
    <w:rsid w:val="15D7DDC4"/>
    <w:rsid w:val="15D85179"/>
    <w:rsid w:val="15DE08E6"/>
    <w:rsid w:val="15E16854"/>
    <w:rsid w:val="15E443B6"/>
    <w:rsid w:val="15F4D2CE"/>
    <w:rsid w:val="15F74EEF"/>
    <w:rsid w:val="15F7D0AF"/>
    <w:rsid w:val="160984A1"/>
    <w:rsid w:val="160CE352"/>
    <w:rsid w:val="1611BFD7"/>
    <w:rsid w:val="16156F7B"/>
    <w:rsid w:val="16184F9E"/>
    <w:rsid w:val="162108F5"/>
    <w:rsid w:val="162850A1"/>
    <w:rsid w:val="162B2B92"/>
    <w:rsid w:val="162DA707"/>
    <w:rsid w:val="162F00F8"/>
    <w:rsid w:val="1630A9EA"/>
    <w:rsid w:val="16311469"/>
    <w:rsid w:val="163EAA3A"/>
    <w:rsid w:val="163FCA7F"/>
    <w:rsid w:val="16404C2B"/>
    <w:rsid w:val="1644A9AA"/>
    <w:rsid w:val="164F0C2C"/>
    <w:rsid w:val="16580A7B"/>
    <w:rsid w:val="165FEE84"/>
    <w:rsid w:val="166220B2"/>
    <w:rsid w:val="166451B3"/>
    <w:rsid w:val="1666DC27"/>
    <w:rsid w:val="166F8D26"/>
    <w:rsid w:val="1670F2A6"/>
    <w:rsid w:val="16761BA8"/>
    <w:rsid w:val="1678888A"/>
    <w:rsid w:val="16807E99"/>
    <w:rsid w:val="1683F423"/>
    <w:rsid w:val="1686F342"/>
    <w:rsid w:val="1687CFED"/>
    <w:rsid w:val="16882DAD"/>
    <w:rsid w:val="168D0C93"/>
    <w:rsid w:val="1695D980"/>
    <w:rsid w:val="1696308E"/>
    <w:rsid w:val="1698B219"/>
    <w:rsid w:val="16A95B4A"/>
    <w:rsid w:val="16A981BE"/>
    <w:rsid w:val="16ADB9CB"/>
    <w:rsid w:val="16BC1F88"/>
    <w:rsid w:val="16C26CA3"/>
    <w:rsid w:val="16CC7AE8"/>
    <w:rsid w:val="16CEE782"/>
    <w:rsid w:val="16D4CF47"/>
    <w:rsid w:val="16D77FEE"/>
    <w:rsid w:val="16D91405"/>
    <w:rsid w:val="16DAB93F"/>
    <w:rsid w:val="16DC3D60"/>
    <w:rsid w:val="16DE0BFA"/>
    <w:rsid w:val="16E018CE"/>
    <w:rsid w:val="16E094D9"/>
    <w:rsid w:val="16E18F63"/>
    <w:rsid w:val="16E1FAE1"/>
    <w:rsid w:val="16E3102A"/>
    <w:rsid w:val="16E55972"/>
    <w:rsid w:val="16E63794"/>
    <w:rsid w:val="16EBFD32"/>
    <w:rsid w:val="16EE554A"/>
    <w:rsid w:val="16EE9B14"/>
    <w:rsid w:val="16F0AA38"/>
    <w:rsid w:val="16F22C64"/>
    <w:rsid w:val="16FD58BA"/>
    <w:rsid w:val="16FD9D1C"/>
    <w:rsid w:val="16FEB115"/>
    <w:rsid w:val="16FF0B24"/>
    <w:rsid w:val="1706A2B8"/>
    <w:rsid w:val="1709BD5F"/>
    <w:rsid w:val="170E1C2A"/>
    <w:rsid w:val="1714D483"/>
    <w:rsid w:val="17163E22"/>
    <w:rsid w:val="171CF87B"/>
    <w:rsid w:val="1721D103"/>
    <w:rsid w:val="17288A39"/>
    <w:rsid w:val="172C2BF3"/>
    <w:rsid w:val="17312223"/>
    <w:rsid w:val="1733DA39"/>
    <w:rsid w:val="1735A20F"/>
    <w:rsid w:val="174921E4"/>
    <w:rsid w:val="174EB356"/>
    <w:rsid w:val="174FF624"/>
    <w:rsid w:val="1754FC73"/>
    <w:rsid w:val="17575C3C"/>
    <w:rsid w:val="17647D68"/>
    <w:rsid w:val="176B1F71"/>
    <w:rsid w:val="176CF203"/>
    <w:rsid w:val="176DC809"/>
    <w:rsid w:val="1774E3EE"/>
    <w:rsid w:val="177D74CB"/>
    <w:rsid w:val="177E3982"/>
    <w:rsid w:val="177EA3B0"/>
    <w:rsid w:val="177F7C1B"/>
    <w:rsid w:val="1781914B"/>
    <w:rsid w:val="1787F1C2"/>
    <w:rsid w:val="1788A39E"/>
    <w:rsid w:val="1788EC0C"/>
    <w:rsid w:val="178EE6AB"/>
    <w:rsid w:val="1790BE92"/>
    <w:rsid w:val="1797A936"/>
    <w:rsid w:val="179C3AB3"/>
    <w:rsid w:val="179D5434"/>
    <w:rsid w:val="179EE233"/>
    <w:rsid w:val="17A8156B"/>
    <w:rsid w:val="17B08D09"/>
    <w:rsid w:val="17B0BAEA"/>
    <w:rsid w:val="17B3CAAC"/>
    <w:rsid w:val="17B45D6C"/>
    <w:rsid w:val="17B51B94"/>
    <w:rsid w:val="17B5DBB3"/>
    <w:rsid w:val="17BA7296"/>
    <w:rsid w:val="17BE6CE1"/>
    <w:rsid w:val="17BFFDCA"/>
    <w:rsid w:val="17C0C9F2"/>
    <w:rsid w:val="17C1F72B"/>
    <w:rsid w:val="17C2CF02"/>
    <w:rsid w:val="17D5A521"/>
    <w:rsid w:val="17DBB908"/>
    <w:rsid w:val="17DDC57F"/>
    <w:rsid w:val="17DF627F"/>
    <w:rsid w:val="17E245B3"/>
    <w:rsid w:val="17F18AAA"/>
    <w:rsid w:val="17F3B54B"/>
    <w:rsid w:val="17FB3749"/>
    <w:rsid w:val="180239E8"/>
    <w:rsid w:val="18028220"/>
    <w:rsid w:val="180490A9"/>
    <w:rsid w:val="1806F2F6"/>
    <w:rsid w:val="1806F352"/>
    <w:rsid w:val="180A2BA5"/>
    <w:rsid w:val="1815A3E2"/>
    <w:rsid w:val="181ABF5B"/>
    <w:rsid w:val="181CA1F4"/>
    <w:rsid w:val="18201317"/>
    <w:rsid w:val="182522E4"/>
    <w:rsid w:val="182B756E"/>
    <w:rsid w:val="182C410C"/>
    <w:rsid w:val="18333D95"/>
    <w:rsid w:val="18342CD2"/>
    <w:rsid w:val="18479530"/>
    <w:rsid w:val="1848502C"/>
    <w:rsid w:val="1853F2EC"/>
    <w:rsid w:val="1858B5A3"/>
    <w:rsid w:val="185B3273"/>
    <w:rsid w:val="1860B034"/>
    <w:rsid w:val="1865B408"/>
    <w:rsid w:val="186A2528"/>
    <w:rsid w:val="186B88A8"/>
    <w:rsid w:val="186EE77F"/>
    <w:rsid w:val="18704C56"/>
    <w:rsid w:val="18752087"/>
    <w:rsid w:val="18786A9D"/>
    <w:rsid w:val="187AA6A8"/>
    <w:rsid w:val="187AD05A"/>
    <w:rsid w:val="187CB41E"/>
    <w:rsid w:val="18803751"/>
    <w:rsid w:val="18823050"/>
    <w:rsid w:val="188A9534"/>
    <w:rsid w:val="188ABF65"/>
    <w:rsid w:val="18926A35"/>
    <w:rsid w:val="1894E411"/>
    <w:rsid w:val="18977516"/>
    <w:rsid w:val="189D4203"/>
    <w:rsid w:val="18A08573"/>
    <w:rsid w:val="18A881A9"/>
    <w:rsid w:val="18B36360"/>
    <w:rsid w:val="18B55A96"/>
    <w:rsid w:val="18B8EF92"/>
    <w:rsid w:val="18BA9B41"/>
    <w:rsid w:val="18BFF945"/>
    <w:rsid w:val="18C36E3F"/>
    <w:rsid w:val="18C37679"/>
    <w:rsid w:val="18C6401A"/>
    <w:rsid w:val="18C69359"/>
    <w:rsid w:val="18C82D0F"/>
    <w:rsid w:val="18C87F36"/>
    <w:rsid w:val="18D7922B"/>
    <w:rsid w:val="18D9847D"/>
    <w:rsid w:val="18DFC631"/>
    <w:rsid w:val="18E4377B"/>
    <w:rsid w:val="18E8EF00"/>
    <w:rsid w:val="18ECC8E3"/>
    <w:rsid w:val="18F0D568"/>
    <w:rsid w:val="18F2F582"/>
    <w:rsid w:val="18F6CAA7"/>
    <w:rsid w:val="18FADEF3"/>
    <w:rsid w:val="18FEA863"/>
    <w:rsid w:val="18FF048D"/>
    <w:rsid w:val="18FF0E65"/>
    <w:rsid w:val="1900C656"/>
    <w:rsid w:val="190462D1"/>
    <w:rsid w:val="19052E76"/>
    <w:rsid w:val="1909E323"/>
    <w:rsid w:val="190ADFA8"/>
    <w:rsid w:val="190C17D3"/>
    <w:rsid w:val="19139924"/>
    <w:rsid w:val="19165099"/>
    <w:rsid w:val="1918299D"/>
    <w:rsid w:val="191AEC56"/>
    <w:rsid w:val="1925BD8B"/>
    <w:rsid w:val="1927268F"/>
    <w:rsid w:val="192A47C6"/>
    <w:rsid w:val="192CC459"/>
    <w:rsid w:val="192DBA93"/>
    <w:rsid w:val="19315632"/>
    <w:rsid w:val="1936124C"/>
    <w:rsid w:val="193D1367"/>
    <w:rsid w:val="1948F8AA"/>
    <w:rsid w:val="1949EF1D"/>
    <w:rsid w:val="194AA866"/>
    <w:rsid w:val="195B8354"/>
    <w:rsid w:val="195BBFE6"/>
    <w:rsid w:val="195CE674"/>
    <w:rsid w:val="195F19D6"/>
    <w:rsid w:val="1963C6AF"/>
    <w:rsid w:val="196B58EF"/>
    <w:rsid w:val="196C43C1"/>
    <w:rsid w:val="196D9643"/>
    <w:rsid w:val="196E9163"/>
    <w:rsid w:val="19752D5E"/>
    <w:rsid w:val="1979D151"/>
    <w:rsid w:val="197BAA69"/>
    <w:rsid w:val="197D0A1F"/>
    <w:rsid w:val="1981F229"/>
    <w:rsid w:val="19820B49"/>
    <w:rsid w:val="19838112"/>
    <w:rsid w:val="1984B35E"/>
    <w:rsid w:val="1995D0E4"/>
    <w:rsid w:val="1996143D"/>
    <w:rsid w:val="1996A56E"/>
    <w:rsid w:val="1997DB3A"/>
    <w:rsid w:val="199E2849"/>
    <w:rsid w:val="19A01972"/>
    <w:rsid w:val="19A89B9D"/>
    <w:rsid w:val="19AC9C95"/>
    <w:rsid w:val="19AD92E9"/>
    <w:rsid w:val="19B14658"/>
    <w:rsid w:val="19B1FE05"/>
    <w:rsid w:val="19B3CB06"/>
    <w:rsid w:val="19B5697B"/>
    <w:rsid w:val="19BE1465"/>
    <w:rsid w:val="19BEBB74"/>
    <w:rsid w:val="19BF95AB"/>
    <w:rsid w:val="19C04FBB"/>
    <w:rsid w:val="19C2758A"/>
    <w:rsid w:val="19C328F6"/>
    <w:rsid w:val="19C485E2"/>
    <w:rsid w:val="19C7EED9"/>
    <w:rsid w:val="19CA504B"/>
    <w:rsid w:val="19CE5F8D"/>
    <w:rsid w:val="19D4F6DF"/>
    <w:rsid w:val="19D95F55"/>
    <w:rsid w:val="19D9913E"/>
    <w:rsid w:val="19DBEDF6"/>
    <w:rsid w:val="19DC8B63"/>
    <w:rsid w:val="19EBA25A"/>
    <w:rsid w:val="19EF635A"/>
    <w:rsid w:val="19F385F4"/>
    <w:rsid w:val="19F60C28"/>
    <w:rsid w:val="19FA1EE4"/>
    <w:rsid w:val="1A032922"/>
    <w:rsid w:val="1A09AC99"/>
    <w:rsid w:val="1A0D3BAD"/>
    <w:rsid w:val="1A0D3BFF"/>
    <w:rsid w:val="1A0F18E7"/>
    <w:rsid w:val="1A120003"/>
    <w:rsid w:val="1A1395A2"/>
    <w:rsid w:val="1A1558CC"/>
    <w:rsid w:val="1A15FD4B"/>
    <w:rsid w:val="1A18E99B"/>
    <w:rsid w:val="1A1A22E4"/>
    <w:rsid w:val="1A1CF7AD"/>
    <w:rsid w:val="1A22A1D5"/>
    <w:rsid w:val="1A234260"/>
    <w:rsid w:val="1A248357"/>
    <w:rsid w:val="1A305752"/>
    <w:rsid w:val="1A308712"/>
    <w:rsid w:val="1A33E0FD"/>
    <w:rsid w:val="1A361CC1"/>
    <w:rsid w:val="1A372031"/>
    <w:rsid w:val="1A407A3F"/>
    <w:rsid w:val="1A4259DD"/>
    <w:rsid w:val="1A42A149"/>
    <w:rsid w:val="1A445C37"/>
    <w:rsid w:val="1A4527FC"/>
    <w:rsid w:val="1A47A283"/>
    <w:rsid w:val="1A4A1117"/>
    <w:rsid w:val="1A4BBC6D"/>
    <w:rsid w:val="1A504775"/>
    <w:rsid w:val="1A59129F"/>
    <w:rsid w:val="1A5EED5A"/>
    <w:rsid w:val="1A608DF8"/>
    <w:rsid w:val="1A61F746"/>
    <w:rsid w:val="1A637A85"/>
    <w:rsid w:val="1A6A1642"/>
    <w:rsid w:val="1A6DCA93"/>
    <w:rsid w:val="1A6F8B12"/>
    <w:rsid w:val="1A74FDF1"/>
    <w:rsid w:val="1A769A30"/>
    <w:rsid w:val="1A799819"/>
    <w:rsid w:val="1A7DBACF"/>
    <w:rsid w:val="1A81325F"/>
    <w:rsid w:val="1A819144"/>
    <w:rsid w:val="1A83DAE4"/>
    <w:rsid w:val="1A85A476"/>
    <w:rsid w:val="1A85AC8C"/>
    <w:rsid w:val="1A8BDD2D"/>
    <w:rsid w:val="1A8E9B3B"/>
    <w:rsid w:val="1A9952F8"/>
    <w:rsid w:val="1A9EEAB6"/>
    <w:rsid w:val="1AA95F98"/>
    <w:rsid w:val="1AA98E78"/>
    <w:rsid w:val="1AB04F4F"/>
    <w:rsid w:val="1AB0B9E0"/>
    <w:rsid w:val="1AB37390"/>
    <w:rsid w:val="1AB50773"/>
    <w:rsid w:val="1AB865EC"/>
    <w:rsid w:val="1AC415D8"/>
    <w:rsid w:val="1ACAA47B"/>
    <w:rsid w:val="1ACACA2E"/>
    <w:rsid w:val="1AD68D97"/>
    <w:rsid w:val="1ADC3FD5"/>
    <w:rsid w:val="1ADC5AB1"/>
    <w:rsid w:val="1ADCDCF3"/>
    <w:rsid w:val="1AE2929F"/>
    <w:rsid w:val="1AE42731"/>
    <w:rsid w:val="1AE696BD"/>
    <w:rsid w:val="1AE9B692"/>
    <w:rsid w:val="1AEDC945"/>
    <w:rsid w:val="1AF021D3"/>
    <w:rsid w:val="1AF09B53"/>
    <w:rsid w:val="1AFC4AFD"/>
    <w:rsid w:val="1AFD6FCC"/>
    <w:rsid w:val="1B0181B7"/>
    <w:rsid w:val="1B09CD3C"/>
    <w:rsid w:val="1B11042D"/>
    <w:rsid w:val="1B11345D"/>
    <w:rsid w:val="1B129C3B"/>
    <w:rsid w:val="1B136DF4"/>
    <w:rsid w:val="1B13BC46"/>
    <w:rsid w:val="1B2428FB"/>
    <w:rsid w:val="1B259F33"/>
    <w:rsid w:val="1B26A61F"/>
    <w:rsid w:val="1B26DCDB"/>
    <w:rsid w:val="1B282876"/>
    <w:rsid w:val="1B29943B"/>
    <w:rsid w:val="1B2B9AE6"/>
    <w:rsid w:val="1B38A9F8"/>
    <w:rsid w:val="1B3913A5"/>
    <w:rsid w:val="1B3D924D"/>
    <w:rsid w:val="1B3F9388"/>
    <w:rsid w:val="1B42D14D"/>
    <w:rsid w:val="1B436A30"/>
    <w:rsid w:val="1B48B673"/>
    <w:rsid w:val="1B49AB8E"/>
    <w:rsid w:val="1B4A8291"/>
    <w:rsid w:val="1B4F041C"/>
    <w:rsid w:val="1B4F2F77"/>
    <w:rsid w:val="1B506366"/>
    <w:rsid w:val="1B5D8537"/>
    <w:rsid w:val="1B5FDF5E"/>
    <w:rsid w:val="1B61939E"/>
    <w:rsid w:val="1B65A3CA"/>
    <w:rsid w:val="1B6A30CD"/>
    <w:rsid w:val="1B6B887A"/>
    <w:rsid w:val="1B6E68E9"/>
    <w:rsid w:val="1B74E912"/>
    <w:rsid w:val="1B87E747"/>
    <w:rsid w:val="1B8B6777"/>
    <w:rsid w:val="1B9FC94C"/>
    <w:rsid w:val="1BA74F73"/>
    <w:rsid w:val="1BA78778"/>
    <w:rsid w:val="1BAD707D"/>
    <w:rsid w:val="1BB12D6B"/>
    <w:rsid w:val="1BB2618C"/>
    <w:rsid w:val="1BC523E7"/>
    <w:rsid w:val="1BC8912D"/>
    <w:rsid w:val="1BD04002"/>
    <w:rsid w:val="1BD894A0"/>
    <w:rsid w:val="1BD99287"/>
    <w:rsid w:val="1BDCBBBE"/>
    <w:rsid w:val="1BDD6C53"/>
    <w:rsid w:val="1BDEE9F3"/>
    <w:rsid w:val="1BE8ADE9"/>
    <w:rsid w:val="1BF253A8"/>
    <w:rsid w:val="1BF2BC24"/>
    <w:rsid w:val="1BFDB8D8"/>
    <w:rsid w:val="1C0AA5A4"/>
    <w:rsid w:val="1C0BD09B"/>
    <w:rsid w:val="1C12D8D0"/>
    <w:rsid w:val="1C18879B"/>
    <w:rsid w:val="1C1F92FC"/>
    <w:rsid w:val="1C213FFD"/>
    <w:rsid w:val="1C266884"/>
    <w:rsid w:val="1C2B925D"/>
    <w:rsid w:val="1C2F1F47"/>
    <w:rsid w:val="1C3441B0"/>
    <w:rsid w:val="1C3BD6EE"/>
    <w:rsid w:val="1C3FF6F1"/>
    <w:rsid w:val="1C42D796"/>
    <w:rsid w:val="1C440939"/>
    <w:rsid w:val="1C4AC721"/>
    <w:rsid w:val="1C4CADF2"/>
    <w:rsid w:val="1C4DDDC5"/>
    <w:rsid w:val="1C51769F"/>
    <w:rsid w:val="1C57E246"/>
    <w:rsid w:val="1C588441"/>
    <w:rsid w:val="1C645F8E"/>
    <w:rsid w:val="1C684232"/>
    <w:rsid w:val="1C6ACFE6"/>
    <w:rsid w:val="1C714E12"/>
    <w:rsid w:val="1C71E4A4"/>
    <w:rsid w:val="1C72CFA6"/>
    <w:rsid w:val="1C74E4DB"/>
    <w:rsid w:val="1C820DE1"/>
    <w:rsid w:val="1C827F8E"/>
    <w:rsid w:val="1C83A8AD"/>
    <w:rsid w:val="1C8950E2"/>
    <w:rsid w:val="1C8AC774"/>
    <w:rsid w:val="1C914891"/>
    <w:rsid w:val="1C91DEDC"/>
    <w:rsid w:val="1C93315F"/>
    <w:rsid w:val="1C986250"/>
    <w:rsid w:val="1C9B90F7"/>
    <w:rsid w:val="1C9D8285"/>
    <w:rsid w:val="1C9D95BB"/>
    <w:rsid w:val="1C9E44DA"/>
    <w:rsid w:val="1C9F4B47"/>
    <w:rsid w:val="1CA0EDD0"/>
    <w:rsid w:val="1CA3A952"/>
    <w:rsid w:val="1CA6B76F"/>
    <w:rsid w:val="1CA71174"/>
    <w:rsid w:val="1CAACD67"/>
    <w:rsid w:val="1CB3137A"/>
    <w:rsid w:val="1CB8646B"/>
    <w:rsid w:val="1CBAE6D4"/>
    <w:rsid w:val="1CBBAC27"/>
    <w:rsid w:val="1CBC6087"/>
    <w:rsid w:val="1CBDD913"/>
    <w:rsid w:val="1CBE8634"/>
    <w:rsid w:val="1CC1C6B9"/>
    <w:rsid w:val="1CC89E50"/>
    <w:rsid w:val="1CC9FC7D"/>
    <w:rsid w:val="1CCD4EED"/>
    <w:rsid w:val="1CD1293C"/>
    <w:rsid w:val="1CED8700"/>
    <w:rsid w:val="1CF824F7"/>
    <w:rsid w:val="1CFB3F05"/>
    <w:rsid w:val="1CFF6C0F"/>
    <w:rsid w:val="1D003C26"/>
    <w:rsid w:val="1D02475B"/>
    <w:rsid w:val="1D0A252E"/>
    <w:rsid w:val="1D0E0E54"/>
    <w:rsid w:val="1D27BBDA"/>
    <w:rsid w:val="1D29AE52"/>
    <w:rsid w:val="1D2AB66F"/>
    <w:rsid w:val="1D323CE4"/>
    <w:rsid w:val="1D327574"/>
    <w:rsid w:val="1D334D1E"/>
    <w:rsid w:val="1D3396FC"/>
    <w:rsid w:val="1D3F3EC9"/>
    <w:rsid w:val="1D45E63A"/>
    <w:rsid w:val="1D4B8284"/>
    <w:rsid w:val="1D4EA082"/>
    <w:rsid w:val="1D537EE2"/>
    <w:rsid w:val="1D556603"/>
    <w:rsid w:val="1D58073C"/>
    <w:rsid w:val="1D59992A"/>
    <w:rsid w:val="1D5E4DBF"/>
    <w:rsid w:val="1D6479C1"/>
    <w:rsid w:val="1D6485A5"/>
    <w:rsid w:val="1D699742"/>
    <w:rsid w:val="1D746B49"/>
    <w:rsid w:val="1D760479"/>
    <w:rsid w:val="1D788C1F"/>
    <w:rsid w:val="1D7A420B"/>
    <w:rsid w:val="1D7DB72A"/>
    <w:rsid w:val="1D884531"/>
    <w:rsid w:val="1D89494D"/>
    <w:rsid w:val="1D8AC0E5"/>
    <w:rsid w:val="1D8DA45D"/>
    <w:rsid w:val="1D8DCBB5"/>
    <w:rsid w:val="1D90DB12"/>
    <w:rsid w:val="1D9113C7"/>
    <w:rsid w:val="1D977BD8"/>
    <w:rsid w:val="1D9A6253"/>
    <w:rsid w:val="1D9C87BC"/>
    <w:rsid w:val="1DA65117"/>
    <w:rsid w:val="1DA69E81"/>
    <w:rsid w:val="1DA7A816"/>
    <w:rsid w:val="1DAD6B94"/>
    <w:rsid w:val="1DAFB23A"/>
    <w:rsid w:val="1DB798EE"/>
    <w:rsid w:val="1DBB0DFC"/>
    <w:rsid w:val="1DBBA6BE"/>
    <w:rsid w:val="1DBDC948"/>
    <w:rsid w:val="1DBDEE1F"/>
    <w:rsid w:val="1DD7BFCB"/>
    <w:rsid w:val="1DD85F26"/>
    <w:rsid w:val="1DDF8AE4"/>
    <w:rsid w:val="1DE2BF4C"/>
    <w:rsid w:val="1DE3BACF"/>
    <w:rsid w:val="1DE7F011"/>
    <w:rsid w:val="1DEB4352"/>
    <w:rsid w:val="1DEF8048"/>
    <w:rsid w:val="1DF01AF8"/>
    <w:rsid w:val="1DF2BBC9"/>
    <w:rsid w:val="1DFA8CC6"/>
    <w:rsid w:val="1DFB93A3"/>
    <w:rsid w:val="1DFC7494"/>
    <w:rsid w:val="1DFC9D57"/>
    <w:rsid w:val="1E08440B"/>
    <w:rsid w:val="1E084DF7"/>
    <w:rsid w:val="1E093338"/>
    <w:rsid w:val="1E0E173B"/>
    <w:rsid w:val="1E1EBBF3"/>
    <w:rsid w:val="1E1F3BA3"/>
    <w:rsid w:val="1E211DF3"/>
    <w:rsid w:val="1E230665"/>
    <w:rsid w:val="1E2309C5"/>
    <w:rsid w:val="1E267C08"/>
    <w:rsid w:val="1E27419B"/>
    <w:rsid w:val="1E33A5D9"/>
    <w:rsid w:val="1E3782CB"/>
    <w:rsid w:val="1E37ACAA"/>
    <w:rsid w:val="1E3FF292"/>
    <w:rsid w:val="1E40FEC4"/>
    <w:rsid w:val="1E42FB80"/>
    <w:rsid w:val="1E43060E"/>
    <w:rsid w:val="1E4AB6DB"/>
    <w:rsid w:val="1E50A008"/>
    <w:rsid w:val="1E52E907"/>
    <w:rsid w:val="1E547F79"/>
    <w:rsid w:val="1E54BB1E"/>
    <w:rsid w:val="1E558505"/>
    <w:rsid w:val="1E5959DF"/>
    <w:rsid w:val="1E5C2F2B"/>
    <w:rsid w:val="1E5D2A9B"/>
    <w:rsid w:val="1E5F398A"/>
    <w:rsid w:val="1E6128F7"/>
    <w:rsid w:val="1E620B7E"/>
    <w:rsid w:val="1E64F340"/>
    <w:rsid w:val="1E653D89"/>
    <w:rsid w:val="1E686A62"/>
    <w:rsid w:val="1E686E30"/>
    <w:rsid w:val="1E7094D4"/>
    <w:rsid w:val="1E8344D6"/>
    <w:rsid w:val="1E86B08C"/>
    <w:rsid w:val="1E878134"/>
    <w:rsid w:val="1E8DFC2A"/>
    <w:rsid w:val="1E92698D"/>
    <w:rsid w:val="1E95E2D5"/>
    <w:rsid w:val="1E95E575"/>
    <w:rsid w:val="1E9631BE"/>
    <w:rsid w:val="1E96EC88"/>
    <w:rsid w:val="1E9A0A06"/>
    <w:rsid w:val="1E9A8F1A"/>
    <w:rsid w:val="1E9B44D2"/>
    <w:rsid w:val="1EA1E7A1"/>
    <w:rsid w:val="1EA2C7E8"/>
    <w:rsid w:val="1EB00792"/>
    <w:rsid w:val="1EBEDF9F"/>
    <w:rsid w:val="1ECBD936"/>
    <w:rsid w:val="1ECE4D44"/>
    <w:rsid w:val="1ED4AC2A"/>
    <w:rsid w:val="1ED7B74C"/>
    <w:rsid w:val="1ED8A306"/>
    <w:rsid w:val="1ED8DD57"/>
    <w:rsid w:val="1EDDC596"/>
    <w:rsid w:val="1EE56720"/>
    <w:rsid w:val="1EE8468B"/>
    <w:rsid w:val="1EF53D24"/>
    <w:rsid w:val="1EF60BD2"/>
    <w:rsid w:val="1EF70F17"/>
    <w:rsid w:val="1EFD49C8"/>
    <w:rsid w:val="1F03DEE2"/>
    <w:rsid w:val="1F14DF38"/>
    <w:rsid w:val="1F15C3B0"/>
    <w:rsid w:val="1F1661CD"/>
    <w:rsid w:val="1F16A0C5"/>
    <w:rsid w:val="1F1A6B8E"/>
    <w:rsid w:val="1F1DBAF8"/>
    <w:rsid w:val="1F1E4B1D"/>
    <w:rsid w:val="1F21EC9B"/>
    <w:rsid w:val="1F2317D7"/>
    <w:rsid w:val="1F2C2B2F"/>
    <w:rsid w:val="1F2C9374"/>
    <w:rsid w:val="1F34CA59"/>
    <w:rsid w:val="1F38EA28"/>
    <w:rsid w:val="1F3BB451"/>
    <w:rsid w:val="1F3E01AE"/>
    <w:rsid w:val="1F40C5B0"/>
    <w:rsid w:val="1F430AC8"/>
    <w:rsid w:val="1F5000C3"/>
    <w:rsid w:val="1F5012F7"/>
    <w:rsid w:val="1F52C023"/>
    <w:rsid w:val="1F538C2B"/>
    <w:rsid w:val="1F61E5CE"/>
    <w:rsid w:val="1F654DFE"/>
    <w:rsid w:val="1F67DDE4"/>
    <w:rsid w:val="1F6A2E98"/>
    <w:rsid w:val="1F6AC686"/>
    <w:rsid w:val="1F7729F0"/>
    <w:rsid w:val="1F77641D"/>
    <w:rsid w:val="1F781652"/>
    <w:rsid w:val="1F78752C"/>
    <w:rsid w:val="1F7E3760"/>
    <w:rsid w:val="1F7EA7C4"/>
    <w:rsid w:val="1F84BEF3"/>
    <w:rsid w:val="1F84CC0A"/>
    <w:rsid w:val="1F8720A9"/>
    <w:rsid w:val="1F87F3D7"/>
    <w:rsid w:val="1F8A23AB"/>
    <w:rsid w:val="1F955F48"/>
    <w:rsid w:val="1FA00B2C"/>
    <w:rsid w:val="1FA27EB0"/>
    <w:rsid w:val="1FA83022"/>
    <w:rsid w:val="1FA8DBD1"/>
    <w:rsid w:val="1FA99062"/>
    <w:rsid w:val="1FACB923"/>
    <w:rsid w:val="1FAE9328"/>
    <w:rsid w:val="1FB04CC4"/>
    <w:rsid w:val="1FB2B215"/>
    <w:rsid w:val="1FB85195"/>
    <w:rsid w:val="1FBC9BF6"/>
    <w:rsid w:val="1FCB3BF9"/>
    <w:rsid w:val="1FCFB8D4"/>
    <w:rsid w:val="1FD73BF3"/>
    <w:rsid w:val="1FD7B85B"/>
    <w:rsid w:val="1FD8E371"/>
    <w:rsid w:val="1FDE7D29"/>
    <w:rsid w:val="1FE171EF"/>
    <w:rsid w:val="1FE6A55E"/>
    <w:rsid w:val="1FE70286"/>
    <w:rsid w:val="1FE9453A"/>
    <w:rsid w:val="1FEBBDC9"/>
    <w:rsid w:val="1FEC02C5"/>
    <w:rsid w:val="1FF2544A"/>
    <w:rsid w:val="1FFAC563"/>
    <w:rsid w:val="1FFB6F4E"/>
    <w:rsid w:val="2000AFD5"/>
    <w:rsid w:val="200777EA"/>
    <w:rsid w:val="20127E04"/>
    <w:rsid w:val="2012A0C7"/>
    <w:rsid w:val="201C4078"/>
    <w:rsid w:val="201D6656"/>
    <w:rsid w:val="201F9800"/>
    <w:rsid w:val="2024828E"/>
    <w:rsid w:val="2024E480"/>
    <w:rsid w:val="2025D6CE"/>
    <w:rsid w:val="2027D45E"/>
    <w:rsid w:val="202B8824"/>
    <w:rsid w:val="202BC8F8"/>
    <w:rsid w:val="202E3D88"/>
    <w:rsid w:val="202E6EA6"/>
    <w:rsid w:val="20308353"/>
    <w:rsid w:val="2034B96D"/>
    <w:rsid w:val="20358DA6"/>
    <w:rsid w:val="20364ED2"/>
    <w:rsid w:val="203EB352"/>
    <w:rsid w:val="203FA192"/>
    <w:rsid w:val="20426B9A"/>
    <w:rsid w:val="204BF055"/>
    <w:rsid w:val="204D981F"/>
    <w:rsid w:val="20545348"/>
    <w:rsid w:val="205687A7"/>
    <w:rsid w:val="205C086B"/>
    <w:rsid w:val="205E1CEC"/>
    <w:rsid w:val="205EAABF"/>
    <w:rsid w:val="205F8F7D"/>
    <w:rsid w:val="2061BACF"/>
    <w:rsid w:val="2065EED9"/>
    <w:rsid w:val="2067AFD7"/>
    <w:rsid w:val="20681558"/>
    <w:rsid w:val="20817985"/>
    <w:rsid w:val="20852507"/>
    <w:rsid w:val="208CCB61"/>
    <w:rsid w:val="208DF473"/>
    <w:rsid w:val="2094B03F"/>
    <w:rsid w:val="20996390"/>
    <w:rsid w:val="209A9F17"/>
    <w:rsid w:val="209B3B6F"/>
    <w:rsid w:val="20A2CDC6"/>
    <w:rsid w:val="20A63D74"/>
    <w:rsid w:val="20A96981"/>
    <w:rsid w:val="20AE9421"/>
    <w:rsid w:val="20AF2646"/>
    <w:rsid w:val="20B1E2CD"/>
    <w:rsid w:val="20B33516"/>
    <w:rsid w:val="20B43C7A"/>
    <w:rsid w:val="20B6E8C6"/>
    <w:rsid w:val="20BA60DE"/>
    <w:rsid w:val="20C2EF3F"/>
    <w:rsid w:val="20C5F2C4"/>
    <w:rsid w:val="20CB329F"/>
    <w:rsid w:val="20CE30FB"/>
    <w:rsid w:val="20D2AA7E"/>
    <w:rsid w:val="20E60DF2"/>
    <w:rsid w:val="20EB1CC3"/>
    <w:rsid w:val="20ECAFF0"/>
    <w:rsid w:val="20FE39F3"/>
    <w:rsid w:val="2101CD97"/>
    <w:rsid w:val="2102C703"/>
    <w:rsid w:val="21037B20"/>
    <w:rsid w:val="2103FE3F"/>
    <w:rsid w:val="21049E6B"/>
    <w:rsid w:val="21077CC6"/>
    <w:rsid w:val="21080F01"/>
    <w:rsid w:val="210E2C2D"/>
    <w:rsid w:val="21161D53"/>
    <w:rsid w:val="2119CF57"/>
    <w:rsid w:val="211B210F"/>
    <w:rsid w:val="211B51E9"/>
    <w:rsid w:val="21208C4B"/>
    <w:rsid w:val="2122E414"/>
    <w:rsid w:val="21262266"/>
    <w:rsid w:val="212B6816"/>
    <w:rsid w:val="213794F9"/>
    <w:rsid w:val="2138910D"/>
    <w:rsid w:val="2138D20B"/>
    <w:rsid w:val="213B7948"/>
    <w:rsid w:val="213F63E0"/>
    <w:rsid w:val="2147C7CF"/>
    <w:rsid w:val="214BDBB8"/>
    <w:rsid w:val="214D5F42"/>
    <w:rsid w:val="2150F8F0"/>
    <w:rsid w:val="21538528"/>
    <w:rsid w:val="2155694E"/>
    <w:rsid w:val="215EA5FD"/>
    <w:rsid w:val="216469F1"/>
    <w:rsid w:val="216A332C"/>
    <w:rsid w:val="216A8D7E"/>
    <w:rsid w:val="216B9066"/>
    <w:rsid w:val="2171C8E5"/>
    <w:rsid w:val="217DA95E"/>
    <w:rsid w:val="21873A1E"/>
    <w:rsid w:val="218A97A3"/>
    <w:rsid w:val="218BB5C3"/>
    <w:rsid w:val="21937504"/>
    <w:rsid w:val="21949DDC"/>
    <w:rsid w:val="21A41513"/>
    <w:rsid w:val="21A9E71E"/>
    <w:rsid w:val="21A9F372"/>
    <w:rsid w:val="21AE9181"/>
    <w:rsid w:val="21AF71C5"/>
    <w:rsid w:val="21B0B4AC"/>
    <w:rsid w:val="21B540D8"/>
    <w:rsid w:val="21B95791"/>
    <w:rsid w:val="21C3A542"/>
    <w:rsid w:val="21CBC325"/>
    <w:rsid w:val="21CFBE89"/>
    <w:rsid w:val="21D723AC"/>
    <w:rsid w:val="21DC0C1C"/>
    <w:rsid w:val="21DF7F5A"/>
    <w:rsid w:val="21E1D5C8"/>
    <w:rsid w:val="21E22579"/>
    <w:rsid w:val="21E2636B"/>
    <w:rsid w:val="21F15B5E"/>
    <w:rsid w:val="21F26BA2"/>
    <w:rsid w:val="21F42C84"/>
    <w:rsid w:val="21F717C6"/>
    <w:rsid w:val="21F94474"/>
    <w:rsid w:val="21F96DBF"/>
    <w:rsid w:val="21F99E4B"/>
    <w:rsid w:val="2202E913"/>
    <w:rsid w:val="220917F4"/>
    <w:rsid w:val="2212CAAC"/>
    <w:rsid w:val="221630DA"/>
    <w:rsid w:val="22178F83"/>
    <w:rsid w:val="221B3F5B"/>
    <w:rsid w:val="2221087D"/>
    <w:rsid w:val="222D2792"/>
    <w:rsid w:val="222FB25F"/>
    <w:rsid w:val="22306811"/>
    <w:rsid w:val="22327B6C"/>
    <w:rsid w:val="22349107"/>
    <w:rsid w:val="2236AE28"/>
    <w:rsid w:val="223AF693"/>
    <w:rsid w:val="223E44E1"/>
    <w:rsid w:val="223F7CF3"/>
    <w:rsid w:val="2246469C"/>
    <w:rsid w:val="2246ACA1"/>
    <w:rsid w:val="224702E1"/>
    <w:rsid w:val="22535894"/>
    <w:rsid w:val="2253CF8D"/>
    <w:rsid w:val="2256A4FB"/>
    <w:rsid w:val="225F58A1"/>
    <w:rsid w:val="2264F36F"/>
    <w:rsid w:val="226B764A"/>
    <w:rsid w:val="227143D6"/>
    <w:rsid w:val="22720490"/>
    <w:rsid w:val="2274C3C2"/>
    <w:rsid w:val="2275DE39"/>
    <w:rsid w:val="2279C555"/>
    <w:rsid w:val="227D7830"/>
    <w:rsid w:val="227DC8C4"/>
    <w:rsid w:val="227E334C"/>
    <w:rsid w:val="227F8DEC"/>
    <w:rsid w:val="22812D3A"/>
    <w:rsid w:val="22832687"/>
    <w:rsid w:val="228CF92E"/>
    <w:rsid w:val="2295C7B6"/>
    <w:rsid w:val="2296EE49"/>
    <w:rsid w:val="229AC8AD"/>
    <w:rsid w:val="22A2D4C8"/>
    <w:rsid w:val="22AC4481"/>
    <w:rsid w:val="22AEB22F"/>
    <w:rsid w:val="22B16C61"/>
    <w:rsid w:val="22B2B4BC"/>
    <w:rsid w:val="22B3D0EA"/>
    <w:rsid w:val="22B431EA"/>
    <w:rsid w:val="22BAFBEE"/>
    <w:rsid w:val="22C4A275"/>
    <w:rsid w:val="22C66401"/>
    <w:rsid w:val="22D1B796"/>
    <w:rsid w:val="22D3A411"/>
    <w:rsid w:val="22D8ACA4"/>
    <w:rsid w:val="22E3C445"/>
    <w:rsid w:val="22E4EDD8"/>
    <w:rsid w:val="230046C3"/>
    <w:rsid w:val="23053928"/>
    <w:rsid w:val="23093288"/>
    <w:rsid w:val="230A1633"/>
    <w:rsid w:val="230C3F4F"/>
    <w:rsid w:val="230C7F8A"/>
    <w:rsid w:val="2310F5DC"/>
    <w:rsid w:val="23145448"/>
    <w:rsid w:val="2319A9FA"/>
    <w:rsid w:val="231AF947"/>
    <w:rsid w:val="231BD026"/>
    <w:rsid w:val="23238434"/>
    <w:rsid w:val="23284454"/>
    <w:rsid w:val="232A7D38"/>
    <w:rsid w:val="232B2070"/>
    <w:rsid w:val="23354875"/>
    <w:rsid w:val="23370DF3"/>
    <w:rsid w:val="233804B7"/>
    <w:rsid w:val="234055C4"/>
    <w:rsid w:val="2341ABB0"/>
    <w:rsid w:val="23438DDC"/>
    <w:rsid w:val="23485E40"/>
    <w:rsid w:val="234F320C"/>
    <w:rsid w:val="235B0067"/>
    <w:rsid w:val="235DB685"/>
    <w:rsid w:val="236053BF"/>
    <w:rsid w:val="23611418"/>
    <w:rsid w:val="23641463"/>
    <w:rsid w:val="2366AAC2"/>
    <w:rsid w:val="2367010B"/>
    <w:rsid w:val="236A1BE2"/>
    <w:rsid w:val="236B9273"/>
    <w:rsid w:val="236BE6D4"/>
    <w:rsid w:val="236ECB63"/>
    <w:rsid w:val="2371120C"/>
    <w:rsid w:val="23762864"/>
    <w:rsid w:val="238064BE"/>
    <w:rsid w:val="2386F560"/>
    <w:rsid w:val="2389D9CA"/>
    <w:rsid w:val="238B695D"/>
    <w:rsid w:val="2398A0A0"/>
    <w:rsid w:val="239CD706"/>
    <w:rsid w:val="23A0B019"/>
    <w:rsid w:val="23A83D12"/>
    <w:rsid w:val="23AEB57D"/>
    <w:rsid w:val="23B0F0C7"/>
    <w:rsid w:val="23B280F0"/>
    <w:rsid w:val="23B37BD7"/>
    <w:rsid w:val="23B7D44D"/>
    <w:rsid w:val="23B832D6"/>
    <w:rsid w:val="23C3D6DC"/>
    <w:rsid w:val="23C90C38"/>
    <w:rsid w:val="23CC88D5"/>
    <w:rsid w:val="23CF42AB"/>
    <w:rsid w:val="23D079DE"/>
    <w:rsid w:val="23D4546C"/>
    <w:rsid w:val="23D4FC13"/>
    <w:rsid w:val="23E02097"/>
    <w:rsid w:val="23E1462D"/>
    <w:rsid w:val="23E293C2"/>
    <w:rsid w:val="23E3D6AC"/>
    <w:rsid w:val="23E4E13C"/>
    <w:rsid w:val="23EA7115"/>
    <w:rsid w:val="23EEB8B5"/>
    <w:rsid w:val="23FA0885"/>
    <w:rsid w:val="2400A0D2"/>
    <w:rsid w:val="240278CE"/>
    <w:rsid w:val="2405E9CE"/>
    <w:rsid w:val="2408AF73"/>
    <w:rsid w:val="240ADEC5"/>
    <w:rsid w:val="240E1740"/>
    <w:rsid w:val="2411DC70"/>
    <w:rsid w:val="2417C0B5"/>
    <w:rsid w:val="24192BE9"/>
    <w:rsid w:val="241A28DC"/>
    <w:rsid w:val="241DBE52"/>
    <w:rsid w:val="24236CA3"/>
    <w:rsid w:val="24247CFC"/>
    <w:rsid w:val="24253392"/>
    <w:rsid w:val="2425356D"/>
    <w:rsid w:val="24295B2C"/>
    <w:rsid w:val="242CB084"/>
    <w:rsid w:val="242E5354"/>
    <w:rsid w:val="24377C3A"/>
    <w:rsid w:val="24393DE2"/>
    <w:rsid w:val="243A2896"/>
    <w:rsid w:val="24434AE8"/>
    <w:rsid w:val="24485769"/>
    <w:rsid w:val="245017E9"/>
    <w:rsid w:val="2450A38F"/>
    <w:rsid w:val="24580D8E"/>
    <w:rsid w:val="2458D12A"/>
    <w:rsid w:val="24594CCA"/>
    <w:rsid w:val="245F3F7F"/>
    <w:rsid w:val="2460487B"/>
    <w:rsid w:val="24639318"/>
    <w:rsid w:val="2464CE3E"/>
    <w:rsid w:val="2466AB0B"/>
    <w:rsid w:val="24681813"/>
    <w:rsid w:val="246BA88C"/>
    <w:rsid w:val="246DACE1"/>
    <w:rsid w:val="24702480"/>
    <w:rsid w:val="2475915E"/>
    <w:rsid w:val="2478956E"/>
    <w:rsid w:val="247D858C"/>
    <w:rsid w:val="24814419"/>
    <w:rsid w:val="248D1262"/>
    <w:rsid w:val="248DEAA0"/>
    <w:rsid w:val="249050CF"/>
    <w:rsid w:val="24923828"/>
    <w:rsid w:val="2495227D"/>
    <w:rsid w:val="24A28B4F"/>
    <w:rsid w:val="24A4F613"/>
    <w:rsid w:val="24A60B8E"/>
    <w:rsid w:val="24B30F08"/>
    <w:rsid w:val="24B57C55"/>
    <w:rsid w:val="24C13576"/>
    <w:rsid w:val="24C59F26"/>
    <w:rsid w:val="24C6FADF"/>
    <w:rsid w:val="24C82E84"/>
    <w:rsid w:val="24C9F609"/>
    <w:rsid w:val="24D0C154"/>
    <w:rsid w:val="24D5DFBB"/>
    <w:rsid w:val="24D6F842"/>
    <w:rsid w:val="24DA0D2B"/>
    <w:rsid w:val="24DD1DBF"/>
    <w:rsid w:val="24DE7761"/>
    <w:rsid w:val="24DFB6E0"/>
    <w:rsid w:val="24E22C32"/>
    <w:rsid w:val="24E9BE1A"/>
    <w:rsid w:val="24F143F9"/>
    <w:rsid w:val="24F555DA"/>
    <w:rsid w:val="24F65C9A"/>
    <w:rsid w:val="24F93DB9"/>
    <w:rsid w:val="24FCE208"/>
    <w:rsid w:val="24FD5F35"/>
    <w:rsid w:val="24FDC429"/>
    <w:rsid w:val="2500C88D"/>
    <w:rsid w:val="250A377E"/>
    <w:rsid w:val="250A9254"/>
    <w:rsid w:val="250BD070"/>
    <w:rsid w:val="2513DA7F"/>
    <w:rsid w:val="2516C6D8"/>
    <w:rsid w:val="251A9E82"/>
    <w:rsid w:val="251FD2B6"/>
    <w:rsid w:val="2520B759"/>
    <w:rsid w:val="2521322B"/>
    <w:rsid w:val="25282F64"/>
    <w:rsid w:val="2529FE60"/>
    <w:rsid w:val="25326068"/>
    <w:rsid w:val="2537CCF5"/>
    <w:rsid w:val="253A9788"/>
    <w:rsid w:val="253C0EE2"/>
    <w:rsid w:val="253CDE25"/>
    <w:rsid w:val="25479993"/>
    <w:rsid w:val="254CE473"/>
    <w:rsid w:val="254D11A8"/>
    <w:rsid w:val="25512954"/>
    <w:rsid w:val="25569E5C"/>
    <w:rsid w:val="25573B08"/>
    <w:rsid w:val="2559D32A"/>
    <w:rsid w:val="255CDF80"/>
    <w:rsid w:val="255EBB25"/>
    <w:rsid w:val="25716C1D"/>
    <w:rsid w:val="2573CC84"/>
    <w:rsid w:val="257810DF"/>
    <w:rsid w:val="2579D697"/>
    <w:rsid w:val="257CA47C"/>
    <w:rsid w:val="257FA21C"/>
    <w:rsid w:val="2582222A"/>
    <w:rsid w:val="2582C7BC"/>
    <w:rsid w:val="2586158D"/>
    <w:rsid w:val="258A6600"/>
    <w:rsid w:val="258C2871"/>
    <w:rsid w:val="25940B66"/>
    <w:rsid w:val="2598EF8E"/>
    <w:rsid w:val="2598F0FA"/>
    <w:rsid w:val="259E5983"/>
    <w:rsid w:val="25A6C43B"/>
    <w:rsid w:val="25A9E2FA"/>
    <w:rsid w:val="25B334CD"/>
    <w:rsid w:val="25B7E7A0"/>
    <w:rsid w:val="25B9F6DA"/>
    <w:rsid w:val="25BBCAAF"/>
    <w:rsid w:val="25C28523"/>
    <w:rsid w:val="25C723F0"/>
    <w:rsid w:val="25C822F5"/>
    <w:rsid w:val="25CB1A29"/>
    <w:rsid w:val="25D034B2"/>
    <w:rsid w:val="25D06AB2"/>
    <w:rsid w:val="25D5306C"/>
    <w:rsid w:val="25D72C60"/>
    <w:rsid w:val="25E14C78"/>
    <w:rsid w:val="25E7B6B0"/>
    <w:rsid w:val="25F2328D"/>
    <w:rsid w:val="25F41FCD"/>
    <w:rsid w:val="25F4D19F"/>
    <w:rsid w:val="25FCAD7A"/>
    <w:rsid w:val="260489B9"/>
    <w:rsid w:val="2607E4C2"/>
    <w:rsid w:val="260C4F54"/>
    <w:rsid w:val="260C6032"/>
    <w:rsid w:val="260DEC02"/>
    <w:rsid w:val="2617DD2C"/>
    <w:rsid w:val="261C6EE7"/>
    <w:rsid w:val="2620B9BB"/>
    <w:rsid w:val="26223429"/>
    <w:rsid w:val="2624DEDA"/>
    <w:rsid w:val="2625F04F"/>
    <w:rsid w:val="2627B5BA"/>
    <w:rsid w:val="2627E9BE"/>
    <w:rsid w:val="262A49A4"/>
    <w:rsid w:val="262FE169"/>
    <w:rsid w:val="26320D8C"/>
    <w:rsid w:val="263659D8"/>
    <w:rsid w:val="26366591"/>
    <w:rsid w:val="263AEBC1"/>
    <w:rsid w:val="2645553B"/>
    <w:rsid w:val="264650F5"/>
    <w:rsid w:val="2647FE5D"/>
    <w:rsid w:val="264F4FA3"/>
    <w:rsid w:val="26515CBA"/>
    <w:rsid w:val="26516F63"/>
    <w:rsid w:val="265A2897"/>
    <w:rsid w:val="265D7AE9"/>
    <w:rsid w:val="265E2C43"/>
    <w:rsid w:val="266A0F15"/>
    <w:rsid w:val="266EDDCC"/>
    <w:rsid w:val="26710D72"/>
    <w:rsid w:val="2674240B"/>
    <w:rsid w:val="2676D6CD"/>
    <w:rsid w:val="267B69DE"/>
    <w:rsid w:val="267EC117"/>
    <w:rsid w:val="268393DF"/>
    <w:rsid w:val="268E8AAF"/>
    <w:rsid w:val="26904FFB"/>
    <w:rsid w:val="26995304"/>
    <w:rsid w:val="269AF7C2"/>
    <w:rsid w:val="269B5F4B"/>
    <w:rsid w:val="269C345A"/>
    <w:rsid w:val="26A2C21B"/>
    <w:rsid w:val="26A6DEAE"/>
    <w:rsid w:val="26AC13A9"/>
    <w:rsid w:val="26AD06A6"/>
    <w:rsid w:val="26B1FDE0"/>
    <w:rsid w:val="26B3B5A3"/>
    <w:rsid w:val="26B7C7EC"/>
    <w:rsid w:val="26C91B35"/>
    <w:rsid w:val="26DA8636"/>
    <w:rsid w:val="26DB3110"/>
    <w:rsid w:val="26E6935D"/>
    <w:rsid w:val="26E6C622"/>
    <w:rsid w:val="26E98D94"/>
    <w:rsid w:val="26EA896B"/>
    <w:rsid w:val="26ED8815"/>
    <w:rsid w:val="26EDFC6D"/>
    <w:rsid w:val="26EE8686"/>
    <w:rsid w:val="26F26134"/>
    <w:rsid w:val="26F686E1"/>
    <w:rsid w:val="26F94FEE"/>
    <w:rsid w:val="26FBE97E"/>
    <w:rsid w:val="270226D4"/>
    <w:rsid w:val="2707B0A2"/>
    <w:rsid w:val="270B1B05"/>
    <w:rsid w:val="271436BC"/>
    <w:rsid w:val="2716B483"/>
    <w:rsid w:val="2716F33B"/>
    <w:rsid w:val="271AB758"/>
    <w:rsid w:val="2721076B"/>
    <w:rsid w:val="27212451"/>
    <w:rsid w:val="2723F20F"/>
    <w:rsid w:val="2724CD55"/>
    <w:rsid w:val="2736A896"/>
    <w:rsid w:val="273869FF"/>
    <w:rsid w:val="2738876A"/>
    <w:rsid w:val="273D3FD5"/>
    <w:rsid w:val="274339D2"/>
    <w:rsid w:val="2746AC6D"/>
    <w:rsid w:val="27493F90"/>
    <w:rsid w:val="27497D55"/>
    <w:rsid w:val="275BFF73"/>
    <w:rsid w:val="275CA7ED"/>
    <w:rsid w:val="275CBBD4"/>
    <w:rsid w:val="276328BA"/>
    <w:rsid w:val="276B8AA2"/>
    <w:rsid w:val="2770D2E0"/>
    <w:rsid w:val="2776B266"/>
    <w:rsid w:val="2777DA42"/>
    <w:rsid w:val="2778FD3B"/>
    <w:rsid w:val="277C4520"/>
    <w:rsid w:val="277D0F63"/>
    <w:rsid w:val="27818E34"/>
    <w:rsid w:val="2782814D"/>
    <w:rsid w:val="278434F4"/>
    <w:rsid w:val="2784E305"/>
    <w:rsid w:val="2785E7FF"/>
    <w:rsid w:val="2785F687"/>
    <w:rsid w:val="2786BCE0"/>
    <w:rsid w:val="278CD31F"/>
    <w:rsid w:val="27922D68"/>
    <w:rsid w:val="27946107"/>
    <w:rsid w:val="2795C957"/>
    <w:rsid w:val="2796B2CF"/>
    <w:rsid w:val="279EBDBE"/>
    <w:rsid w:val="27A18B95"/>
    <w:rsid w:val="27A99B7D"/>
    <w:rsid w:val="27AA0368"/>
    <w:rsid w:val="27AC459E"/>
    <w:rsid w:val="27B041F0"/>
    <w:rsid w:val="27B275BC"/>
    <w:rsid w:val="27B4171D"/>
    <w:rsid w:val="27B47F18"/>
    <w:rsid w:val="27B714E4"/>
    <w:rsid w:val="27B795E1"/>
    <w:rsid w:val="27BB6DFD"/>
    <w:rsid w:val="27BCA7FA"/>
    <w:rsid w:val="27BDC344"/>
    <w:rsid w:val="27BE138A"/>
    <w:rsid w:val="27C4551A"/>
    <w:rsid w:val="27D2FB7C"/>
    <w:rsid w:val="27D2FFDF"/>
    <w:rsid w:val="27D4A676"/>
    <w:rsid w:val="27D769CA"/>
    <w:rsid w:val="27D8E619"/>
    <w:rsid w:val="27DA6C60"/>
    <w:rsid w:val="27DE9779"/>
    <w:rsid w:val="27E14BDE"/>
    <w:rsid w:val="27EF3592"/>
    <w:rsid w:val="27F073D5"/>
    <w:rsid w:val="27F39FAA"/>
    <w:rsid w:val="27F7E677"/>
    <w:rsid w:val="27FC48DC"/>
    <w:rsid w:val="280634E9"/>
    <w:rsid w:val="28099D07"/>
    <w:rsid w:val="2809E5BA"/>
    <w:rsid w:val="280F36B4"/>
    <w:rsid w:val="2811123C"/>
    <w:rsid w:val="2814CE92"/>
    <w:rsid w:val="281BCBE2"/>
    <w:rsid w:val="281D1E28"/>
    <w:rsid w:val="281F4573"/>
    <w:rsid w:val="2820BEC6"/>
    <w:rsid w:val="28216F98"/>
    <w:rsid w:val="28217683"/>
    <w:rsid w:val="2825A603"/>
    <w:rsid w:val="2826D7C3"/>
    <w:rsid w:val="28274C28"/>
    <w:rsid w:val="2828DECB"/>
    <w:rsid w:val="28295D78"/>
    <w:rsid w:val="282C5BB7"/>
    <w:rsid w:val="282D1702"/>
    <w:rsid w:val="282E151B"/>
    <w:rsid w:val="282F6820"/>
    <w:rsid w:val="2831849B"/>
    <w:rsid w:val="2839D53D"/>
    <w:rsid w:val="283B55F1"/>
    <w:rsid w:val="28473A84"/>
    <w:rsid w:val="2848857E"/>
    <w:rsid w:val="2856DD0D"/>
    <w:rsid w:val="285790A4"/>
    <w:rsid w:val="285B81F8"/>
    <w:rsid w:val="28608643"/>
    <w:rsid w:val="286765E1"/>
    <w:rsid w:val="287849E9"/>
    <w:rsid w:val="28799DEB"/>
    <w:rsid w:val="287BA062"/>
    <w:rsid w:val="287F3DB3"/>
    <w:rsid w:val="2882D9F0"/>
    <w:rsid w:val="2889A451"/>
    <w:rsid w:val="2889C1A6"/>
    <w:rsid w:val="288C7393"/>
    <w:rsid w:val="2892568F"/>
    <w:rsid w:val="289F0CA2"/>
    <w:rsid w:val="28A6F278"/>
    <w:rsid w:val="28AC0852"/>
    <w:rsid w:val="28AED86D"/>
    <w:rsid w:val="28AFC716"/>
    <w:rsid w:val="28B6C1FF"/>
    <w:rsid w:val="28B9E494"/>
    <w:rsid w:val="28BEBF23"/>
    <w:rsid w:val="28C120B6"/>
    <w:rsid w:val="28C3A2BB"/>
    <w:rsid w:val="28C58535"/>
    <w:rsid w:val="28D5499D"/>
    <w:rsid w:val="28D691AC"/>
    <w:rsid w:val="28D9EDAD"/>
    <w:rsid w:val="28DABC9C"/>
    <w:rsid w:val="28DBA470"/>
    <w:rsid w:val="28DC9AE9"/>
    <w:rsid w:val="28DE06A2"/>
    <w:rsid w:val="28E178FD"/>
    <w:rsid w:val="28E52E56"/>
    <w:rsid w:val="28E6BCDA"/>
    <w:rsid w:val="28E799C5"/>
    <w:rsid w:val="28E8DA4C"/>
    <w:rsid w:val="28EA97A0"/>
    <w:rsid w:val="28EBEC61"/>
    <w:rsid w:val="28F10B0F"/>
    <w:rsid w:val="28F1F769"/>
    <w:rsid w:val="28F3E4B4"/>
    <w:rsid w:val="28F4CEA6"/>
    <w:rsid w:val="28F6FE2C"/>
    <w:rsid w:val="28F8674C"/>
    <w:rsid w:val="28F8E0D5"/>
    <w:rsid w:val="29003CF9"/>
    <w:rsid w:val="290C2BCB"/>
    <w:rsid w:val="291B5428"/>
    <w:rsid w:val="291D2E3C"/>
    <w:rsid w:val="29214C9F"/>
    <w:rsid w:val="2924AF4D"/>
    <w:rsid w:val="292C1E7E"/>
    <w:rsid w:val="29460827"/>
    <w:rsid w:val="294759BF"/>
    <w:rsid w:val="294AAD63"/>
    <w:rsid w:val="295554C5"/>
    <w:rsid w:val="295787A9"/>
    <w:rsid w:val="295B82E3"/>
    <w:rsid w:val="2963FDED"/>
    <w:rsid w:val="29643BB9"/>
    <w:rsid w:val="2964FDDC"/>
    <w:rsid w:val="2969ED63"/>
    <w:rsid w:val="296AA7B1"/>
    <w:rsid w:val="296E5139"/>
    <w:rsid w:val="29726C32"/>
    <w:rsid w:val="2974E03B"/>
    <w:rsid w:val="297BA18B"/>
    <w:rsid w:val="297C9CB9"/>
    <w:rsid w:val="297CCBAE"/>
    <w:rsid w:val="298C6471"/>
    <w:rsid w:val="2993A1B3"/>
    <w:rsid w:val="29943D48"/>
    <w:rsid w:val="29959E6A"/>
    <w:rsid w:val="299960A7"/>
    <w:rsid w:val="299E3142"/>
    <w:rsid w:val="29A32DB9"/>
    <w:rsid w:val="29A4FC76"/>
    <w:rsid w:val="29A7DC6C"/>
    <w:rsid w:val="29ACE269"/>
    <w:rsid w:val="29ADE9C5"/>
    <w:rsid w:val="29B0710F"/>
    <w:rsid w:val="29B1DCE9"/>
    <w:rsid w:val="29B31771"/>
    <w:rsid w:val="29B45EE4"/>
    <w:rsid w:val="29B7B4EB"/>
    <w:rsid w:val="29C040AD"/>
    <w:rsid w:val="29C3692B"/>
    <w:rsid w:val="29C5DE04"/>
    <w:rsid w:val="29C6BB23"/>
    <w:rsid w:val="29C76CE9"/>
    <w:rsid w:val="29CCF55F"/>
    <w:rsid w:val="29CD534B"/>
    <w:rsid w:val="29D5EC46"/>
    <w:rsid w:val="29D769B2"/>
    <w:rsid w:val="29D8BD35"/>
    <w:rsid w:val="29DF32DC"/>
    <w:rsid w:val="29E4F646"/>
    <w:rsid w:val="29EB054D"/>
    <w:rsid w:val="29EB7F03"/>
    <w:rsid w:val="29EDCF08"/>
    <w:rsid w:val="29EE948E"/>
    <w:rsid w:val="29F22AB6"/>
    <w:rsid w:val="29F31632"/>
    <w:rsid w:val="29F6FA2A"/>
    <w:rsid w:val="2A0AAF71"/>
    <w:rsid w:val="2A0BE05F"/>
    <w:rsid w:val="2A19CE6E"/>
    <w:rsid w:val="2A2EF53C"/>
    <w:rsid w:val="2A31DADF"/>
    <w:rsid w:val="2A330774"/>
    <w:rsid w:val="2A3AC873"/>
    <w:rsid w:val="2A3CA78C"/>
    <w:rsid w:val="2A3F920D"/>
    <w:rsid w:val="2A46700C"/>
    <w:rsid w:val="2A4ED600"/>
    <w:rsid w:val="2A51F066"/>
    <w:rsid w:val="2A52BF9D"/>
    <w:rsid w:val="2A58C513"/>
    <w:rsid w:val="2A5E6036"/>
    <w:rsid w:val="2A61A6F0"/>
    <w:rsid w:val="2A68EA0C"/>
    <w:rsid w:val="2A6A2FDA"/>
    <w:rsid w:val="2A6D8E45"/>
    <w:rsid w:val="2A727B90"/>
    <w:rsid w:val="2A732080"/>
    <w:rsid w:val="2A78630A"/>
    <w:rsid w:val="2A7A0704"/>
    <w:rsid w:val="2A7F5450"/>
    <w:rsid w:val="2A8127C6"/>
    <w:rsid w:val="2A815802"/>
    <w:rsid w:val="2A8DADEA"/>
    <w:rsid w:val="2A8DE4D8"/>
    <w:rsid w:val="2A925295"/>
    <w:rsid w:val="2A93AF5F"/>
    <w:rsid w:val="2AA1FD60"/>
    <w:rsid w:val="2AA4D861"/>
    <w:rsid w:val="2AA77415"/>
    <w:rsid w:val="2AA8D9F3"/>
    <w:rsid w:val="2AAA7524"/>
    <w:rsid w:val="2AAB0C1E"/>
    <w:rsid w:val="2AB0733E"/>
    <w:rsid w:val="2ABC1C87"/>
    <w:rsid w:val="2ABDF559"/>
    <w:rsid w:val="2AC3B0D5"/>
    <w:rsid w:val="2AC419B2"/>
    <w:rsid w:val="2AC855C8"/>
    <w:rsid w:val="2ACBDD10"/>
    <w:rsid w:val="2ACD1CBD"/>
    <w:rsid w:val="2AD0960B"/>
    <w:rsid w:val="2AD43D88"/>
    <w:rsid w:val="2AE0520F"/>
    <w:rsid w:val="2AE7CC7E"/>
    <w:rsid w:val="2AE9C7F4"/>
    <w:rsid w:val="2AED33AE"/>
    <w:rsid w:val="2AF46E4C"/>
    <w:rsid w:val="2AFD73D5"/>
    <w:rsid w:val="2B0961D2"/>
    <w:rsid w:val="2B0DEEA0"/>
    <w:rsid w:val="2B0FE91E"/>
    <w:rsid w:val="2B128535"/>
    <w:rsid w:val="2B18715C"/>
    <w:rsid w:val="2B1DDDB4"/>
    <w:rsid w:val="2B233186"/>
    <w:rsid w:val="2B24EAC8"/>
    <w:rsid w:val="2B2741DC"/>
    <w:rsid w:val="2B321A57"/>
    <w:rsid w:val="2B33628C"/>
    <w:rsid w:val="2B396876"/>
    <w:rsid w:val="2B3EFFEE"/>
    <w:rsid w:val="2B4639C6"/>
    <w:rsid w:val="2B4A3332"/>
    <w:rsid w:val="2B4B533A"/>
    <w:rsid w:val="2B52D326"/>
    <w:rsid w:val="2B5A5CF7"/>
    <w:rsid w:val="2B5CB7B0"/>
    <w:rsid w:val="2B5F4F67"/>
    <w:rsid w:val="2B608AFD"/>
    <w:rsid w:val="2B6888CD"/>
    <w:rsid w:val="2B6EF316"/>
    <w:rsid w:val="2B6F891E"/>
    <w:rsid w:val="2B729888"/>
    <w:rsid w:val="2B77FA59"/>
    <w:rsid w:val="2B7C498E"/>
    <w:rsid w:val="2B890B0E"/>
    <w:rsid w:val="2B8A3ADF"/>
    <w:rsid w:val="2B8A88E4"/>
    <w:rsid w:val="2B8F3393"/>
    <w:rsid w:val="2B905005"/>
    <w:rsid w:val="2B9821D6"/>
    <w:rsid w:val="2B984D5D"/>
    <w:rsid w:val="2B9A22ED"/>
    <w:rsid w:val="2BA47A6C"/>
    <w:rsid w:val="2BA9386B"/>
    <w:rsid w:val="2BAF03D5"/>
    <w:rsid w:val="2BB02530"/>
    <w:rsid w:val="2BB67292"/>
    <w:rsid w:val="2BBB2128"/>
    <w:rsid w:val="2BC6954A"/>
    <w:rsid w:val="2BC9A8A8"/>
    <w:rsid w:val="2BCA8F69"/>
    <w:rsid w:val="2BD09D85"/>
    <w:rsid w:val="2BD85261"/>
    <w:rsid w:val="2BE3353A"/>
    <w:rsid w:val="2BE5ED3A"/>
    <w:rsid w:val="2BEDECD5"/>
    <w:rsid w:val="2BEFDED7"/>
    <w:rsid w:val="2BF2CE59"/>
    <w:rsid w:val="2BF672F7"/>
    <w:rsid w:val="2BF6D3EF"/>
    <w:rsid w:val="2BFE56EF"/>
    <w:rsid w:val="2C06BE38"/>
    <w:rsid w:val="2C072519"/>
    <w:rsid w:val="2C073F6D"/>
    <w:rsid w:val="2C089DA9"/>
    <w:rsid w:val="2C09EBE8"/>
    <w:rsid w:val="2C0EF0E1"/>
    <w:rsid w:val="2C11DCC1"/>
    <w:rsid w:val="2C12DB91"/>
    <w:rsid w:val="2C1D0A34"/>
    <w:rsid w:val="2C1F5012"/>
    <w:rsid w:val="2C20675C"/>
    <w:rsid w:val="2C308E41"/>
    <w:rsid w:val="2C32BE59"/>
    <w:rsid w:val="2C3AA961"/>
    <w:rsid w:val="2C3D010D"/>
    <w:rsid w:val="2C42ADA4"/>
    <w:rsid w:val="2C446E46"/>
    <w:rsid w:val="2C47DD59"/>
    <w:rsid w:val="2C4B2BEC"/>
    <w:rsid w:val="2C5041B6"/>
    <w:rsid w:val="2C5055A5"/>
    <w:rsid w:val="2C592D7B"/>
    <w:rsid w:val="2C654AC7"/>
    <w:rsid w:val="2C6AF51A"/>
    <w:rsid w:val="2C772900"/>
    <w:rsid w:val="2C795B3A"/>
    <w:rsid w:val="2C79E844"/>
    <w:rsid w:val="2C7DC537"/>
    <w:rsid w:val="2C7E510B"/>
    <w:rsid w:val="2C830C64"/>
    <w:rsid w:val="2C842D9C"/>
    <w:rsid w:val="2C886FC7"/>
    <w:rsid w:val="2C9244B0"/>
    <w:rsid w:val="2C958DCF"/>
    <w:rsid w:val="2C960828"/>
    <w:rsid w:val="2C9B04B7"/>
    <w:rsid w:val="2C9D693A"/>
    <w:rsid w:val="2CAECE0A"/>
    <w:rsid w:val="2CAEDAF1"/>
    <w:rsid w:val="2CB02F8C"/>
    <w:rsid w:val="2CB1D20C"/>
    <w:rsid w:val="2CB482F8"/>
    <w:rsid w:val="2CB48ADF"/>
    <w:rsid w:val="2CB4B5B1"/>
    <w:rsid w:val="2CB81DAF"/>
    <w:rsid w:val="2CC1B968"/>
    <w:rsid w:val="2CD0EA79"/>
    <w:rsid w:val="2CD4646B"/>
    <w:rsid w:val="2CD5842F"/>
    <w:rsid w:val="2CD73972"/>
    <w:rsid w:val="2CD8FC95"/>
    <w:rsid w:val="2CDA18F4"/>
    <w:rsid w:val="2CDA9DCE"/>
    <w:rsid w:val="2CDB4748"/>
    <w:rsid w:val="2CE0E04E"/>
    <w:rsid w:val="2CE31525"/>
    <w:rsid w:val="2CE83B81"/>
    <w:rsid w:val="2CEC9A0B"/>
    <w:rsid w:val="2CF11F31"/>
    <w:rsid w:val="2CF122C5"/>
    <w:rsid w:val="2CF4C7AA"/>
    <w:rsid w:val="2CF77974"/>
    <w:rsid w:val="2CF94985"/>
    <w:rsid w:val="2D0110A3"/>
    <w:rsid w:val="2D05A8CD"/>
    <w:rsid w:val="2D0AE166"/>
    <w:rsid w:val="2D0DA8C4"/>
    <w:rsid w:val="2D0F4A16"/>
    <w:rsid w:val="2D131F84"/>
    <w:rsid w:val="2D15395A"/>
    <w:rsid w:val="2D1AAEAC"/>
    <w:rsid w:val="2D2679FD"/>
    <w:rsid w:val="2D26E7AD"/>
    <w:rsid w:val="2D2BF606"/>
    <w:rsid w:val="2D2D02C6"/>
    <w:rsid w:val="2D304E4C"/>
    <w:rsid w:val="2D340C9A"/>
    <w:rsid w:val="2D37564D"/>
    <w:rsid w:val="2D3C1922"/>
    <w:rsid w:val="2D416FD1"/>
    <w:rsid w:val="2D45979E"/>
    <w:rsid w:val="2D46481E"/>
    <w:rsid w:val="2D47A9C8"/>
    <w:rsid w:val="2D4E576C"/>
    <w:rsid w:val="2D4F0FF7"/>
    <w:rsid w:val="2D51C27F"/>
    <w:rsid w:val="2D5A92E5"/>
    <w:rsid w:val="2D5BC0E0"/>
    <w:rsid w:val="2D5E2169"/>
    <w:rsid w:val="2D602241"/>
    <w:rsid w:val="2D60EDE9"/>
    <w:rsid w:val="2D670AD5"/>
    <w:rsid w:val="2D69F36D"/>
    <w:rsid w:val="2D6AF4CC"/>
    <w:rsid w:val="2D6FB2C5"/>
    <w:rsid w:val="2D711D28"/>
    <w:rsid w:val="2D7228EF"/>
    <w:rsid w:val="2D798A8B"/>
    <w:rsid w:val="2D7CAF79"/>
    <w:rsid w:val="2D7FCD6A"/>
    <w:rsid w:val="2D7FE7D6"/>
    <w:rsid w:val="2D807F80"/>
    <w:rsid w:val="2D8177C8"/>
    <w:rsid w:val="2D8493C8"/>
    <w:rsid w:val="2D8D4487"/>
    <w:rsid w:val="2D8F09F8"/>
    <w:rsid w:val="2D902DCA"/>
    <w:rsid w:val="2D98331C"/>
    <w:rsid w:val="2D989480"/>
    <w:rsid w:val="2D9A432D"/>
    <w:rsid w:val="2D9CC6A0"/>
    <w:rsid w:val="2DA152F1"/>
    <w:rsid w:val="2DAE7C58"/>
    <w:rsid w:val="2DB130F0"/>
    <w:rsid w:val="2DBC590C"/>
    <w:rsid w:val="2DC00AC8"/>
    <w:rsid w:val="2DC0BD35"/>
    <w:rsid w:val="2DC13077"/>
    <w:rsid w:val="2DC7F55B"/>
    <w:rsid w:val="2DC971F5"/>
    <w:rsid w:val="2DD3AB7D"/>
    <w:rsid w:val="2DD41F98"/>
    <w:rsid w:val="2DD83560"/>
    <w:rsid w:val="2DED1A96"/>
    <w:rsid w:val="2DF46A1E"/>
    <w:rsid w:val="2DF52D67"/>
    <w:rsid w:val="2DF65322"/>
    <w:rsid w:val="2DF84902"/>
    <w:rsid w:val="2E0288A1"/>
    <w:rsid w:val="2E0C39B4"/>
    <w:rsid w:val="2E1199BC"/>
    <w:rsid w:val="2E17CE12"/>
    <w:rsid w:val="2E1C3ADE"/>
    <w:rsid w:val="2E1DC0FF"/>
    <w:rsid w:val="2E1EF470"/>
    <w:rsid w:val="2E227E06"/>
    <w:rsid w:val="2E24BAFA"/>
    <w:rsid w:val="2E271AF4"/>
    <w:rsid w:val="2E2A0B56"/>
    <w:rsid w:val="2E2CC768"/>
    <w:rsid w:val="2E2D384F"/>
    <w:rsid w:val="2E39DF45"/>
    <w:rsid w:val="2E3B4461"/>
    <w:rsid w:val="2E3EF651"/>
    <w:rsid w:val="2E41C7AC"/>
    <w:rsid w:val="2E454D10"/>
    <w:rsid w:val="2E455661"/>
    <w:rsid w:val="2E45D55D"/>
    <w:rsid w:val="2E47B4D5"/>
    <w:rsid w:val="2E4CA94D"/>
    <w:rsid w:val="2E4E5834"/>
    <w:rsid w:val="2E4FC825"/>
    <w:rsid w:val="2E5425C0"/>
    <w:rsid w:val="2E5456CD"/>
    <w:rsid w:val="2E587128"/>
    <w:rsid w:val="2E5FC4D8"/>
    <w:rsid w:val="2E797540"/>
    <w:rsid w:val="2E7AB7EC"/>
    <w:rsid w:val="2E7BD644"/>
    <w:rsid w:val="2E7C1F75"/>
    <w:rsid w:val="2E8183A2"/>
    <w:rsid w:val="2E84F3ED"/>
    <w:rsid w:val="2E88688F"/>
    <w:rsid w:val="2E8A98DC"/>
    <w:rsid w:val="2E8F079C"/>
    <w:rsid w:val="2E90326B"/>
    <w:rsid w:val="2E91EDB5"/>
    <w:rsid w:val="2E960DD8"/>
    <w:rsid w:val="2E981741"/>
    <w:rsid w:val="2E9889DF"/>
    <w:rsid w:val="2E996888"/>
    <w:rsid w:val="2E9ED072"/>
    <w:rsid w:val="2EA296F3"/>
    <w:rsid w:val="2EA2D25F"/>
    <w:rsid w:val="2EAB0F2E"/>
    <w:rsid w:val="2EADFA20"/>
    <w:rsid w:val="2EAE6CC9"/>
    <w:rsid w:val="2EB02363"/>
    <w:rsid w:val="2EB62988"/>
    <w:rsid w:val="2EBDA542"/>
    <w:rsid w:val="2EBED3FA"/>
    <w:rsid w:val="2EC08DFE"/>
    <w:rsid w:val="2EC0AC17"/>
    <w:rsid w:val="2EC27D0D"/>
    <w:rsid w:val="2EC2AE80"/>
    <w:rsid w:val="2EC76EE9"/>
    <w:rsid w:val="2EC8B1F4"/>
    <w:rsid w:val="2ED40F24"/>
    <w:rsid w:val="2EE50851"/>
    <w:rsid w:val="2EE58FC5"/>
    <w:rsid w:val="2EF4F34B"/>
    <w:rsid w:val="2EFA3645"/>
    <w:rsid w:val="2EFA79B2"/>
    <w:rsid w:val="2F037C70"/>
    <w:rsid w:val="2F05DC8D"/>
    <w:rsid w:val="2F065352"/>
    <w:rsid w:val="2F0DF3F8"/>
    <w:rsid w:val="2F11DECF"/>
    <w:rsid w:val="2F19198F"/>
    <w:rsid w:val="2F22FF63"/>
    <w:rsid w:val="2F261667"/>
    <w:rsid w:val="2F2878B7"/>
    <w:rsid w:val="2F2959B8"/>
    <w:rsid w:val="2F2CBA9E"/>
    <w:rsid w:val="2F2CFB16"/>
    <w:rsid w:val="2F30A5FC"/>
    <w:rsid w:val="2F31A952"/>
    <w:rsid w:val="2F40B984"/>
    <w:rsid w:val="2F48C436"/>
    <w:rsid w:val="2F4C7A13"/>
    <w:rsid w:val="2F4F1BB8"/>
    <w:rsid w:val="2F502113"/>
    <w:rsid w:val="2F5451C8"/>
    <w:rsid w:val="2F5595D9"/>
    <w:rsid w:val="2F594771"/>
    <w:rsid w:val="2F598A33"/>
    <w:rsid w:val="2F59E87A"/>
    <w:rsid w:val="2F5F752E"/>
    <w:rsid w:val="2F61ACA0"/>
    <w:rsid w:val="2F620912"/>
    <w:rsid w:val="2F6B886D"/>
    <w:rsid w:val="2F6D247F"/>
    <w:rsid w:val="2F6FA4E4"/>
    <w:rsid w:val="2F70DD71"/>
    <w:rsid w:val="2F713E6A"/>
    <w:rsid w:val="2F7415B4"/>
    <w:rsid w:val="2F7D479D"/>
    <w:rsid w:val="2F80CB98"/>
    <w:rsid w:val="2F82D765"/>
    <w:rsid w:val="2F8AC7BC"/>
    <w:rsid w:val="2F948268"/>
    <w:rsid w:val="2F9BB957"/>
    <w:rsid w:val="2F9CA5BB"/>
    <w:rsid w:val="2F9DA79B"/>
    <w:rsid w:val="2FA509EE"/>
    <w:rsid w:val="2FA8AAD1"/>
    <w:rsid w:val="2FAAE881"/>
    <w:rsid w:val="2FAFDC5F"/>
    <w:rsid w:val="2FB34351"/>
    <w:rsid w:val="2FBB8620"/>
    <w:rsid w:val="2FCAB9B7"/>
    <w:rsid w:val="2FD00BD0"/>
    <w:rsid w:val="2FD057CE"/>
    <w:rsid w:val="2FD461F8"/>
    <w:rsid w:val="2FDB93D6"/>
    <w:rsid w:val="2FE394B7"/>
    <w:rsid w:val="2FE96C5E"/>
    <w:rsid w:val="2FEB0D9C"/>
    <w:rsid w:val="2FEF6A5D"/>
    <w:rsid w:val="2FF091FA"/>
    <w:rsid w:val="2FF72EC4"/>
    <w:rsid w:val="30014773"/>
    <w:rsid w:val="3001A8A3"/>
    <w:rsid w:val="3008A9C6"/>
    <w:rsid w:val="300CD677"/>
    <w:rsid w:val="301A4D03"/>
    <w:rsid w:val="301D468A"/>
    <w:rsid w:val="3022806D"/>
    <w:rsid w:val="3024C9D6"/>
    <w:rsid w:val="302C8D87"/>
    <w:rsid w:val="302E1701"/>
    <w:rsid w:val="30316A6B"/>
    <w:rsid w:val="30362D3B"/>
    <w:rsid w:val="303C56E1"/>
    <w:rsid w:val="303D3E9E"/>
    <w:rsid w:val="3041EF02"/>
    <w:rsid w:val="30475CA5"/>
    <w:rsid w:val="304DA610"/>
    <w:rsid w:val="304F33B2"/>
    <w:rsid w:val="304F4DBF"/>
    <w:rsid w:val="3050AEA9"/>
    <w:rsid w:val="30524AA6"/>
    <w:rsid w:val="3057FD9E"/>
    <w:rsid w:val="30592461"/>
    <w:rsid w:val="30607AA2"/>
    <w:rsid w:val="306A5A77"/>
    <w:rsid w:val="30722758"/>
    <w:rsid w:val="3075DF71"/>
    <w:rsid w:val="30789B0A"/>
    <w:rsid w:val="307AB88B"/>
    <w:rsid w:val="307CC574"/>
    <w:rsid w:val="307E2263"/>
    <w:rsid w:val="3081E022"/>
    <w:rsid w:val="30825E49"/>
    <w:rsid w:val="30833498"/>
    <w:rsid w:val="308A3915"/>
    <w:rsid w:val="308DFF5D"/>
    <w:rsid w:val="308E9B7A"/>
    <w:rsid w:val="30921389"/>
    <w:rsid w:val="309545C4"/>
    <w:rsid w:val="30A1CA92"/>
    <w:rsid w:val="30A2A175"/>
    <w:rsid w:val="30A5BB93"/>
    <w:rsid w:val="30A5D906"/>
    <w:rsid w:val="30B2DC2B"/>
    <w:rsid w:val="30B39503"/>
    <w:rsid w:val="30B92DD5"/>
    <w:rsid w:val="30BCABE9"/>
    <w:rsid w:val="30BDDBBA"/>
    <w:rsid w:val="30C62963"/>
    <w:rsid w:val="30C85654"/>
    <w:rsid w:val="30CFE8A3"/>
    <w:rsid w:val="30D0740C"/>
    <w:rsid w:val="30D283BD"/>
    <w:rsid w:val="30D30C68"/>
    <w:rsid w:val="30D531C9"/>
    <w:rsid w:val="30D62481"/>
    <w:rsid w:val="30D78EC6"/>
    <w:rsid w:val="30D7A070"/>
    <w:rsid w:val="30DA5C26"/>
    <w:rsid w:val="30E26204"/>
    <w:rsid w:val="30E39B2B"/>
    <w:rsid w:val="30E85EFA"/>
    <w:rsid w:val="30EAC8AE"/>
    <w:rsid w:val="30EC57F9"/>
    <w:rsid w:val="30FE8D30"/>
    <w:rsid w:val="31002B11"/>
    <w:rsid w:val="3103A9DE"/>
    <w:rsid w:val="3103C5D7"/>
    <w:rsid w:val="3103FCCD"/>
    <w:rsid w:val="31058091"/>
    <w:rsid w:val="310A9C6E"/>
    <w:rsid w:val="310AF1B9"/>
    <w:rsid w:val="310F58C3"/>
    <w:rsid w:val="31144D89"/>
    <w:rsid w:val="3119B1A2"/>
    <w:rsid w:val="3120CD61"/>
    <w:rsid w:val="3121BDA3"/>
    <w:rsid w:val="31237AF4"/>
    <w:rsid w:val="3127B2E9"/>
    <w:rsid w:val="312B0472"/>
    <w:rsid w:val="312B7E42"/>
    <w:rsid w:val="3131330B"/>
    <w:rsid w:val="31362715"/>
    <w:rsid w:val="313769A9"/>
    <w:rsid w:val="3146A9B8"/>
    <w:rsid w:val="3147A0CF"/>
    <w:rsid w:val="314B7AEB"/>
    <w:rsid w:val="314B9685"/>
    <w:rsid w:val="314C7E9E"/>
    <w:rsid w:val="314D1193"/>
    <w:rsid w:val="31513ECB"/>
    <w:rsid w:val="3153BF6B"/>
    <w:rsid w:val="315BDB5A"/>
    <w:rsid w:val="31665587"/>
    <w:rsid w:val="316673F2"/>
    <w:rsid w:val="3169B797"/>
    <w:rsid w:val="3169D630"/>
    <w:rsid w:val="316C4DAE"/>
    <w:rsid w:val="317355DA"/>
    <w:rsid w:val="317D42D0"/>
    <w:rsid w:val="317DD0DF"/>
    <w:rsid w:val="31820AB1"/>
    <w:rsid w:val="3182C456"/>
    <w:rsid w:val="31881360"/>
    <w:rsid w:val="3193799F"/>
    <w:rsid w:val="31957F69"/>
    <w:rsid w:val="31989CB3"/>
    <w:rsid w:val="31A757E4"/>
    <w:rsid w:val="31ABEBA0"/>
    <w:rsid w:val="31AC8F01"/>
    <w:rsid w:val="31AD96A5"/>
    <w:rsid w:val="31B1D711"/>
    <w:rsid w:val="31B48F94"/>
    <w:rsid w:val="31B58C85"/>
    <w:rsid w:val="31B7447D"/>
    <w:rsid w:val="31BB35D1"/>
    <w:rsid w:val="31C3E269"/>
    <w:rsid w:val="31C6DE28"/>
    <w:rsid w:val="31C6ED03"/>
    <w:rsid w:val="31C7735C"/>
    <w:rsid w:val="31C89A8F"/>
    <w:rsid w:val="31C99E7B"/>
    <w:rsid w:val="31CFD04A"/>
    <w:rsid w:val="31D6C2EA"/>
    <w:rsid w:val="31D86B6E"/>
    <w:rsid w:val="31DBF541"/>
    <w:rsid w:val="31DEC002"/>
    <w:rsid w:val="31E21F00"/>
    <w:rsid w:val="31E6CD59"/>
    <w:rsid w:val="31EC36F6"/>
    <w:rsid w:val="31ED6A46"/>
    <w:rsid w:val="31F017CF"/>
    <w:rsid w:val="31F07134"/>
    <w:rsid w:val="31F3F118"/>
    <w:rsid w:val="32032045"/>
    <w:rsid w:val="3203F526"/>
    <w:rsid w:val="3209E98E"/>
    <w:rsid w:val="3213B9F0"/>
    <w:rsid w:val="321427AF"/>
    <w:rsid w:val="3215E96F"/>
    <w:rsid w:val="32164C41"/>
    <w:rsid w:val="3216603C"/>
    <w:rsid w:val="32221BCE"/>
    <w:rsid w:val="32287C16"/>
    <w:rsid w:val="322D4379"/>
    <w:rsid w:val="322D7EEE"/>
    <w:rsid w:val="322DE663"/>
    <w:rsid w:val="322F3FA0"/>
    <w:rsid w:val="323942BF"/>
    <w:rsid w:val="323C0B05"/>
    <w:rsid w:val="32406353"/>
    <w:rsid w:val="3242951C"/>
    <w:rsid w:val="32444AC6"/>
    <w:rsid w:val="32486C5D"/>
    <w:rsid w:val="3249E157"/>
    <w:rsid w:val="324BD5C1"/>
    <w:rsid w:val="325BED54"/>
    <w:rsid w:val="325CB083"/>
    <w:rsid w:val="325F9721"/>
    <w:rsid w:val="32638E6B"/>
    <w:rsid w:val="3269430C"/>
    <w:rsid w:val="326CFAD4"/>
    <w:rsid w:val="326E346C"/>
    <w:rsid w:val="3271646E"/>
    <w:rsid w:val="3282A1E9"/>
    <w:rsid w:val="3287F2D4"/>
    <w:rsid w:val="328AC43F"/>
    <w:rsid w:val="3299BD6C"/>
    <w:rsid w:val="32A71491"/>
    <w:rsid w:val="32A852DD"/>
    <w:rsid w:val="32A8D2F8"/>
    <w:rsid w:val="32A948CC"/>
    <w:rsid w:val="32B6740E"/>
    <w:rsid w:val="32C1E3F6"/>
    <w:rsid w:val="32C3F4D6"/>
    <w:rsid w:val="32CB3397"/>
    <w:rsid w:val="32CF6980"/>
    <w:rsid w:val="32F4C0F5"/>
    <w:rsid w:val="32F82086"/>
    <w:rsid w:val="32F8AC12"/>
    <w:rsid w:val="3304FB9D"/>
    <w:rsid w:val="3309E9B7"/>
    <w:rsid w:val="330A7577"/>
    <w:rsid w:val="330ABC93"/>
    <w:rsid w:val="330BA194"/>
    <w:rsid w:val="330EBF87"/>
    <w:rsid w:val="330F1F0D"/>
    <w:rsid w:val="33102015"/>
    <w:rsid w:val="3315F7FF"/>
    <w:rsid w:val="3319B5F2"/>
    <w:rsid w:val="331BBB3F"/>
    <w:rsid w:val="3321E87C"/>
    <w:rsid w:val="3324698E"/>
    <w:rsid w:val="332FACD6"/>
    <w:rsid w:val="33336DE9"/>
    <w:rsid w:val="3337AB47"/>
    <w:rsid w:val="333BD9DC"/>
    <w:rsid w:val="333C35B2"/>
    <w:rsid w:val="33405428"/>
    <w:rsid w:val="3346F602"/>
    <w:rsid w:val="334FB047"/>
    <w:rsid w:val="33535239"/>
    <w:rsid w:val="33543461"/>
    <w:rsid w:val="3367E33E"/>
    <w:rsid w:val="33692EE3"/>
    <w:rsid w:val="337B9F9C"/>
    <w:rsid w:val="337BC71C"/>
    <w:rsid w:val="3381C066"/>
    <w:rsid w:val="3382D36E"/>
    <w:rsid w:val="3387567A"/>
    <w:rsid w:val="3387AE83"/>
    <w:rsid w:val="338B85F7"/>
    <w:rsid w:val="338DD60D"/>
    <w:rsid w:val="338DE7D1"/>
    <w:rsid w:val="3390131C"/>
    <w:rsid w:val="33924236"/>
    <w:rsid w:val="3396A1E6"/>
    <w:rsid w:val="3397FE82"/>
    <w:rsid w:val="33999CEF"/>
    <w:rsid w:val="339DDEE4"/>
    <w:rsid w:val="33A04D64"/>
    <w:rsid w:val="33A4622A"/>
    <w:rsid w:val="33ABE66D"/>
    <w:rsid w:val="33AD942E"/>
    <w:rsid w:val="33ADAB27"/>
    <w:rsid w:val="33B28FDA"/>
    <w:rsid w:val="33B6A91A"/>
    <w:rsid w:val="33B9F92F"/>
    <w:rsid w:val="33BC8735"/>
    <w:rsid w:val="33D39F0D"/>
    <w:rsid w:val="33D54460"/>
    <w:rsid w:val="33D5AF92"/>
    <w:rsid w:val="33D93839"/>
    <w:rsid w:val="33DDF3D5"/>
    <w:rsid w:val="33DFC9B4"/>
    <w:rsid w:val="33E3F118"/>
    <w:rsid w:val="33E7BCEC"/>
    <w:rsid w:val="33E9DB8E"/>
    <w:rsid w:val="33EC510D"/>
    <w:rsid w:val="33F0DB4D"/>
    <w:rsid w:val="33FAA7A4"/>
    <w:rsid w:val="33FD8AB0"/>
    <w:rsid w:val="3401E4FF"/>
    <w:rsid w:val="340F1013"/>
    <w:rsid w:val="340F85B4"/>
    <w:rsid w:val="3411F124"/>
    <w:rsid w:val="3412320F"/>
    <w:rsid w:val="3413AB0B"/>
    <w:rsid w:val="341E27A5"/>
    <w:rsid w:val="3425B44F"/>
    <w:rsid w:val="3426764F"/>
    <w:rsid w:val="3429DAB3"/>
    <w:rsid w:val="342B3E8A"/>
    <w:rsid w:val="342C5E85"/>
    <w:rsid w:val="342E2048"/>
    <w:rsid w:val="34310CD2"/>
    <w:rsid w:val="34323B05"/>
    <w:rsid w:val="3434067C"/>
    <w:rsid w:val="34348BF7"/>
    <w:rsid w:val="3437A79D"/>
    <w:rsid w:val="343A5719"/>
    <w:rsid w:val="343E2C09"/>
    <w:rsid w:val="34435000"/>
    <w:rsid w:val="344B0881"/>
    <w:rsid w:val="344E2353"/>
    <w:rsid w:val="344FE710"/>
    <w:rsid w:val="34546B98"/>
    <w:rsid w:val="345E032E"/>
    <w:rsid w:val="345F8F7F"/>
    <w:rsid w:val="3462C371"/>
    <w:rsid w:val="346636C5"/>
    <w:rsid w:val="346864A1"/>
    <w:rsid w:val="346BA3E9"/>
    <w:rsid w:val="3478AA12"/>
    <w:rsid w:val="347AC73B"/>
    <w:rsid w:val="347BBB3B"/>
    <w:rsid w:val="347BDEAE"/>
    <w:rsid w:val="347E5FF2"/>
    <w:rsid w:val="348118DB"/>
    <w:rsid w:val="3482384C"/>
    <w:rsid w:val="3483FD17"/>
    <w:rsid w:val="348C2509"/>
    <w:rsid w:val="34935064"/>
    <w:rsid w:val="349704F9"/>
    <w:rsid w:val="349B5919"/>
    <w:rsid w:val="349DFBF8"/>
    <w:rsid w:val="349E4C5A"/>
    <w:rsid w:val="349F60A2"/>
    <w:rsid w:val="34A43B24"/>
    <w:rsid w:val="34A6FB2C"/>
    <w:rsid w:val="34ACA9BD"/>
    <w:rsid w:val="34B0FE27"/>
    <w:rsid w:val="34B1ABD7"/>
    <w:rsid w:val="34B4774D"/>
    <w:rsid w:val="34B5731A"/>
    <w:rsid w:val="34B866D6"/>
    <w:rsid w:val="34BE7BA8"/>
    <w:rsid w:val="34CD57F3"/>
    <w:rsid w:val="34CF51E0"/>
    <w:rsid w:val="34D57E2C"/>
    <w:rsid w:val="34D8D7EF"/>
    <w:rsid w:val="34D91A5F"/>
    <w:rsid w:val="34D93D61"/>
    <w:rsid w:val="34DBD55A"/>
    <w:rsid w:val="34DD6950"/>
    <w:rsid w:val="34DEBE15"/>
    <w:rsid w:val="34E16AD8"/>
    <w:rsid w:val="34E764F6"/>
    <w:rsid w:val="34E7EA9C"/>
    <w:rsid w:val="34EBDBF0"/>
    <w:rsid w:val="34F22079"/>
    <w:rsid w:val="34F23B05"/>
    <w:rsid w:val="34F242F0"/>
    <w:rsid w:val="34F27F75"/>
    <w:rsid w:val="34F33804"/>
    <w:rsid w:val="34F4ABBA"/>
    <w:rsid w:val="34F4F976"/>
    <w:rsid w:val="34F9132B"/>
    <w:rsid w:val="34F92864"/>
    <w:rsid w:val="34FBD08E"/>
    <w:rsid w:val="34FE0BCE"/>
    <w:rsid w:val="3503DCAC"/>
    <w:rsid w:val="35044B1C"/>
    <w:rsid w:val="350519D4"/>
    <w:rsid w:val="350CA527"/>
    <w:rsid w:val="3511715B"/>
    <w:rsid w:val="35117496"/>
    <w:rsid w:val="3517BBAE"/>
    <w:rsid w:val="351F20CF"/>
    <w:rsid w:val="35209DE5"/>
    <w:rsid w:val="35216BC0"/>
    <w:rsid w:val="35271239"/>
    <w:rsid w:val="3527D8D3"/>
    <w:rsid w:val="352A56BA"/>
    <w:rsid w:val="352C1516"/>
    <w:rsid w:val="3530EDB2"/>
    <w:rsid w:val="35343277"/>
    <w:rsid w:val="35369E45"/>
    <w:rsid w:val="35476367"/>
    <w:rsid w:val="354A517E"/>
    <w:rsid w:val="354D8128"/>
    <w:rsid w:val="35503F3E"/>
    <w:rsid w:val="3559E007"/>
    <w:rsid w:val="355A3B70"/>
    <w:rsid w:val="355BB67E"/>
    <w:rsid w:val="35625898"/>
    <w:rsid w:val="3564D659"/>
    <w:rsid w:val="35661132"/>
    <w:rsid w:val="3568870F"/>
    <w:rsid w:val="356D99D2"/>
    <w:rsid w:val="356DCD47"/>
    <w:rsid w:val="356E51D3"/>
    <w:rsid w:val="35736F45"/>
    <w:rsid w:val="3576D105"/>
    <w:rsid w:val="3576F583"/>
    <w:rsid w:val="357746A8"/>
    <w:rsid w:val="357B5F90"/>
    <w:rsid w:val="357C7FB3"/>
    <w:rsid w:val="35879829"/>
    <w:rsid w:val="3589C3EF"/>
    <w:rsid w:val="35917715"/>
    <w:rsid w:val="3596C3A2"/>
    <w:rsid w:val="35A14FB2"/>
    <w:rsid w:val="35A18695"/>
    <w:rsid w:val="35A8219E"/>
    <w:rsid w:val="35ABD890"/>
    <w:rsid w:val="35AF0E5E"/>
    <w:rsid w:val="35B8E4E2"/>
    <w:rsid w:val="35BA56B7"/>
    <w:rsid w:val="35BAF1FE"/>
    <w:rsid w:val="35BBA301"/>
    <w:rsid w:val="35BD9A42"/>
    <w:rsid w:val="35BEFC7A"/>
    <w:rsid w:val="35C0F4B8"/>
    <w:rsid w:val="35C171B1"/>
    <w:rsid w:val="35CAF271"/>
    <w:rsid w:val="35D6947B"/>
    <w:rsid w:val="35DA1465"/>
    <w:rsid w:val="35E6B971"/>
    <w:rsid w:val="35E80F9F"/>
    <w:rsid w:val="35E9ABBD"/>
    <w:rsid w:val="35EDCF5B"/>
    <w:rsid w:val="35F0A865"/>
    <w:rsid w:val="35F70A85"/>
    <w:rsid w:val="35FD7E6D"/>
    <w:rsid w:val="3603B9E3"/>
    <w:rsid w:val="36095420"/>
    <w:rsid w:val="36185A89"/>
    <w:rsid w:val="361ABAEE"/>
    <w:rsid w:val="361E51C4"/>
    <w:rsid w:val="3621F705"/>
    <w:rsid w:val="36224C6F"/>
    <w:rsid w:val="3625B12A"/>
    <w:rsid w:val="36297223"/>
    <w:rsid w:val="363319DC"/>
    <w:rsid w:val="363570D3"/>
    <w:rsid w:val="36373A63"/>
    <w:rsid w:val="36398821"/>
    <w:rsid w:val="363DD9C1"/>
    <w:rsid w:val="3641A641"/>
    <w:rsid w:val="3642FF97"/>
    <w:rsid w:val="36438958"/>
    <w:rsid w:val="364389CD"/>
    <w:rsid w:val="3647DE77"/>
    <w:rsid w:val="36491F20"/>
    <w:rsid w:val="364B2AAD"/>
    <w:rsid w:val="364C6841"/>
    <w:rsid w:val="3659F019"/>
    <w:rsid w:val="365A5C9E"/>
    <w:rsid w:val="365AD801"/>
    <w:rsid w:val="366616E5"/>
    <w:rsid w:val="36684177"/>
    <w:rsid w:val="367157EA"/>
    <w:rsid w:val="367EC04B"/>
    <w:rsid w:val="367EC1E8"/>
    <w:rsid w:val="3681A894"/>
    <w:rsid w:val="368388C0"/>
    <w:rsid w:val="36862FAE"/>
    <w:rsid w:val="368868E5"/>
    <w:rsid w:val="368928FA"/>
    <w:rsid w:val="3690842B"/>
    <w:rsid w:val="36928701"/>
    <w:rsid w:val="3693CBC0"/>
    <w:rsid w:val="369ECD9B"/>
    <w:rsid w:val="36A0F1F4"/>
    <w:rsid w:val="36AA0E14"/>
    <w:rsid w:val="36AA4411"/>
    <w:rsid w:val="36AB6E1B"/>
    <w:rsid w:val="36AB9084"/>
    <w:rsid w:val="36ABECF1"/>
    <w:rsid w:val="36AF3EE9"/>
    <w:rsid w:val="36B35F4B"/>
    <w:rsid w:val="36B3EF53"/>
    <w:rsid w:val="36B8D8A4"/>
    <w:rsid w:val="36BD84E0"/>
    <w:rsid w:val="36BE658D"/>
    <w:rsid w:val="36C1F23D"/>
    <w:rsid w:val="36C24A5D"/>
    <w:rsid w:val="36C4408F"/>
    <w:rsid w:val="36C8A774"/>
    <w:rsid w:val="36CEDB2C"/>
    <w:rsid w:val="36CEE1CE"/>
    <w:rsid w:val="36D5730A"/>
    <w:rsid w:val="36DCE204"/>
    <w:rsid w:val="36E6415E"/>
    <w:rsid w:val="36E6B178"/>
    <w:rsid w:val="36E71218"/>
    <w:rsid w:val="36ECDE45"/>
    <w:rsid w:val="36ECE06B"/>
    <w:rsid w:val="36ED19E0"/>
    <w:rsid w:val="36EE0873"/>
    <w:rsid w:val="36EE5156"/>
    <w:rsid w:val="36F497EA"/>
    <w:rsid w:val="36F85407"/>
    <w:rsid w:val="36FCF8B2"/>
    <w:rsid w:val="36FF5B6E"/>
    <w:rsid w:val="36FFEC17"/>
    <w:rsid w:val="3701CF4F"/>
    <w:rsid w:val="3703D941"/>
    <w:rsid w:val="3703D97B"/>
    <w:rsid w:val="3703F80A"/>
    <w:rsid w:val="3706FE1A"/>
    <w:rsid w:val="370872DE"/>
    <w:rsid w:val="3709A1F8"/>
    <w:rsid w:val="370BC471"/>
    <w:rsid w:val="370C02C0"/>
    <w:rsid w:val="370C3DBA"/>
    <w:rsid w:val="370F5C1C"/>
    <w:rsid w:val="370FF423"/>
    <w:rsid w:val="3710616A"/>
    <w:rsid w:val="37131913"/>
    <w:rsid w:val="3717B544"/>
    <w:rsid w:val="3719E75A"/>
    <w:rsid w:val="3728A00C"/>
    <w:rsid w:val="3729303F"/>
    <w:rsid w:val="3729DDE2"/>
    <w:rsid w:val="372C9408"/>
    <w:rsid w:val="37321819"/>
    <w:rsid w:val="373DAEA7"/>
    <w:rsid w:val="3741401A"/>
    <w:rsid w:val="3746F251"/>
    <w:rsid w:val="374A337F"/>
    <w:rsid w:val="374DCBA8"/>
    <w:rsid w:val="374E970F"/>
    <w:rsid w:val="374F8651"/>
    <w:rsid w:val="37500742"/>
    <w:rsid w:val="37529F64"/>
    <w:rsid w:val="37544116"/>
    <w:rsid w:val="375538BC"/>
    <w:rsid w:val="3757AC68"/>
    <w:rsid w:val="37596459"/>
    <w:rsid w:val="376551B0"/>
    <w:rsid w:val="3765A0DF"/>
    <w:rsid w:val="37679567"/>
    <w:rsid w:val="3767F1B6"/>
    <w:rsid w:val="376DC5DD"/>
    <w:rsid w:val="376F10DF"/>
    <w:rsid w:val="3773A2D2"/>
    <w:rsid w:val="3777623D"/>
    <w:rsid w:val="3779EA9E"/>
    <w:rsid w:val="377C748C"/>
    <w:rsid w:val="377D026B"/>
    <w:rsid w:val="3788E2FC"/>
    <w:rsid w:val="378EE0FB"/>
    <w:rsid w:val="37948C43"/>
    <w:rsid w:val="3797B76F"/>
    <w:rsid w:val="37986470"/>
    <w:rsid w:val="37A018ED"/>
    <w:rsid w:val="37A26387"/>
    <w:rsid w:val="37A8ECAE"/>
    <w:rsid w:val="37AEB371"/>
    <w:rsid w:val="37AFD492"/>
    <w:rsid w:val="37B1D26E"/>
    <w:rsid w:val="37B233B0"/>
    <w:rsid w:val="37B40C68"/>
    <w:rsid w:val="37B4DD2A"/>
    <w:rsid w:val="37B5B516"/>
    <w:rsid w:val="37BAE88E"/>
    <w:rsid w:val="37BFA43D"/>
    <w:rsid w:val="37C34F9A"/>
    <w:rsid w:val="37C9C6A9"/>
    <w:rsid w:val="37CBF895"/>
    <w:rsid w:val="37D68112"/>
    <w:rsid w:val="37DC7BBA"/>
    <w:rsid w:val="37E3BE55"/>
    <w:rsid w:val="37E81E79"/>
    <w:rsid w:val="37E9E4BD"/>
    <w:rsid w:val="37EBB3EA"/>
    <w:rsid w:val="37EEC7ED"/>
    <w:rsid w:val="37EEE9F1"/>
    <w:rsid w:val="37F5D6AB"/>
    <w:rsid w:val="37F7FD44"/>
    <w:rsid w:val="37F8435E"/>
    <w:rsid w:val="37F85574"/>
    <w:rsid w:val="37FB5E42"/>
    <w:rsid w:val="37FBC8F0"/>
    <w:rsid w:val="38002FBD"/>
    <w:rsid w:val="3803FBE4"/>
    <w:rsid w:val="380491D6"/>
    <w:rsid w:val="380BCB19"/>
    <w:rsid w:val="3810E0B6"/>
    <w:rsid w:val="38157F05"/>
    <w:rsid w:val="3816EC76"/>
    <w:rsid w:val="381E51F6"/>
    <w:rsid w:val="381E5ECB"/>
    <w:rsid w:val="38209064"/>
    <w:rsid w:val="382E6E53"/>
    <w:rsid w:val="38337D1F"/>
    <w:rsid w:val="383EC206"/>
    <w:rsid w:val="383EDA7E"/>
    <w:rsid w:val="3841B6D9"/>
    <w:rsid w:val="38449726"/>
    <w:rsid w:val="3847560A"/>
    <w:rsid w:val="3847F876"/>
    <w:rsid w:val="384A8592"/>
    <w:rsid w:val="384FB057"/>
    <w:rsid w:val="38555618"/>
    <w:rsid w:val="3855ECDA"/>
    <w:rsid w:val="3855F825"/>
    <w:rsid w:val="38577E55"/>
    <w:rsid w:val="385B2A87"/>
    <w:rsid w:val="385CAD56"/>
    <w:rsid w:val="385DFE8C"/>
    <w:rsid w:val="3867264C"/>
    <w:rsid w:val="3872EA9E"/>
    <w:rsid w:val="38736C4A"/>
    <w:rsid w:val="38739216"/>
    <w:rsid w:val="38745420"/>
    <w:rsid w:val="38759E85"/>
    <w:rsid w:val="387769EB"/>
    <w:rsid w:val="387A78A8"/>
    <w:rsid w:val="387B81BD"/>
    <w:rsid w:val="387C3446"/>
    <w:rsid w:val="38804628"/>
    <w:rsid w:val="388910F0"/>
    <w:rsid w:val="3889144A"/>
    <w:rsid w:val="38894146"/>
    <w:rsid w:val="388A1450"/>
    <w:rsid w:val="38914D50"/>
    <w:rsid w:val="3894DC6A"/>
    <w:rsid w:val="3894E2DC"/>
    <w:rsid w:val="38A000C0"/>
    <w:rsid w:val="38A51782"/>
    <w:rsid w:val="38A635CB"/>
    <w:rsid w:val="38A73164"/>
    <w:rsid w:val="38AE0B69"/>
    <w:rsid w:val="38B1BE96"/>
    <w:rsid w:val="38B96961"/>
    <w:rsid w:val="38B9B15A"/>
    <w:rsid w:val="38BA868F"/>
    <w:rsid w:val="38BCDD1C"/>
    <w:rsid w:val="38BF014C"/>
    <w:rsid w:val="38BF6A33"/>
    <w:rsid w:val="38C6024C"/>
    <w:rsid w:val="38C6D9D9"/>
    <w:rsid w:val="38C9A66B"/>
    <w:rsid w:val="38CC590C"/>
    <w:rsid w:val="38D33ECF"/>
    <w:rsid w:val="38E7482E"/>
    <w:rsid w:val="38EA4982"/>
    <w:rsid w:val="38EC207E"/>
    <w:rsid w:val="38F08289"/>
    <w:rsid w:val="38F285DD"/>
    <w:rsid w:val="38F8BF22"/>
    <w:rsid w:val="3908AE3B"/>
    <w:rsid w:val="39114EB5"/>
    <w:rsid w:val="39124100"/>
    <w:rsid w:val="391CEAB3"/>
    <w:rsid w:val="3923C2D2"/>
    <w:rsid w:val="39289796"/>
    <w:rsid w:val="392FA3DF"/>
    <w:rsid w:val="3930B0B3"/>
    <w:rsid w:val="3933F4C6"/>
    <w:rsid w:val="39399F28"/>
    <w:rsid w:val="3943F80A"/>
    <w:rsid w:val="3946A908"/>
    <w:rsid w:val="3948381B"/>
    <w:rsid w:val="39495153"/>
    <w:rsid w:val="394D865E"/>
    <w:rsid w:val="394EE1A3"/>
    <w:rsid w:val="3953AAFC"/>
    <w:rsid w:val="395427C5"/>
    <w:rsid w:val="395F52F4"/>
    <w:rsid w:val="3962CEFA"/>
    <w:rsid w:val="3967BB22"/>
    <w:rsid w:val="396F19AC"/>
    <w:rsid w:val="39708465"/>
    <w:rsid w:val="397383C1"/>
    <w:rsid w:val="39750CA3"/>
    <w:rsid w:val="397B2B0A"/>
    <w:rsid w:val="39830CD4"/>
    <w:rsid w:val="3985CADF"/>
    <w:rsid w:val="3989765D"/>
    <w:rsid w:val="398A4899"/>
    <w:rsid w:val="3990C559"/>
    <w:rsid w:val="39922D79"/>
    <w:rsid w:val="3992D3EF"/>
    <w:rsid w:val="39962AC4"/>
    <w:rsid w:val="39A0030B"/>
    <w:rsid w:val="39A7B744"/>
    <w:rsid w:val="39AC5BC6"/>
    <w:rsid w:val="39AE2EC9"/>
    <w:rsid w:val="39B5EBC3"/>
    <w:rsid w:val="39B84E6D"/>
    <w:rsid w:val="39BFE645"/>
    <w:rsid w:val="39C49861"/>
    <w:rsid w:val="39C784DF"/>
    <w:rsid w:val="39D0AEE5"/>
    <w:rsid w:val="39D3AD10"/>
    <w:rsid w:val="39D4688C"/>
    <w:rsid w:val="39D49363"/>
    <w:rsid w:val="39DA969C"/>
    <w:rsid w:val="39E066EE"/>
    <w:rsid w:val="39EB108B"/>
    <w:rsid w:val="39EC03C0"/>
    <w:rsid w:val="39EC668C"/>
    <w:rsid w:val="39F283A8"/>
    <w:rsid w:val="39F62697"/>
    <w:rsid w:val="39F66609"/>
    <w:rsid w:val="39F6767B"/>
    <w:rsid w:val="39F7B456"/>
    <w:rsid w:val="39FE59AE"/>
    <w:rsid w:val="39FF2CC1"/>
    <w:rsid w:val="39FFA5A0"/>
    <w:rsid w:val="3A01C535"/>
    <w:rsid w:val="3A03EBC2"/>
    <w:rsid w:val="3A079835"/>
    <w:rsid w:val="3A0B95B2"/>
    <w:rsid w:val="3A13DB02"/>
    <w:rsid w:val="3A19F8F5"/>
    <w:rsid w:val="3A1F712B"/>
    <w:rsid w:val="3A2BC8B9"/>
    <w:rsid w:val="3A2DFE60"/>
    <w:rsid w:val="3A33D369"/>
    <w:rsid w:val="3A38052E"/>
    <w:rsid w:val="3A43B0C0"/>
    <w:rsid w:val="3A455FD6"/>
    <w:rsid w:val="3A48FCA6"/>
    <w:rsid w:val="3A490B04"/>
    <w:rsid w:val="3A4AB223"/>
    <w:rsid w:val="3A4B24E7"/>
    <w:rsid w:val="3A4D58EB"/>
    <w:rsid w:val="3A50A1EB"/>
    <w:rsid w:val="3A530F8A"/>
    <w:rsid w:val="3A53C181"/>
    <w:rsid w:val="3A5BEC74"/>
    <w:rsid w:val="3A642753"/>
    <w:rsid w:val="3A67A0E8"/>
    <w:rsid w:val="3A69C1C0"/>
    <w:rsid w:val="3A6A53CF"/>
    <w:rsid w:val="3A6CCA9A"/>
    <w:rsid w:val="3A73809A"/>
    <w:rsid w:val="3A77704C"/>
    <w:rsid w:val="3A799EED"/>
    <w:rsid w:val="3A7A3E24"/>
    <w:rsid w:val="3A8731FC"/>
    <w:rsid w:val="3A8FB099"/>
    <w:rsid w:val="3A948436"/>
    <w:rsid w:val="3A967160"/>
    <w:rsid w:val="3A98F304"/>
    <w:rsid w:val="3AA1E987"/>
    <w:rsid w:val="3AA473D2"/>
    <w:rsid w:val="3AA523DE"/>
    <w:rsid w:val="3AA8EBE5"/>
    <w:rsid w:val="3AAA482D"/>
    <w:rsid w:val="3AAAAE6C"/>
    <w:rsid w:val="3AACBE9F"/>
    <w:rsid w:val="3AAE414D"/>
    <w:rsid w:val="3AAF62CF"/>
    <w:rsid w:val="3AAFBC35"/>
    <w:rsid w:val="3AB69604"/>
    <w:rsid w:val="3AB95ADB"/>
    <w:rsid w:val="3ABF584D"/>
    <w:rsid w:val="3AC0A5C4"/>
    <w:rsid w:val="3ACBC009"/>
    <w:rsid w:val="3ACE32EB"/>
    <w:rsid w:val="3AD4AF2D"/>
    <w:rsid w:val="3AD645EF"/>
    <w:rsid w:val="3AD651E6"/>
    <w:rsid w:val="3AE8B4FA"/>
    <w:rsid w:val="3AEB55BE"/>
    <w:rsid w:val="3AF5BE82"/>
    <w:rsid w:val="3AF6B521"/>
    <w:rsid w:val="3AF6EC24"/>
    <w:rsid w:val="3AFE8940"/>
    <w:rsid w:val="3B04A6F8"/>
    <w:rsid w:val="3B0814F7"/>
    <w:rsid w:val="3B0E36E7"/>
    <w:rsid w:val="3B111A60"/>
    <w:rsid w:val="3B20E79C"/>
    <w:rsid w:val="3B27E410"/>
    <w:rsid w:val="3B2AB960"/>
    <w:rsid w:val="3B2EF00E"/>
    <w:rsid w:val="3B315EAE"/>
    <w:rsid w:val="3B36328F"/>
    <w:rsid w:val="3B373481"/>
    <w:rsid w:val="3B3D0C73"/>
    <w:rsid w:val="3B3F76E3"/>
    <w:rsid w:val="3B3FB461"/>
    <w:rsid w:val="3B480FE3"/>
    <w:rsid w:val="3B48612C"/>
    <w:rsid w:val="3B495594"/>
    <w:rsid w:val="3B574A08"/>
    <w:rsid w:val="3B5795F5"/>
    <w:rsid w:val="3B5F67BC"/>
    <w:rsid w:val="3B63AB89"/>
    <w:rsid w:val="3B682EA6"/>
    <w:rsid w:val="3B694A83"/>
    <w:rsid w:val="3B6951C2"/>
    <w:rsid w:val="3B6B1B50"/>
    <w:rsid w:val="3B6CE232"/>
    <w:rsid w:val="3B6E0D87"/>
    <w:rsid w:val="3B72EBE2"/>
    <w:rsid w:val="3B7A1D2C"/>
    <w:rsid w:val="3B7AB09D"/>
    <w:rsid w:val="3B7AC313"/>
    <w:rsid w:val="3B7D8F20"/>
    <w:rsid w:val="3B843757"/>
    <w:rsid w:val="3B846C91"/>
    <w:rsid w:val="3B8487C2"/>
    <w:rsid w:val="3B94CF65"/>
    <w:rsid w:val="3B9D0198"/>
    <w:rsid w:val="3BA5B886"/>
    <w:rsid w:val="3BA6237A"/>
    <w:rsid w:val="3BA80691"/>
    <w:rsid w:val="3BA98F15"/>
    <w:rsid w:val="3BACCF43"/>
    <w:rsid w:val="3BAE1FE2"/>
    <w:rsid w:val="3BAF8BA1"/>
    <w:rsid w:val="3BB9F020"/>
    <w:rsid w:val="3BC05FE6"/>
    <w:rsid w:val="3BC1CDE3"/>
    <w:rsid w:val="3BCDDC3C"/>
    <w:rsid w:val="3BD2C1B4"/>
    <w:rsid w:val="3BD6B21A"/>
    <w:rsid w:val="3BDA7C20"/>
    <w:rsid w:val="3BDCC135"/>
    <w:rsid w:val="3BE42CB6"/>
    <w:rsid w:val="3BE492E2"/>
    <w:rsid w:val="3BED6695"/>
    <w:rsid w:val="3BED7D47"/>
    <w:rsid w:val="3BEFA3D3"/>
    <w:rsid w:val="3BF16F86"/>
    <w:rsid w:val="3BF42C00"/>
    <w:rsid w:val="3BF5DFC1"/>
    <w:rsid w:val="3C0989F7"/>
    <w:rsid w:val="3C0B25B2"/>
    <w:rsid w:val="3C0E5D25"/>
    <w:rsid w:val="3C0F9284"/>
    <w:rsid w:val="3C105B72"/>
    <w:rsid w:val="3C110406"/>
    <w:rsid w:val="3C11F63D"/>
    <w:rsid w:val="3C15C24F"/>
    <w:rsid w:val="3C19B7C8"/>
    <w:rsid w:val="3C1CA634"/>
    <w:rsid w:val="3C1FAB8D"/>
    <w:rsid w:val="3C2134E3"/>
    <w:rsid w:val="3C238A73"/>
    <w:rsid w:val="3C3622A6"/>
    <w:rsid w:val="3C36DC19"/>
    <w:rsid w:val="3C37D584"/>
    <w:rsid w:val="3C3BB28D"/>
    <w:rsid w:val="3C3D4FC6"/>
    <w:rsid w:val="3C3DA531"/>
    <w:rsid w:val="3C40F766"/>
    <w:rsid w:val="3C45628A"/>
    <w:rsid w:val="3C45A696"/>
    <w:rsid w:val="3C45E1EA"/>
    <w:rsid w:val="3C51E6B9"/>
    <w:rsid w:val="3C5260C2"/>
    <w:rsid w:val="3C55CA66"/>
    <w:rsid w:val="3C56E955"/>
    <w:rsid w:val="3C5AD018"/>
    <w:rsid w:val="3C5E870F"/>
    <w:rsid w:val="3C6A7D80"/>
    <w:rsid w:val="3C7DB914"/>
    <w:rsid w:val="3C802616"/>
    <w:rsid w:val="3C843A24"/>
    <w:rsid w:val="3C87C080"/>
    <w:rsid w:val="3C8D3B63"/>
    <w:rsid w:val="3C935889"/>
    <w:rsid w:val="3C95D196"/>
    <w:rsid w:val="3C963A85"/>
    <w:rsid w:val="3C978089"/>
    <w:rsid w:val="3C9A41F9"/>
    <w:rsid w:val="3C9DF4C5"/>
    <w:rsid w:val="3CA00A9B"/>
    <w:rsid w:val="3CA15755"/>
    <w:rsid w:val="3CA38AD6"/>
    <w:rsid w:val="3CA60F26"/>
    <w:rsid w:val="3CA9C1BB"/>
    <w:rsid w:val="3CADB032"/>
    <w:rsid w:val="3CB08223"/>
    <w:rsid w:val="3CB3DC95"/>
    <w:rsid w:val="3CB40274"/>
    <w:rsid w:val="3CB980CC"/>
    <w:rsid w:val="3CC684EF"/>
    <w:rsid w:val="3CC99FA3"/>
    <w:rsid w:val="3CCD66DF"/>
    <w:rsid w:val="3CDC2E90"/>
    <w:rsid w:val="3CDF661E"/>
    <w:rsid w:val="3CE18900"/>
    <w:rsid w:val="3CE1B3C4"/>
    <w:rsid w:val="3CE2ABF1"/>
    <w:rsid w:val="3CE44CDE"/>
    <w:rsid w:val="3CE4D3D7"/>
    <w:rsid w:val="3CEAA9B8"/>
    <w:rsid w:val="3CF159DB"/>
    <w:rsid w:val="3CF22227"/>
    <w:rsid w:val="3CF2E64C"/>
    <w:rsid w:val="3CF7B8F6"/>
    <w:rsid w:val="3CFA85E3"/>
    <w:rsid w:val="3CFCDD20"/>
    <w:rsid w:val="3CFF9E97"/>
    <w:rsid w:val="3D003653"/>
    <w:rsid w:val="3D039E84"/>
    <w:rsid w:val="3D075345"/>
    <w:rsid w:val="3D0FDD10"/>
    <w:rsid w:val="3D1191C5"/>
    <w:rsid w:val="3D13318A"/>
    <w:rsid w:val="3D14C53A"/>
    <w:rsid w:val="3D1558A6"/>
    <w:rsid w:val="3D156258"/>
    <w:rsid w:val="3D1689EB"/>
    <w:rsid w:val="3D1C8BE4"/>
    <w:rsid w:val="3D235091"/>
    <w:rsid w:val="3D266B5C"/>
    <w:rsid w:val="3D27912E"/>
    <w:rsid w:val="3D287E58"/>
    <w:rsid w:val="3D39486C"/>
    <w:rsid w:val="3D44D6CD"/>
    <w:rsid w:val="3D46D0E9"/>
    <w:rsid w:val="3D47255F"/>
    <w:rsid w:val="3D481F44"/>
    <w:rsid w:val="3D49C747"/>
    <w:rsid w:val="3D4D7590"/>
    <w:rsid w:val="3D4DA006"/>
    <w:rsid w:val="3D4F7DEA"/>
    <w:rsid w:val="3D5A1213"/>
    <w:rsid w:val="3D5F5D32"/>
    <w:rsid w:val="3D626474"/>
    <w:rsid w:val="3D65A3BF"/>
    <w:rsid w:val="3D6C124D"/>
    <w:rsid w:val="3D6C1EDB"/>
    <w:rsid w:val="3D6E2275"/>
    <w:rsid w:val="3D72835B"/>
    <w:rsid w:val="3D732151"/>
    <w:rsid w:val="3D80530A"/>
    <w:rsid w:val="3D847699"/>
    <w:rsid w:val="3D863909"/>
    <w:rsid w:val="3D866F49"/>
    <w:rsid w:val="3D86E528"/>
    <w:rsid w:val="3D8AA2EF"/>
    <w:rsid w:val="3D8C5E09"/>
    <w:rsid w:val="3D8D65A6"/>
    <w:rsid w:val="3D907A0A"/>
    <w:rsid w:val="3D955766"/>
    <w:rsid w:val="3D95E9D7"/>
    <w:rsid w:val="3D9640CB"/>
    <w:rsid w:val="3D96B0A0"/>
    <w:rsid w:val="3D96E546"/>
    <w:rsid w:val="3D980D68"/>
    <w:rsid w:val="3D98F5CA"/>
    <w:rsid w:val="3D9A2902"/>
    <w:rsid w:val="3D9D77C6"/>
    <w:rsid w:val="3DA3424F"/>
    <w:rsid w:val="3DA82B50"/>
    <w:rsid w:val="3DB91B5D"/>
    <w:rsid w:val="3DBEA6F1"/>
    <w:rsid w:val="3DBF4D72"/>
    <w:rsid w:val="3DC90357"/>
    <w:rsid w:val="3DCF7AE4"/>
    <w:rsid w:val="3DD1BD28"/>
    <w:rsid w:val="3DD219C5"/>
    <w:rsid w:val="3DD7DA92"/>
    <w:rsid w:val="3DD8A001"/>
    <w:rsid w:val="3DDDE5E8"/>
    <w:rsid w:val="3DE36E19"/>
    <w:rsid w:val="3DEA3A4C"/>
    <w:rsid w:val="3DF6CA91"/>
    <w:rsid w:val="3DFBE51C"/>
    <w:rsid w:val="3DFC05E8"/>
    <w:rsid w:val="3E05342C"/>
    <w:rsid w:val="3E07262A"/>
    <w:rsid w:val="3E0C13E0"/>
    <w:rsid w:val="3E0E2B6A"/>
    <w:rsid w:val="3E0E3B05"/>
    <w:rsid w:val="3E10B2A7"/>
    <w:rsid w:val="3E131B61"/>
    <w:rsid w:val="3E209185"/>
    <w:rsid w:val="3E2AF5DC"/>
    <w:rsid w:val="3E305029"/>
    <w:rsid w:val="3E327D85"/>
    <w:rsid w:val="3E39C6A8"/>
    <w:rsid w:val="3E3E2595"/>
    <w:rsid w:val="3E45F3B2"/>
    <w:rsid w:val="3E488BFE"/>
    <w:rsid w:val="3E4A3FA6"/>
    <w:rsid w:val="3E4E53A8"/>
    <w:rsid w:val="3E529339"/>
    <w:rsid w:val="3E52BEE8"/>
    <w:rsid w:val="3E52F521"/>
    <w:rsid w:val="3E5532C8"/>
    <w:rsid w:val="3E5B0463"/>
    <w:rsid w:val="3E5C633E"/>
    <w:rsid w:val="3E62CAD1"/>
    <w:rsid w:val="3E64F0BF"/>
    <w:rsid w:val="3E68019C"/>
    <w:rsid w:val="3E6E6C6E"/>
    <w:rsid w:val="3E707320"/>
    <w:rsid w:val="3E719783"/>
    <w:rsid w:val="3E75D058"/>
    <w:rsid w:val="3E7619A1"/>
    <w:rsid w:val="3E76F522"/>
    <w:rsid w:val="3E786081"/>
    <w:rsid w:val="3E7BAB2E"/>
    <w:rsid w:val="3E7C6B39"/>
    <w:rsid w:val="3E8128A4"/>
    <w:rsid w:val="3E825EBB"/>
    <w:rsid w:val="3E8368DC"/>
    <w:rsid w:val="3E8B32AC"/>
    <w:rsid w:val="3E8E1F25"/>
    <w:rsid w:val="3E91DBF9"/>
    <w:rsid w:val="3E9419CB"/>
    <w:rsid w:val="3E945B5D"/>
    <w:rsid w:val="3E98777F"/>
    <w:rsid w:val="3EA9A880"/>
    <w:rsid w:val="3EAB32B8"/>
    <w:rsid w:val="3EB25226"/>
    <w:rsid w:val="3EB57A82"/>
    <w:rsid w:val="3EBE0879"/>
    <w:rsid w:val="3EC4DA5E"/>
    <w:rsid w:val="3ED2DCD9"/>
    <w:rsid w:val="3ED3E37B"/>
    <w:rsid w:val="3ED55703"/>
    <w:rsid w:val="3ED88241"/>
    <w:rsid w:val="3ED9D9CA"/>
    <w:rsid w:val="3EDBF158"/>
    <w:rsid w:val="3EDD4081"/>
    <w:rsid w:val="3EE4AAAB"/>
    <w:rsid w:val="3EE50FA4"/>
    <w:rsid w:val="3EEAC908"/>
    <w:rsid w:val="3EF1381A"/>
    <w:rsid w:val="3EF77E32"/>
    <w:rsid w:val="3F018B79"/>
    <w:rsid w:val="3F07FE2F"/>
    <w:rsid w:val="3F0B7A20"/>
    <w:rsid w:val="3F1B0820"/>
    <w:rsid w:val="3F2547AC"/>
    <w:rsid w:val="3F2A3A19"/>
    <w:rsid w:val="3F2B8840"/>
    <w:rsid w:val="3F2B8855"/>
    <w:rsid w:val="3F3B6DC4"/>
    <w:rsid w:val="3F42657D"/>
    <w:rsid w:val="3F4450AB"/>
    <w:rsid w:val="3F44C12E"/>
    <w:rsid w:val="3F4A5BD6"/>
    <w:rsid w:val="3F4E84C8"/>
    <w:rsid w:val="3F51108C"/>
    <w:rsid w:val="3F555144"/>
    <w:rsid w:val="3F597FFF"/>
    <w:rsid w:val="3F5D902A"/>
    <w:rsid w:val="3F5E05A8"/>
    <w:rsid w:val="3F5F1817"/>
    <w:rsid w:val="3F62E378"/>
    <w:rsid w:val="3F637696"/>
    <w:rsid w:val="3F6F896F"/>
    <w:rsid w:val="3F73A80D"/>
    <w:rsid w:val="3F74DBCF"/>
    <w:rsid w:val="3F7B5741"/>
    <w:rsid w:val="3F806261"/>
    <w:rsid w:val="3F8F9653"/>
    <w:rsid w:val="3F93E0B4"/>
    <w:rsid w:val="3F9716AE"/>
    <w:rsid w:val="3F9964CF"/>
    <w:rsid w:val="3F9EFC31"/>
    <w:rsid w:val="3FA28A16"/>
    <w:rsid w:val="3FA96956"/>
    <w:rsid w:val="3FA9700C"/>
    <w:rsid w:val="3FA9FC55"/>
    <w:rsid w:val="3FAB0976"/>
    <w:rsid w:val="3FB360F0"/>
    <w:rsid w:val="3FB53FB2"/>
    <w:rsid w:val="3FB876C0"/>
    <w:rsid w:val="3FBA3E7A"/>
    <w:rsid w:val="3FBBBC6C"/>
    <w:rsid w:val="3FC35CB0"/>
    <w:rsid w:val="3FC48867"/>
    <w:rsid w:val="3FC71F76"/>
    <w:rsid w:val="3FC8198C"/>
    <w:rsid w:val="3FC8B5B8"/>
    <w:rsid w:val="3FCE8A54"/>
    <w:rsid w:val="3FD34840"/>
    <w:rsid w:val="3FD423C6"/>
    <w:rsid w:val="3FDEF615"/>
    <w:rsid w:val="3FDF42E8"/>
    <w:rsid w:val="3FE3F40B"/>
    <w:rsid w:val="3FE44CDE"/>
    <w:rsid w:val="3FEA2632"/>
    <w:rsid w:val="3FECA5F4"/>
    <w:rsid w:val="3FF2FADA"/>
    <w:rsid w:val="3FFB89C5"/>
    <w:rsid w:val="3FFD80B3"/>
    <w:rsid w:val="400710F2"/>
    <w:rsid w:val="401075E7"/>
    <w:rsid w:val="401A0EE3"/>
    <w:rsid w:val="402306A6"/>
    <w:rsid w:val="40273F71"/>
    <w:rsid w:val="402AFDB1"/>
    <w:rsid w:val="402C5A76"/>
    <w:rsid w:val="402D71AC"/>
    <w:rsid w:val="40308B78"/>
    <w:rsid w:val="403143C8"/>
    <w:rsid w:val="403585C1"/>
    <w:rsid w:val="40382716"/>
    <w:rsid w:val="403F4BF8"/>
    <w:rsid w:val="40444806"/>
    <w:rsid w:val="404AC553"/>
    <w:rsid w:val="404F0E48"/>
    <w:rsid w:val="404FE6D6"/>
    <w:rsid w:val="40525061"/>
    <w:rsid w:val="40536D59"/>
    <w:rsid w:val="405C6E55"/>
    <w:rsid w:val="405FEB96"/>
    <w:rsid w:val="406534B4"/>
    <w:rsid w:val="40663E12"/>
    <w:rsid w:val="406CF7F4"/>
    <w:rsid w:val="407524EE"/>
    <w:rsid w:val="407CE0D2"/>
    <w:rsid w:val="40884F53"/>
    <w:rsid w:val="40889D92"/>
    <w:rsid w:val="4088EF8D"/>
    <w:rsid w:val="4089F101"/>
    <w:rsid w:val="40918162"/>
    <w:rsid w:val="409B0A3D"/>
    <w:rsid w:val="40A2E4C6"/>
    <w:rsid w:val="40A699A3"/>
    <w:rsid w:val="40A8BAA1"/>
    <w:rsid w:val="40A9DA5E"/>
    <w:rsid w:val="40AA392A"/>
    <w:rsid w:val="40B0849A"/>
    <w:rsid w:val="40B204A7"/>
    <w:rsid w:val="40BBDBCE"/>
    <w:rsid w:val="40BD0934"/>
    <w:rsid w:val="40C81203"/>
    <w:rsid w:val="40CBA47D"/>
    <w:rsid w:val="40D3FD99"/>
    <w:rsid w:val="40D43C04"/>
    <w:rsid w:val="40D6572B"/>
    <w:rsid w:val="40D88183"/>
    <w:rsid w:val="40E6DAA3"/>
    <w:rsid w:val="40E98674"/>
    <w:rsid w:val="40EBA777"/>
    <w:rsid w:val="40EDC651"/>
    <w:rsid w:val="40F16269"/>
    <w:rsid w:val="40F21366"/>
    <w:rsid w:val="40F5D1A5"/>
    <w:rsid w:val="40F9FDF8"/>
    <w:rsid w:val="40FCDF02"/>
    <w:rsid w:val="40FE6406"/>
    <w:rsid w:val="4102482B"/>
    <w:rsid w:val="4105A27D"/>
    <w:rsid w:val="4119197D"/>
    <w:rsid w:val="411D9693"/>
    <w:rsid w:val="411FA65F"/>
    <w:rsid w:val="41238504"/>
    <w:rsid w:val="41249926"/>
    <w:rsid w:val="4128F702"/>
    <w:rsid w:val="4132E1A2"/>
    <w:rsid w:val="413301F5"/>
    <w:rsid w:val="413BF31F"/>
    <w:rsid w:val="413D5956"/>
    <w:rsid w:val="413FC8D2"/>
    <w:rsid w:val="4149D73D"/>
    <w:rsid w:val="414C7171"/>
    <w:rsid w:val="414EF081"/>
    <w:rsid w:val="41576096"/>
    <w:rsid w:val="415A9276"/>
    <w:rsid w:val="415E9CD9"/>
    <w:rsid w:val="415F1495"/>
    <w:rsid w:val="416EE0EA"/>
    <w:rsid w:val="4172D070"/>
    <w:rsid w:val="417841B2"/>
    <w:rsid w:val="417B99A9"/>
    <w:rsid w:val="417EEBFB"/>
    <w:rsid w:val="418840EA"/>
    <w:rsid w:val="418F06DA"/>
    <w:rsid w:val="41920111"/>
    <w:rsid w:val="4192A9B5"/>
    <w:rsid w:val="4196499A"/>
    <w:rsid w:val="4196F0D6"/>
    <w:rsid w:val="41981534"/>
    <w:rsid w:val="41A5C430"/>
    <w:rsid w:val="41ABF508"/>
    <w:rsid w:val="41AC2507"/>
    <w:rsid w:val="41AF0061"/>
    <w:rsid w:val="41B6E22F"/>
    <w:rsid w:val="41B9AF54"/>
    <w:rsid w:val="41BA37DC"/>
    <w:rsid w:val="41BCECD9"/>
    <w:rsid w:val="41BF8F1B"/>
    <w:rsid w:val="41C01233"/>
    <w:rsid w:val="41C337BD"/>
    <w:rsid w:val="41CAA2C3"/>
    <w:rsid w:val="41CB8E72"/>
    <w:rsid w:val="41D02F6F"/>
    <w:rsid w:val="41D0C9F0"/>
    <w:rsid w:val="41D35FCF"/>
    <w:rsid w:val="41D9B51D"/>
    <w:rsid w:val="41DBC123"/>
    <w:rsid w:val="41DD580E"/>
    <w:rsid w:val="41E374AC"/>
    <w:rsid w:val="41E3EF52"/>
    <w:rsid w:val="41E71599"/>
    <w:rsid w:val="41EADF57"/>
    <w:rsid w:val="41EF3C6B"/>
    <w:rsid w:val="41F09FBA"/>
    <w:rsid w:val="41F0B452"/>
    <w:rsid w:val="41F88182"/>
    <w:rsid w:val="42092474"/>
    <w:rsid w:val="420E2F85"/>
    <w:rsid w:val="420E9CC2"/>
    <w:rsid w:val="420F349E"/>
    <w:rsid w:val="42121C22"/>
    <w:rsid w:val="421714A5"/>
    <w:rsid w:val="4217B49D"/>
    <w:rsid w:val="421C5BA6"/>
    <w:rsid w:val="4221EDD4"/>
    <w:rsid w:val="4222DC8A"/>
    <w:rsid w:val="4223414D"/>
    <w:rsid w:val="4226A9B3"/>
    <w:rsid w:val="4226E20E"/>
    <w:rsid w:val="42270574"/>
    <w:rsid w:val="4229DB38"/>
    <w:rsid w:val="422CFDC1"/>
    <w:rsid w:val="423145C6"/>
    <w:rsid w:val="42318A0C"/>
    <w:rsid w:val="4231C8F1"/>
    <w:rsid w:val="423AF06F"/>
    <w:rsid w:val="42427C5A"/>
    <w:rsid w:val="42451DD1"/>
    <w:rsid w:val="4248DBCC"/>
    <w:rsid w:val="4255EB19"/>
    <w:rsid w:val="4256E743"/>
    <w:rsid w:val="425B3DDA"/>
    <w:rsid w:val="425BA0D8"/>
    <w:rsid w:val="4267584E"/>
    <w:rsid w:val="42696269"/>
    <w:rsid w:val="426B89ED"/>
    <w:rsid w:val="426FA5A1"/>
    <w:rsid w:val="42755D3B"/>
    <w:rsid w:val="42764A0A"/>
    <w:rsid w:val="4278EF95"/>
    <w:rsid w:val="42792B1A"/>
    <w:rsid w:val="427AFA60"/>
    <w:rsid w:val="427D3A7C"/>
    <w:rsid w:val="427D56E5"/>
    <w:rsid w:val="4281C339"/>
    <w:rsid w:val="4283CE26"/>
    <w:rsid w:val="4285263F"/>
    <w:rsid w:val="4289B426"/>
    <w:rsid w:val="428BC4A4"/>
    <w:rsid w:val="428DD43B"/>
    <w:rsid w:val="428EA5F4"/>
    <w:rsid w:val="4295E5A6"/>
    <w:rsid w:val="4299A580"/>
    <w:rsid w:val="429A1B0F"/>
    <w:rsid w:val="42A0C3AA"/>
    <w:rsid w:val="42A62D64"/>
    <w:rsid w:val="42ACC9FF"/>
    <w:rsid w:val="42AF837C"/>
    <w:rsid w:val="42B8432A"/>
    <w:rsid w:val="42B8B560"/>
    <w:rsid w:val="42BE8CE7"/>
    <w:rsid w:val="42C125A7"/>
    <w:rsid w:val="42C5D2D6"/>
    <w:rsid w:val="42CC9967"/>
    <w:rsid w:val="42D01B5C"/>
    <w:rsid w:val="42D03A05"/>
    <w:rsid w:val="42D248F1"/>
    <w:rsid w:val="42D274DD"/>
    <w:rsid w:val="42D7DEAF"/>
    <w:rsid w:val="42DEF4AC"/>
    <w:rsid w:val="42E0A648"/>
    <w:rsid w:val="42E1FE80"/>
    <w:rsid w:val="42EA7D73"/>
    <w:rsid w:val="42F50566"/>
    <w:rsid w:val="42F6E68F"/>
    <w:rsid w:val="42FC938D"/>
    <w:rsid w:val="42FD84B0"/>
    <w:rsid w:val="4300977C"/>
    <w:rsid w:val="43030883"/>
    <w:rsid w:val="4306A4F2"/>
    <w:rsid w:val="4308A057"/>
    <w:rsid w:val="430D7087"/>
    <w:rsid w:val="4310973B"/>
    <w:rsid w:val="43134108"/>
    <w:rsid w:val="43164E56"/>
    <w:rsid w:val="431D6B0C"/>
    <w:rsid w:val="4320CEE2"/>
    <w:rsid w:val="4324AA96"/>
    <w:rsid w:val="433AF787"/>
    <w:rsid w:val="433EE66F"/>
    <w:rsid w:val="4345E5C3"/>
    <w:rsid w:val="43460DB7"/>
    <w:rsid w:val="43473AF8"/>
    <w:rsid w:val="434827DD"/>
    <w:rsid w:val="4348E586"/>
    <w:rsid w:val="435057B5"/>
    <w:rsid w:val="435526F4"/>
    <w:rsid w:val="435B024C"/>
    <w:rsid w:val="435E5EED"/>
    <w:rsid w:val="43610AFF"/>
    <w:rsid w:val="4361A3F8"/>
    <w:rsid w:val="43646BE8"/>
    <w:rsid w:val="4366220A"/>
    <w:rsid w:val="436D504C"/>
    <w:rsid w:val="4373F811"/>
    <w:rsid w:val="4377DC45"/>
    <w:rsid w:val="4381551E"/>
    <w:rsid w:val="438386DB"/>
    <w:rsid w:val="4383E247"/>
    <w:rsid w:val="43873244"/>
    <w:rsid w:val="4388A418"/>
    <w:rsid w:val="43920A48"/>
    <w:rsid w:val="439A6238"/>
    <w:rsid w:val="439C0459"/>
    <w:rsid w:val="439EF382"/>
    <w:rsid w:val="439FEE30"/>
    <w:rsid w:val="43A4F90C"/>
    <w:rsid w:val="43A8C83F"/>
    <w:rsid w:val="43A93046"/>
    <w:rsid w:val="43BBEAC6"/>
    <w:rsid w:val="43C16CD7"/>
    <w:rsid w:val="43C2F249"/>
    <w:rsid w:val="43C5D345"/>
    <w:rsid w:val="43C67F6A"/>
    <w:rsid w:val="43C76D9C"/>
    <w:rsid w:val="43D47597"/>
    <w:rsid w:val="43D5BA16"/>
    <w:rsid w:val="43D81CFC"/>
    <w:rsid w:val="43DB0364"/>
    <w:rsid w:val="43DFD815"/>
    <w:rsid w:val="43E5CAA7"/>
    <w:rsid w:val="43E60DB5"/>
    <w:rsid w:val="43F5347A"/>
    <w:rsid w:val="43FBCB4C"/>
    <w:rsid w:val="4400F91F"/>
    <w:rsid w:val="4401C614"/>
    <w:rsid w:val="44042CBF"/>
    <w:rsid w:val="4408B309"/>
    <w:rsid w:val="440BF315"/>
    <w:rsid w:val="44122BC8"/>
    <w:rsid w:val="4415A6CC"/>
    <w:rsid w:val="4417CBB4"/>
    <w:rsid w:val="441AF333"/>
    <w:rsid w:val="441FB42F"/>
    <w:rsid w:val="44203C69"/>
    <w:rsid w:val="4423D621"/>
    <w:rsid w:val="44252D8E"/>
    <w:rsid w:val="4430F4E8"/>
    <w:rsid w:val="443D1CB8"/>
    <w:rsid w:val="443FD9D0"/>
    <w:rsid w:val="4440953B"/>
    <w:rsid w:val="44436D2F"/>
    <w:rsid w:val="444491F0"/>
    <w:rsid w:val="44514056"/>
    <w:rsid w:val="44517E07"/>
    <w:rsid w:val="44530434"/>
    <w:rsid w:val="445EB840"/>
    <w:rsid w:val="445F4396"/>
    <w:rsid w:val="446184C6"/>
    <w:rsid w:val="4461EAAA"/>
    <w:rsid w:val="446506C5"/>
    <w:rsid w:val="44757233"/>
    <w:rsid w:val="4486A02D"/>
    <w:rsid w:val="44876845"/>
    <w:rsid w:val="4488732C"/>
    <w:rsid w:val="448D985A"/>
    <w:rsid w:val="44919366"/>
    <w:rsid w:val="4495CEE0"/>
    <w:rsid w:val="4495CFD4"/>
    <w:rsid w:val="449A2FAD"/>
    <w:rsid w:val="449E9F0A"/>
    <w:rsid w:val="449EE0B8"/>
    <w:rsid w:val="44AAC217"/>
    <w:rsid w:val="44ADE295"/>
    <w:rsid w:val="44B3A970"/>
    <w:rsid w:val="44B563A2"/>
    <w:rsid w:val="44B6636B"/>
    <w:rsid w:val="44B75161"/>
    <w:rsid w:val="44BFDF60"/>
    <w:rsid w:val="44C46BF9"/>
    <w:rsid w:val="44C68C2D"/>
    <w:rsid w:val="44CB75A1"/>
    <w:rsid w:val="44CBC4D2"/>
    <w:rsid w:val="44CBD9A5"/>
    <w:rsid w:val="44D13656"/>
    <w:rsid w:val="44D43651"/>
    <w:rsid w:val="44D7D68A"/>
    <w:rsid w:val="44D820FA"/>
    <w:rsid w:val="44E165E7"/>
    <w:rsid w:val="44E1B00F"/>
    <w:rsid w:val="44EBE911"/>
    <w:rsid w:val="44EFC21B"/>
    <w:rsid w:val="44F53BAB"/>
    <w:rsid w:val="44F818A4"/>
    <w:rsid w:val="44FD6D14"/>
    <w:rsid w:val="45021FCA"/>
    <w:rsid w:val="4502C1DA"/>
    <w:rsid w:val="4505AFBF"/>
    <w:rsid w:val="450916EF"/>
    <w:rsid w:val="45096C3C"/>
    <w:rsid w:val="45096D3D"/>
    <w:rsid w:val="450ECE05"/>
    <w:rsid w:val="45118396"/>
    <w:rsid w:val="45126334"/>
    <w:rsid w:val="45133E1F"/>
    <w:rsid w:val="4513F1F5"/>
    <w:rsid w:val="4519A0FA"/>
    <w:rsid w:val="451A20FB"/>
    <w:rsid w:val="451D170A"/>
    <w:rsid w:val="451F8552"/>
    <w:rsid w:val="4521D317"/>
    <w:rsid w:val="45259313"/>
    <w:rsid w:val="4529F4D3"/>
    <w:rsid w:val="453A413F"/>
    <w:rsid w:val="4546164E"/>
    <w:rsid w:val="45473F06"/>
    <w:rsid w:val="45484643"/>
    <w:rsid w:val="45485BEF"/>
    <w:rsid w:val="454A9FAF"/>
    <w:rsid w:val="454AB738"/>
    <w:rsid w:val="454C9931"/>
    <w:rsid w:val="45508A2C"/>
    <w:rsid w:val="455240AF"/>
    <w:rsid w:val="4552CFB2"/>
    <w:rsid w:val="45546E8E"/>
    <w:rsid w:val="4555824A"/>
    <w:rsid w:val="455C0910"/>
    <w:rsid w:val="45648FC3"/>
    <w:rsid w:val="456B052B"/>
    <w:rsid w:val="456C8B5C"/>
    <w:rsid w:val="456D109C"/>
    <w:rsid w:val="4571C2BA"/>
    <w:rsid w:val="4579BB06"/>
    <w:rsid w:val="457CDBFF"/>
    <w:rsid w:val="458210D1"/>
    <w:rsid w:val="4582C65B"/>
    <w:rsid w:val="45833056"/>
    <w:rsid w:val="458444BE"/>
    <w:rsid w:val="45934FC9"/>
    <w:rsid w:val="4594289F"/>
    <w:rsid w:val="4597B321"/>
    <w:rsid w:val="459D17F3"/>
    <w:rsid w:val="45A7DCE4"/>
    <w:rsid w:val="45A86F1C"/>
    <w:rsid w:val="45AA21C2"/>
    <w:rsid w:val="45AA2E06"/>
    <w:rsid w:val="45AD31B2"/>
    <w:rsid w:val="45AE2FCB"/>
    <w:rsid w:val="45AE9E9E"/>
    <w:rsid w:val="45AF53D6"/>
    <w:rsid w:val="45BCFBBA"/>
    <w:rsid w:val="45BDAB08"/>
    <w:rsid w:val="45BF189A"/>
    <w:rsid w:val="45C44BB6"/>
    <w:rsid w:val="45CB64C5"/>
    <w:rsid w:val="45CC705D"/>
    <w:rsid w:val="45D00A73"/>
    <w:rsid w:val="45D513A5"/>
    <w:rsid w:val="45D5ABE6"/>
    <w:rsid w:val="45D5BF00"/>
    <w:rsid w:val="45D68667"/>
    <w:rsid w:val="45D9D25A"/>
    <w:rsid w:val="45DA072D"/>
    <w:rsid w:val="45DB2E9D"/>
    <w:rsid w:val="45DB4AF9"/>
    <w:rsid w:val="45E82726"/>
    <w:rsid w:val="45E9BDF7"/>
    <w:rsid w:val="45F07EDF"/>
    <w:rsid w:val="45F78511"/>
    <w:rsid w:val="45F9768D"/>
    <w:rsid w:val="45F99DE0"/>
    <w:rsid w:val="46049821"/>
    <w:rsid w:val="4605F93C"/>
    <w:rsid w:val="46087F69"/>
    <w:rsid w:val="4608F5AC"/>
    <w:rsid w:val="460A7B34"/>
    <w:rsid w:val="460C4CC4"/>
    <w:rsid w:val="46129365"/>
    <w:rsid w:val="46182E0C"/>
    <w:rsid w:val="46195429"/>
    <w:rsid w:val="461C0FB4"/>
    <w:rsid w:val="461D67A1"/>
    <w:rsid w:val="46228F60"/>
    <w:rsid w:val="462824AD"/>
    <w:rsid w:val="462F19CF"/>
    <w:rsid w:val="4639EFEF"/>
    <w:rsid w:val="463DF159"/>
    <w:rsid w:val="463E798A"/>
    <w:rsid w:val="464714B5"/>
    <w:rsid w:val="4648F5FF"/>
    <w:rsid w:val="464D8F90"/>
    <w:rsid w:val="465B4353"/>
    <w:rsid w:val="465C4520"/>
    <w:rsid w:val="46625849"/>
    <w:rsid w:val="466AB86E"/>
    <w:rsid w:val="4670EDF4"/>
    <w:rsid w:val="4678C883"/>
    <w:rsid w:val="467B977A"/>
    <w:rsid w:val="467E2435"/>
    <w:rsid w:val="467EA329"/>
    <w:rsid w:val="467F5ABA"/>
    <w:rsid w:val="467FF955"/>
    <w:rsid w:val="468101B7"/>
    <w:rsid w:val="468333F8"/>
    <w:rsid w:val="4683ACEA"/>
    <w:rsid w:val="468437B8"/>
    <w:rsid w:val="46845F7A"/>
    <w:rsid w:val="468EC8A1"/>
    <w:rsid w:val="468FE137"/>
    <w:rsid w:val="469DBDD5"/>
    <w:rsid w:val="46A07A6A"/>
    <w:rsid w:val="46A866BD"/>
    <w:rsid w:val="46B604EF"/>
    <w:rsid w:val="46BDFF8B"/>
    <w:rsid w:val="46BFB9E4"/>
    <w:rsid w:val="46C03BBB"/>
    <w:rsid w:val="46C0BBF8"/>
    <w:rsid w:val="46C46455"/>
    <w:rsid w:val="46C7A972"/>
    <w:rsid w:val="46C7FDE8"/>
    <w:rsid w:val="46CDC174"/>
    <w:rsid w:val="46D0139A"/>
    <w:rsid w:val="46D9A7EB"/>
    <w:rsid w:val="46E1F9B4"/>
    <w:rsid w:val="46E6DFE9"/>
    <w:rsid w:val="46E9E189"/>
    <w:rsid w:val="46F11F33"/>
    <w:rsid w:val="470587F9"/>
    <w:rsid w:val="4705D417"/>
    <w:rsid w:val="4706EFC6"/>
    <w:rsid w:val="470D0CD0"/>
    <w:rsid w:val="470FAEBD"/>
    <w:rsid w:val="471144DC"/>
    <w:rsid w:val="47156538"/>
    <w:rsid w:val="47174C8F"/>
    <w:rsid w:val="471C5D24"/>
    <w:rsid w:val="471C5F10"/>
    <w:rsid w:val="471F47A9"/>
    <w:rsid w:val="472207A2"/>
    <w:rsid w:val="472BA2B0"/>
    <w:rsid w:val="472BC1FF"/>
    <w:rsid w:val="472DF97A"/>
    <w:rsid w:val="472F4663"/>
    <w:rsid w:val="4730FB02"/>
    <w:rsid w:val="4736D65D"/>
    <w:rsid w:val="47379706"/>
    <w:rsid w:val="4740D4EC"/>
    <w:rsid w:val="47507315"/>
    <w:rsid w:val="475489A7"/>
    <w:rsid w:val="475AE882"/>
    <w:rsid w:val="475B2961"/>
    <w:rsid w:val="475B7EB4"/>
    <w:rsid w:val="475F6DAC"/>
    <w:rsid w:val="4766C510"/>
    <w:rsid w:val="47692B81"/>
    <w:rsid w:val="4769CC45"/>
    <w:rsid w:val="476C18CF"/>
    <w:rsid w:val="47709D3B"/>
    <w:rsid w:val="477314AF"/>
    <w:rsid w:val="4775BC60"/>
    <w:rsid w:val="477B12ED"/>
    <w:rsid w:val="4780FC4B"/>
    <w:rsid w:val="478303FB"/>
    <w:rsid w:val="478408EC"/>
    <w:rsid w:val="47859947"/>
    <w:rsid w:val="4785DE81"/>
    <w:rsid w:val="47861BF2"/>
    <w:rsid w:val="47988189"/>
    <w:rsid w:val="479B8998"/>
    <w:rsid w:val="479CF0B5"/>
    <w:rsid w:val="479D26A7"/>
    <w:rsid w:val="479F0966"/>
    <w:rsid w:val="47A0C0F6"/>
    <w:rsid w:val="47A2CE6E"/>
    <w:rsid w:val="47B1186F"/>
    <w:rsid w:val="47B3992D"/>
    <w:rsid w:val="47B807AF"/>
    <w:rsid w:val="47B990EF"/>
    <w:rsid w:val="47C0A13E"/>
    <w:rsid w:val="47C260E8"/>
    <w:rsid w:val="47C77C37"/>
    <w:rsid w:val="47CA5BD1"/>
    <w:rsid w:val="47CF21DE"/>
    <w:rsid w:val="47D2BB8E"/>
    <w:rsid w:val="47DD5FF6"/>
    <w:rsid w:val="47DDEE7D"/>
    <w:rsid w:val="47E0F741"/>
    <w:rsid w:val="47E5FE5A"/>
    <w:rsid w:val="47E68F93"/>
    <w:rsid w:val="47EC92AE"/>
    <w:rsid w:val="47FC8E26"/>
    <w:rsid w:val="480CA3AB"/>
    <w:rsid w:val="48107597"/>
    <w:rsid w:val="48153250"/>
    <w:rsid w:val="4815D26C"/>
    <w:rsid w:val="4817AECA"/>
    <w:rsid w:val="481A5067"/>
    <w:rsid w:val="4822FD56"/>
    <w:rsid w:val="4824B86E"/>
    <w:rsid w:val="482CA555"/>
    <w:rsid w:val="483017AB"/>
    <w:rsid w:val="4830BF35"/>
    <w:rsid w:val="4834D5B7"/>
    <w:rsid w:val="48367BAD"/>
    <w:rsid w:val="483C14E3"/>
    <w:rsid w:val="483CD893"/>
    <w:rsid w:val="483D8BBC"/>
    <w:rsid w:val="483EC02B"/>
    <w:rsid w:val="48411A18"/>
    <w:rsid w:val="4844E407"/>
    <w:rsid w:val="48495BBC"/>
    <w:rsid w:val="4849AF47"/>
    <w:rsid w:val="484E42CE"/>
    <w:rsid w:val="484E46C1"/>
    <w:rsid w:val="484EFDE3"/>
    <w:rsid w:val="485A444A"/>
    <w:rsid w:val="48602C18"/>
    <w:rsid w:val="4861961D"/>
    <w:rsid w:val="4866B638"/>
    <w:rsid w:val="4868ED85"/>
    <w:rsid w:val="4869A7E9"/>
    <w:rsid w:val="4872375E"/>
    <w:rsid w:val="4878D5D6"/>
    <w:rsid w:val="48792F1C"/>
    <w:rsid w:val="487B33C6"/>
    <w:rsid w:val="487D37DE"/>
    <w:rsid w:val="4885208C"/>
    <w:rsid w:val="48871CE1"/>
    <w:rsid w:val="488DD7E9"/>
    <w:rsid w:val="48925BC9"/>
    <w:rsid w:val="4894824C"/>
    <w:rsid w:val="489558C3"/>
    <w:rsid w:val="48B2060E"/>
    <w:rsid w:val="48B222B4"/>
    <w:rsid w:val="48B5CE2C"/>
    <w:rsid w:val="48C37B56"/>
    <w:rsid w:val="48C69208"/>
    <w:rsid w:val="48CB86DC"/>
    <w:rsid w:val="48CCB334"/>
    <w:rsid w:val="48DE1C17"/>
    <w:rsid w:val="48E62A17"/>
    <w:rsid w:val="48F88ED5"/>
    <w:rsid w:val="48FB208D"/>
    <w:rsid w:val="48FB5C61"/>
    <w:rsid w:val="48FEAA0B"/>
    <w:rsid w:val="4902BF51"/>
    <w:rsid w:val="49050183"/>
    <w:rsid w:val="491B6375"/>
    <w:rsid w:val="491E3BFC"/>
    <w:rsid w:val="4922424C"/>
    <w:rsid w:val="49269FAC"/>
    <w:rsid w:val="492717AA"/>
    <w:rsid w:val="492B88ED"/>
    <w:rsid w:val="492CD17A"/>
    <w:rsid w:val="492F3829"/>
    <w:rsid w:val="4933A3F3"/>
    <w:rsid w:val="493B6414"/>
    <w:rsid w:val="493EA90D"/>
    <w:rsid w:val="49407A50"/>
    <w:rsid w:val="49460442"/>
    <w:rsid w:val="49470885"/>
    <w:rsid w:val="494A3C81"/>
    <w:rsid w:val="494C1A1B"/>
    <w:rsid w:val="494C7596"/>
    <w:rsid w:val="494C807A"/>
    <w:rsid w:val="494F039B"/>
    <w:rsid w:val="4950F388"/>
    <w:rsid w:val="4953ED7D"/>
    <w:rsid w:val="49562736"/>
    <w:rsid w:val="4956EA4C"/>
    <w:rsid w:val="495F9CA4"/>
    <w:rsid w:val="4961DD5B"/>
    <w:rsid w:val="4964B839"/>
    <w:rsid w:val="496D0782"/>
    <w:rsid w:val="49710AF2"/>
    <w:rsid w:val="49714B92"/>
    <w:rsid w:val="49777C75"/>
    <w:rsid w:val="497A585C"/>
    <w:rsid w:val="497B9F75"/>
    <w:rsid w:val="497BB2A3"/>
    <w:rsid w:val="4980B3FD"/>
    <w:rsid w:val="49810F82"/>
    <w:rsid w:val="498A7460"/>
    <w:rsid w:val="499037DF"/>
    <w:rsid w:val="4993E7E4"/>
    <w:rsid w:val="4996F5DE"/>
    <w:rsid w:val="49997FC4"/>
    <w:rsid w:val="49A0797C"/>
    <w:rsid w:val="49A0F373"/>
    <w:rsid w:val="49A117F0"/>
    <w:rsid w:val="49A15C75"/>
    <w:rsid w:val="49A34044"/>
    <w:rsid w:val="49A4316A"/>
    <w:rsid w:val="49B5EB8A"/>
    <w:rsid w:val="49B87F85"/>
    <w:rsid w:val="49B9A012"/>
    <w:rsid w:val="49B9FCC7"/>
    <w:rsid w:val="49C6E7B8"/>
    <w:rsid w:val="49CBB0DF"/>
    <w:rsid w:val="49CE6DA3"/>
    <w:rsid w:val="49D3EBB8"/>
    <w:rsid w:val="49DDC54F"/>
    <w:rsid w:val="49E6CA99"/>
    <w:rsid w:val="49EDF5CD"/>
    <w:rsid w:val="49EE6D89"/>
    <w:rsid w:val="49EED92B"/>
    <w:rsid w:val="49F9C8D7"/>
    <w:rsid w:val="49FDFB01"/>
    <w:rsid w:val="4A04D986"/>
    <w:rsid w:val="4A07C2FA"/>
    <w:rsid w:val="4A10F4CA"/>
    <w:rsid w:val="4A1598F7"/>
    <w:rsid w:val="4A161C46"/>
    <w:rsid w:val="4A177C00"/>
    <w:rsid w:val="4A19D84B"/>
    <w:rsid w:val="4A1B8869"/>
    <w:rsid w:val="4A1E1748"/>
    <w:rsid w:val="4A228C39"/>
    <w:rsid w:val="4A2E0D7D"/>
    <w:rsid w:val="4A38170E"/>
    <w:rsid w:val="4A3CE57F"/>
    <w:rsid w:val="4A4783D5"/>
    <w:rsid w:val="4A4F83A5"/>
    <w:rsid w:val="4A57D949"/>
    <w:rsid w:val="4A59F9C3"/>
    <w:rsid w:val="4A5A6B17"/>
    <w:rsid w:val="4A5E1368"/>
    <w:rsid w:val="4A67107F"/>
    <w:rsid w:val="4A6D41E8"/>
    <w:rsid w:val="4A76C914"/>
    <w:rsid w:val="4A77D262"/>
    <w:rsid w:val="4A78596B"/>
    <w:rsid w:val="4A7A68A5"/>
    <w:rsid w:val="4A7BEC28"/>
    <w:rsid w:val="4A87FF76"/>
    <w:rsid w:val="4A8BD636"/>
    <w:rsid w:val="4A923EBF"/>
    <w:rsid w:val="4A9473A5"/>
    <w:rsid w:val="4A9D4512"/>
    <w:rsid w:val="4AA32069"/>
    <w:rsid w:val="4AA5BE65"/>
    <w:rsid w:val="4AA82DCF"/>
    <w:rsid w:val="4AB0865C"/>
    <w:rsid w:val="4AB0EB05"/>
    <w:rsid w:val="4AB4A02E"/>
    <w:rsid w:val="4AB95E4B"/>
    <w:rsid w:val="4ABA1F06"/>
    <w:rsid w:val="4ABD89D1"/>
    <w:rsid w:val="4ABF3BE2"/>
    <w:rsid w:val="4AC4ED15"/>
    <w:rsid w:val="4AC83F28"/>
    <w:rsid w:val="4AD0F092"/>
    <w:rsid w:val="4AD69626"/>
    <w:rsid w:val="4AD714C4"/>
    <w:rsid w:val="4AD920F6"/>
    <w:rsid w:val="4AE2A6C4"/>
    <w:rsid w:val="4AE9A0F0"/>
    <w:rsid w:val="4AEF43BA"/>
    <w:rsid w:val="4AF390F1"/>
    <w:rsid w:val="4AF7DEEB"/>
    <w:rsid w:val="4AF958B0"/>
    <w:rsid w:val="4AFAD5EC"/>
    <w:rsid w:val="4AFE2072"/>
    <w:rsid w:val="4B01E5E2"/>
    <w:rsid w:val="4B04C0AD"/>
    <w:rsid w:val="4B163CE0"/>
    <w:rsid w:val="4B17A2D1"/>
    <w:rsid w:val="4B1C8719"/>
    <w:rsid w:val="4B1CB921"/>
    <w:rsid w:val="4B1EB5AE"/>
    <w:rsid w:val="4B22C6AA"/>
    <w:rsid w:val="4B22E155"/>
    <w:rsid w:val="4B252B5A"/>
    <w:rsid w:val="4B28C2C2"/>
    <w:rsid w:val="4B314144"/>
    <w:rsid w:val="4B33BEE9"/>
    <w:rsid w:val="4B368A75"/>
    <w:rsid w:val="4B36CFA3"/>
    <w:rsid w:val="4B39D0BD"/>
    <w:rsid w:val="4B3E9B3E"/>
    <w:rsid w:val="4B4022B4"/>
    <w:rsid w:val="4B43EA0A"/>
    <w:rsid w:val="4B4449D2"/>
    <w:rsid w:val="4B4EFF9A"/>
    <w:rsid w:val="4B4FB4AB"/>
    <w:rsid w:val="4B509A5C"/>
    <w:rsid w:val="4B50C8DD"/>
    <w:rsid w:val="4B58E2DE"/>
    <w:rsid w:val="4B59E8B4"/>
    <w:rsid w:val="4B5A1BC3"/>
    <w:rsid w:val="4B5A399B"/>
    <w:rsid w:val="4B647E7C"/>
    <w:rsid w:val="4B6496FF"/>
    <w:rsid w:val="4B6576B3"/>
    <w:rsid w:val="4B6B30AF"/>
    <w:rsid w:val="4B6BDC16"/>
    <w:rsid w:val="4B73AA79"/>
    <w:rsid w:val="4B781DB4"/>
    <w:rsid w:val="4B79109F"/>
    <w:rsid w:val="4B7926DE"/>
    <w:rsid w:val="4B7C41B0"/>
    <w:rsid w:val="4B8082FE"/>
    <w:rsid w:val="4B80CA9F"/>
    <w:rsid w:val="4B83C8C0"/>
    <w:rsid w:val="4B84F631"/>
    <w:rsid w:val="4B87B994"/>
    <w:rsid w:val="4B889368"/>
    <w:rsid w:val="4B8E3C38"/>
    <w:rsid w:val="4B90B809"/>
    <w:rsid w:val="4B92D233"/>
    <w:rsid w:val="4B9405C4"/>
    <w:rsid w:val="4B94D552"/>
    <w:rsid w:val="4B954922"/>
    <w:rsid w:val="4B96507F"/>
    <w:rsid w:val="4B99186E"/>
    <w:rsid w:val="4B9DE195"/>
    <w:rsid w:val="4BA2BDBD"/>
    <w:rsid w:val="4BA383F4"/>
    <w:rsid w:val="4BAABD99"/>
    <w:rsid w:val="4BB017A3"/>
    <w:rsid w:val="4BB0D42F"/>
    <w:rsid w:val="4BBD403D"/>
    <w:rsid w:val="4BBDA742"/>
    <w:rsid w:val="4BBF5B56"/>
    <w:rsid w:val="4BC1CE15"/>
    <w:rsid w:val="4BCB2941"/>
    <w:rsid w:val="4BCE0650"/>
    <w:rsid w:val="4BCE88A1"/>
    <w:rsid w:val="4BD09E16"/>
    <w:rsid w:val="4BD94E06"/>
    <w:rsid w:val="4BDA0373"/>
    <w:rsid w:val="4BDE2ABD"/>
    <w:rsid w:val="4BE4B334"/>
    <w:rsid w:val="4BEA3B1F"/>
    <w:rsid w:val="4BEE3000"/>
    <w:rsid w:val="4BF01527"/>
    <w:rsid w:val="4BFE246F"/>
    <w:rsid w:val="4C092F7E"/>
    <w:rsid w:val="4C09754E"/>
    <w:rsid w:val="4C0E301E"/>
    <w:rsid w:val="4C1550E0"/>
    <w:rsid w:val="4C1915D6"/>
    <w:rsid w:val="4C1C6F0D"/>
    <w:rsid w:val="4C1CB3ED"/>
    <w:rsid w:val="4C1CCF4A"/>
    <w:rsid w:val="4C1DC94A"/>
    <w:rsid w:val="4C22048F"/>
    <w:rsid w:val="4C33F393"/>
    <w:rsid w:val="4C34867C"/>
    <w:rsid w:val="4C353464"/>
    <w:rsid w:val="4C410716"/>
    <w:rsid w:val="4C437E6B"/>
    <w:rsid w:val="4C43FDBB"/>
    <w:rsid w:val="4C46EB1D"/>
    <w:rsid w:val="4C484458"/>
    <w:rsid w:val="4C4A697F"/>
    <w:rsid w:val="4C561BDF"/>
    <w:rsid w:val="4C58DD4C"/>
    <w:rsid w:val="4C5D62B9"/>
    <w:rsid w:val="4C689CD2"/>
    <w:rsid w:val="4C69D528"/>
    <w:rsid w:val="4C6D5E3A"/>
    <w:rsid w:val="4C6FF791"/>
    <w:rsid w:val="4C71EBCE"/>
    <w:rsid w:val="4C7435EB"/>
    <w:rsid w:val="4C779996"/>
    <w:rsid w:val="4C795BF6"/>
    <w:rsid w:val="4C7BA6E2"/>
    <w:rsid w:val="4C7D222D"/>
    <w:rsid w:val="4C7EC5EF"/>
    <w:rsid w:val="4C8ED7B0"/>
    <w:rsid w:val="4C95C622"/>
    <w:rsid w:val="4CA4EE78"/>
    <w:rsid w:val="4CA5DE35"/>
    <w:rsid w:val="4CA7445C"/>
    <w:rsid w:val="4CA881E6"/>
    <w:rsid w:val="4CAF9F43"/>
    <w:rsid w:val="4CB477E4"/>
    <w:rsid w:val="4CB482DB"/>
    <w:rsid w:val="4CB70248"/>
    <w:rsid w:val="4CBDD2EC"/>
    <w:rsid w:val="4CBE9B88"/>
    <w:rsid w:val="4CC8E79C"/>
    <w:rsid w:val="4CC97620"/>
    <w:rsid w:val="4CC9DA8A"/>
    <w:rsid w:val="4CCDF2C8"/>
    <w:rsid w:val="4CD15D26"/>
    <w:rsid w:val="4CD35BF5"/>
    <w:rsid w:val="4CD4FD7D"/>
    <w:rsid w:val="4CD69D68"/>
    <w:rsid w:val="4CD942B2"/>
    <w:rsid w:val="4CD9D292"/>
    <w:rsid w:val="4CE075EB"/>
    <w:rsid w:val="4CE3BE70"/>
    <w:rsid w:val="4CE48FB3"/>
    <w:rsid w:val="4CE5BA85"/>
    <w:rsid w:val="4CE64B3C"/>
    <w:rsid w:val="4CE780ED"/>
    <w:rsid w:val="4CE85F5A"/>
    <w:rsid w:val="4CE92B1B"/>
    <w:rsid w:val="4CEE769E"/>
    <w:rsid w:val="4CF96733"/>
    <w:rsid w:val="4CFA4062"/>
    <w:rsid w:val="4CFC6509"/>
    <w:rsid w:val="4CFFA3B4"/>
    <w:rsid w:val="4D05DD36"/>
    <w:rsid w:val="4D0CCDA2"/>
    <w:rsid w:val="4D11DF67"/>
    <w:rsid w:val="4D1F17A2"/>
    <w:rsid w:val="4D204FE8"/>
    <w:rsid w:val="4D212FA8"/>
    <w:rsid w:val="4D29647D"/>
    <w:rsid w:val="4D2CD8D3"/>
    <w:rsid w:val="4D3082E6"/>
    <w:rsid w:val="4D382B3E"/>
    <w:rsid w:val="4D3A0391"/>
    <w:rsid w:val="4D3AB752"/>
    <w:rsid w:val="4D3C8703"/>
    <w:rsid w:val="4D457D02"/>
    <w:rsid w:val="4D45ED11"/>
    <w:rsid w:val="4D492F6E"/>
    <w:rsid w:val="4D5146E0"/>
    <w:rsid w:val="4D515AA6"/>
    <w:rsid w:val="4D57780E"/>
    <w:rsid w:val="4D58949F"/>
    <w:rsid w:val="4D5BA2B2"/>
    <w:rsid w:val="4D5EE593"/>
    <w:rsid w:val="4D5F40FA"/>
    <w:rsid w:val="4D5FD914"/>
    <w:rsid w:val="4D60774A"/>
    <w:rsid w:val="4D69C516"/>
    <w:rsid w:val="4D703F97"/>
    <w:rsid w:val="4D7365E4"/>
    <w:rsid w:val="4D81C02B"/>
    <w:rsid w:val="4D86D196"/>
    <w:rsid w:val="4D8AF3E0"/>
    <w:rsid w:val="4D8EFB89"/>
    <w:rsid w:val="4D99B431"/>
    <w:rsid w:val="4D9C18B1"/>
    <w:rsid w:val="4DA2813C"/>
    <w:rsid w:val="4DA6E889"/>
    <w:rsid w:val="4DA823E8"/>
    <w:rsid w:val="4DACAD42"/>
    <w:rsid w:val="4DAE9114"/>
    <w:rsid w:val="4DAEB4CC"/>
    <w:rsid w:val="4DAF3F99"/>
    <w:rsid w:val="4DB1673E"/>
    <w:rsid w:val="4DB745B9"/>
    <w:rsid w:val="4DC64723"/>
    <w:rsid w:val="4DC6F990"/>
    <w:rsid w:val="4DCA3F85"/>
    <w:rsid w:val="4DCD55FE"/>
    <w:rsid w:val="4DD67297"/>
    <w:rsid w:val="4DD96690"/>
    <w:rsid w:val="4DDBB905"/>
    <w:rsid w:val="4DDDAE84"/>
    <w:rsid w:val="4DE233F7"/>
    <w:rsid w:val="4DE604BE"/>
    <w:rsid w:val="4DE63AF2"/>
    <w:rsid w:val="4DE747D1"/>
    <w:rsid w:val="4DEB4CF5"/>
    <w:rsid w:val="4DED38BA"/>
    <w:rsid w:val="4DF6DDEB"/>
    <w:rsid w:val="4DF89634"/>
    <w:rsid w:val="4E00BA9A"/>
    <w:rsid w:val="4E0EFE87"/>
    <w:rsid w:val="4E0F9C13"/>
    <w:rsid w:val="4E16B9B2"/>
    <w:rsid w:val="4E1A2EAC"/>
    <w:rsid w:val="4E1D4297"/>
    <w:rsid w:val="4E1E7925"/>
    <w:rsid w:val="4E22F178"/>
    <w:rsid w:val="4E2527FB"/>
    <w:rsid w:val="4E286D66"/>
    <w:rsid w:val="4E2FB9E2"/>
    <w:rsid w:val="4E31A0FD"/>
    <w:rsid w:val="4E3D02E2"/>
    <w:rsid w:val="4E46B297"/>
    <w:rsid w:val="4E48FE6A"/>
    <w:rsid w:val="4E4A0D5D"/>
    <w:rsid w:val="4E508B59"/>
    <w:rsid w:val="4E51AFE5"/>
    <w:rsid w:val="4E529578"/>
    <w:rsid w:val="4E52A168"/>
    <w:rsid w:val="4E568F6D"/>
    <w:rsid w:val="4E5C3990"/>
    <w:rsid w:val="4E632162"/>
    <w:rsid w:val="4E643C2A"/>
    <w:rsid w:val="4E6722FC"/>
    <w:rsid w:val="4E79330A"/>
    <w:rsid w:val="4E7AC00E"/>
    <w:rsid w:val="4E896EA3"/>
    <w:rsid w:val="4E8A5527"/>
    <w:rsid w:val="4E8B79B0"/>
    <w:rsid w:val="4E8DAAF7"/>
    <w:rsid w:val="4E974E51"/>
    <w:rsid w:val="4E980D4C"/>
    <w:rsid w:val="4EA0495A"/>
    <w:rsid w:val="4EA07C8C"/>
    <w:rsid w:val="4EA4B5DC"/>
    <w:rsid w:val="4EACBEF1"/>
    <w:rsid w:val="4EAD0831"/>
    <w:rsid w:val="4EAD8A57"/>
    <w:rsid w:val="4EAF27AD"/>
    <w:rsid w:val="4EB0B125"/>
    <w:rsid w:val="4EB1A36C"/>
    <w:rsid w:val="4EB1A75F"/>
    <w:rsid w:val="4EB35809"/>
    <w:rsid w:val="4EB67DA0"/>
    <w:rsid w:val="4EB72210"/>
    <w:rsid w:val="4EBCB7C1"/>
    <w:rsid w:val="4EBD9D75"/>
    <w:rsid w:val="4EC46049"/>
    <w:rsid w:val="4ECA02B9"/>
    <w:rsid w:val="4ED19CEE"/>
    <w:rsid w:val="4ED56DED"/>
    <w:rsid w:val="4EDF59D6"/>
    <w:rsid w:val="4EE0ECB3"/>
    <w:rsid w:val="4EE34D3B"/>
    <w:rsid w:val="4EEA7151"/>
    <w:rsid w:val="4EEC2B10"/>
    <w:rsid w:val="4EED8A88"/>
    <w:rsid w:val="4EEE9E36"/>
    <w:rsid w:val="4EEFDAAF"/>
    <w:rsid w:val="4EF2B477"/>
    <w:rsid w:val="4EF8D22A"/>
    <w:rsid w:val="4F013711"/>
    <w:rsid w:val="4F0A2A63"/>
    <w:rsid w:val="4F0BFB63"/>
    <w:rsid w:val="4F0C2A99"/>
    <w:rsid w:val="4F0DE78D"/>
    <w:rsid w:val="4F0EAD4A"/>
    <w:rsid w:val="4F136F53"/>
    <w:rsid w:val="4F15188C"/>
    <w:rsid w:val="4F16F7A6"/>
    <w:rsid w:val="4F173B12"/>
    <w:rsid w:val="4F1E5802"/>
    <w:rsid w:val="4F1EDBDF"/>
    <w:rsid w:val="4F2ACBEA"/>
    <w:rsid w:val="4F2BAC88"/>
    <w:rsid w:val="4F2BBE3E"/>
    <w:rsid w:val="4F3702F1"/>
    <w:rsid w:val="4F371309"/>
    <w:rsid w:val="4F3BBE7D"/>
    <w:rsid w:val="4F3D5DAF"/>
    <w:rsid w:val="4F3D5DCE"/>
    <w:rsid w:val="4F48FBF0"/>
    <w:rsid w:val="4F4B4BD1"/>
    <w:rsid w:val="4F509C76"/>
    <w:rsid w:val="4F551826"/>
    <w:rsid w:val="4F56E499"/>
    <w:rsid w:val="4F599921"/>
    <w:rsid w:val="4F5BBD84"/>
    <w:rsid w:val="4F5CAA9C"/>
    <w:rsid w:val="4F65D9F2"/>
    <w:rsid w:val="4F789E36"/>
    <w:rsid w:val="4F7F0664"/>
    <w:rsid w:val="4F7F2DD5"/>
    <w:rsid w:val="4F8673E6"/>
    <w:rsid w:val="4F883B8C"/>
    <w:rsid w:val="4F89BB18"/>
    <w:rsid w:val="4F8CCDC6"/>
    <w:rsid w:val="4F8E9A19"/>
    <w:rsid w:val="4F8F6354"/>
    <w:rsid w:val="4F90723C"/>
    <w:rsid w:val="4F9D85FE"/>
    <w:rsid w:val="4F9F556C"/>
    <w:rsid w:val="4FA30D9C"/>
    <w:rsid w:val="4FAAA8E9"/>
    <w:rsid w:val="4FAC8106"/>
    <w:rsid w:val="4FACC286"/>
    <w:rsid w:val="4FAEB369"/>
    <w:rsid w:val="4FAEBE56"/>
    <w:rsid w:val="4FB08A39"/>
    <w:rsid w:val="4FBCF4D4"/>
    <w:rsid w:val="4FBD39FB"/>
    <w:rsid w:val="4FBFD415"/>
    <w:rsid w:val="4FC10184"/>
    <w:rsid w:val="4FC1D517"/>
    <w:rsid w:val="4FCF8429"/>
    <w:rsid w:val="4FD13170"/>
    <w:rsid w:val="4FD9436A"/>
    <w:rsid w:val="4FD9E78F"/>
    <w:rsid w:val="4FDFD5B4"/>
    <w:rsid w:val="4FE22153"/>
    <w:rsid w:val="4FE8B5A7"/>
    <w:rsid w:val="4FEFC04F"/>
    <w:rsid w:val="4FF5D1F1"/>
    <w:rsid w:val="5000D091"/>
    <w:rsid w:val="500DB33E"/>
    <w:rsid w:val="50139E2C"/>
    <w:rsid w:val="5014205B"/>
    <w:rsid w:val="501C42C2"/>
    <w:rsid w:val="50243300"/>
    <w:rsid w:val="50293E4B"/>
    <w:rsid w:val="502A2559"/>
    <w:rsid w:val="502A5B3F"/>
    <w:rsid w:val="502DB70C"/>
    <w:rsid w:val="502DBA9B"/>
    <w:rsid w:val="503114C4"/>
    <w:rsid w:val="5031F69F"/>
    <w:rsid w:val="503486B5"/>
    <w:rsid w:val="503B05E6"/>
    <w:rsid w:val="503D344D"/>
    <w:rsid w:val="503EF34F"/>
    <w:rsid w:val="5040C38A"/>
    <w:rsid w:val="50422501"/>
    <w:rsid w:val="5042826B"/>
    <w:rsid w:val="50462CCF"/>
    <w:rsid w:val="5048C5D4"/>
    <w:rsid w:val="504976BB"/>
    <w:rsid w:val="505378B9"/>
    <w:rsid w:val="5054BACA"/>
    <w:rsid w:val="50581ED7"/>
    <w:rsid w:val="505ECD22"/>
    <w:rsid w:val="5069D7E9"/>
    <w:rsid w:val="506D09E4"/>
    <w:rsid w:val="506DE539"/>
    <w:rsid w:val="506FF0D8"/>
    <w:rsid w:val="5071A39D"/>
    <w:rsid w:val="5072A17C"/>
    <w:rsid w:val="5077843A"/>
    <w:rsid w:val="5082522E"/>
    <w:rsid w:val="5084308B"/>
    <w:rsid w:val="5093374A"/>
    <w:rsid w:val="50974726"/>
    <w:rsid w:val="50A3A5EF"/>
    <w:rsid w:val="50A59C3C"/>
    <w:rsid w:val="50A770FE"/>
    <w:rsid w:val="50A9B6CC"/>
    <w:rsid w:val="50AA9E97"/>
    <w:rsid w:val="50AD29C2"/>
    <w:rsid w:val="50AD9C4D"/>
    <w:rsid w:val="50B25294"/>
    <w:rsid w:val="50B40055"/>
    <w:rsid w:val="50B4CCAB"/>
    <w:rsid w:val="50BC200A"/>
    <w:rsid w:val="50C36EE5"/>
    <w:rsid w:val="50C3D752"/>
    <w:rsid w:val="50CA296B"/>
    <w:rsid w:val="50CB140B"/>
    <w:rsid w:val="50CCD06F"/>
    <w:rsid w:val="50CD8A45"/>
    <w:rsid w:val="50CE46D0"/>
    <w:rsid w:val="50D100F5"/>
    <w:rsid w:val="50DD4E51"/>
    <w:rsid w:val="50E5782B"/>
    <w:rsid w:val="50EF7DEC"/>
    <w:rsid w:val="50F74B8F"/>
    <w:rsid w:val="50F766AC"/>
    <w:rsid w:val="510142DA"/>
    <w:rsid w:val="51021AAA"/>
    <w:rsid w:val="51089EDD"/>
    <w:rsid w:val="510F8C25"/>
    <w:rsid w:val="5121E758"/>
    <w:rsid w:val="512233D1"/>
    <w:rsid w:val="512DDEB2"/>
    <w:rsid w:val="51431BD2"/>
    <w:rsid w:val="514C4B5B"/>
    <w:rsid w:val="5153AD21"/>
    <w:rsid w:val="51541403"/>
    <w:rsid w:val="515A6056"/>
    <w:rsid w:val="515C7CA0"/>
    <w:rsid w:val="515D9044"/>
    <w:rsid w:val="51601CDA"/>
    <w:rsid w:val="5163D7BF"/>
    <w:rsid w:val="51656EA0"/>
    <w:rsid w:val="5165A657"/>
    <w:rsid w:val="516D01D1"/>
    <w:rsid w:val="51713284"/>
    <w:rsid w:val="5171EC75"/>
    <w:rsid w:val="5175A7E0"/>
    <w:rsid w:val="51790DE0"/>
    <w:rsid w:val="51811ADD"/>
    <w:rsid w:val="5188F672"/>
    <w:rsid w:val="518A04CA"/>
    <w:rsid w:val="518C4775"/>
    <w:rsid w:val="518C9501"/>
    <w:rsid w:val="518D2D0D"/>
    <w:rsid w:val="51956F23"/>
    <w:rsid w:val="51B52B70"/>
    <w:rsid w:val="51B99C9E"/>
    <w:rsid w:val="51BB6A82"/>
    <w:rsid w:val="51BFE5AD"/>
    <w:rsid w:val="51C1B545"/>
    <w:rsid w:val="51C3F611"/>
    <w:rsid w:val="51C5D962"/>
    <w:rsid w:val="51C7A98E"/>
    <w:rsid w:val="51CCF738"/>
    <w:rsid w:val="51CE97A4"/>
    <w:rsid w:val="51CFB2C3"/>
    <w:rsid w:val="51DADAAF"/>
    <w:rsid w:val="51DD1E09"/>
    <w:rsid w:val="51E28085"/>
    <w:rsid w:val="51E687F5"/>
    <w:rsid w:val="51E8B62E"/>
    <w:rsid w:val="51EC1AAC"/>
    <w:rsid w:val="51F13B5A"/>
    <w:rsid w:val="51FB27A9"/>
    <w:rsid w:val="51FBE5B1"/>
    <w:rsid w:val="51FDD384"/>
    <w:rsid w:val="520295B9"/>
    <w:rsid w:val="52033C73"/>
    <w:rsid w:val="5205BD7F"/>
    <w:rsid w:val="520EDE65"/>
    <w:rsid w:val="521A7DA3"/>
    <w:rsid w:val="521DCAA5"/>
    <w:rsid w:val="52272D40"/>
    <w:rsid w:val="52279394"/>
    <w:rsid w:val="52296700"/>
    <w:rsid w:val="5230CC0C"/>
    <w:rsid w:val="5230D231"/>
    <w:rsid w:val="523D7BF3"/>
    <w:rsid w:val="52424686"/>
    <w:rsid w:val="524A55BC"/>
    <w:rsid w:val="5251CE7B"/>
    <w:rsid w:val="5252EE14"/>
    <w:rsid w:val="52578255"/>
    <w:rsid w:val="5257E7FF"/>
    <w:rsid w:val="525D0866"/>
    <w:rsid w:val="52608405"/>
    <w:rsid w:val="5264F0B8"/>
    <w:rsid w:val="52692C62"/>
    <w:rsid w:val="5274D669"/>
    <w:rsid w:val="527E918C"/>
    <w:rsid w:val="527F3656"/>
    <w:rsid w:val="52807659"/>
    <w:rsid w:val="5285DA96"/>
    <w:rsid w:val="5288FE4A"/>
    <w:rsid w:val="5289D438"/>
    <w:rsid w:val="528B8480"/>
    <w:rsid w:val="5297F415"/>
    <w:rsid w:val="52991E46"/>
    <w:rsid w:val="52A0602B"/>
    <w:rsid w:val="52A6A396"/>
    <w:rsid w:val="52AEC580"/>
    <w:rsid w:val="52B135EE"/>
    <w:rsid w:val="52B182EB"/>
    <w:rsid w:val="52B36C02"/>
    <w:rsid w:val="52BC326D"/>
    <w:rsid w:val="52BC386C"/>
    <w:rsid w:val="52C3DEC4"/>
    <w:rsid w:val="52CC42CD"/>
    <w:rsid w:val="52CD08F5"/>
    <w:rsid w:val="52CEF1A4"/>
    <w:rsid w:val="52DE2B01"/>
    <w:rsid w:val="52E1A407"/>
    <w:rsid w:val="52E249AB"/>
    <w:rsid w:val="52E273E5"/>
    <w:rsid w:val="52E2E193"/>
    <w:rsid w:val="52E338FA"/>
    <w:rsid w:val="52EA9AF6"/>
    <w:rsid w:val="52EB6D11"/>
    <w:rsid w:val="52F18544"/>
    <w:rsid w:val="52FC31E9"/>
    <w:rsid w:val="52FF8C61"/>
    <w:rsid w:val="53083813"/>
    <w:rsid w:val="530AD508"/>
    <w:rsid w:val="53118851"/>
    <w:rsid w:val="53129246"/>
    <w:rsid w:val="531B06B9"/>
    <w:rsid w:val="53282E76"/>
    <w:rsid w:val="532B2FB6"/>
    <w:rsid w:val="532D1FA1"/>
    <w:rsid w:val="5331A23D"/>
    <w:rsid w:val="5332DE74"/>
    <w:rsid w:val="5333257D"/>
    <w:rsid w:val="533A3F8C"/>
    <w:rsid w:val="5344E70F"/>
    <w:rsid w:val="534BB1CE"/>
    <w:rsid w:val="53595C56"/>
    <w:rsid w:val="535B4661"/>
    <w:rsid w:val="535E415E"/>
    <w:rsid w:val="536344CB"/>
    <w:rsid w:val="536643AD"/>
    <w:rsid w:val="536AD079"/>
    <w:rsid w:val="537122C4"/>
    <w:rsid w:val="5373DD03"/>
    <w:rsid w:val="5376B5E8"/>
    <w:rsid w:val="537741D4"/>
    <w:rsid w:val="537A6AD0"/>
    <w:rsid w:val="537BE7DD"/>
    <w:rsid w:val="537D6263"/>
    <w:rsid w:val="537FE4ED"/>
    <w:rsid w:val="5381FA19"/>
    <w:rsid w:val="538A8EA6"/>
    <w:rsid w:val="53990471"/>
    <w:rsid w:val="53A2C779"/>
    <w:rsid w:val="53A58CFD"/>
    <w:rsid w:val="53A912F9"/>
    <w:rsid w:val="53B14AFF"/>
    <w:rsid w:val="53B510C8"/>
    <w:rsid w:val="53B7DDE5"/>
    <w:rsid w:val="53BAB8C3"/>
    <w:rsid w:val="53C3E4BC"/>
    <w:rsid w:val="53C6DCAB"/>
    <w:rsid w:val="53D7190F"/>
    <w:rsid w:val="53E89B8B"/>
    <w:rsid w:val="53EB644A"/>
    <w:rsid w:val="53EEA7E5"/>
    <w:rsid w:val="53F1241B"/>
    <w:rsid w:val="53FC7B6B"/>
    <w:rsid w:val="54066406"/>
    <w:rsid w:val="540D6D29"/>
    <w:rsid w:val="540D7C34"/>
    <w:rsid w:val="5413A4B7"/>
    <w:rsid w:val="541578E9"/>
    <w:rsid w:val="541E6CF4"/>
    <w:rsid w:val="541EC79B"/>
    <w:rsid w:val="54224D2F"/>
    <w:rsid w:val="54252878"/>
    <w:rsid w:val="5429CA6D"/>
    <w:rsid w:val="542D8E3E"/>
    <w:rsid w:val="54324466"/>
    <w:rsid w:val="5439C42D"/>
    <w:rsid w:val="543B6374"/>
    <w:rsid w:val="543D14E6"/>
    <w:rsid w:val="54463915"/>
    <w:rsid w:val="54491401"/>
    <w:rsid w:val="544EB456"/>
    <w:rsid w:val="54521C33"/>
    <w:rsid w:val="54522BD6"/>
    <w:rsid w:val="5457FDE5"/>
    <w:rsid w:val="5458CF32"/>
    <w:rsid w:val="545C564E"/>
    <w:rsid w:val="545FAF25"/>
    <w:rsid w:val="5462F25A"/>
    <w:rsid w:val="5466019A"/>
    <w:rsid w:val="5470D836"/>
    <w:rsid w:val="54712C67"/>
    <w:rsid w:val="5474955B"/>
    <w:rsid w:val="54771E3E"/>
    <w:rsid w:val="547D7B2C"/>
    <w:rsid w:val="547EADF0"/>
    <w:rsid w:val="5482415C"/>
    <w:rsid w:val="5493416E"/>
    <w:rsid w:val="549CD414"/>
    <w:rsid w:val="549F8431"/>
    <w:rsid w:val="54A2100E"/>
    <w:rsid w:val="54A64879"/>
    <w:rsid w:val="54A6C9FD"/>
    <w:rsid w:val="54A885C0"/>
    <w:rsid w:val="54A98EBF"/>
    <w:rsid w:val="54AF4825"/>
    <w:rsid w:val="54B31BFE"/>
    <w:rsid w:val="54B7E30C"/>
    <w:rsid w:val="54BC9788"/>
    <w:rsid w:val="54C147B1"/>
    <w:rsid w:val="54C23709"/>
    <w:rsid w:val="54C2470F"/>
    <w:rsid w:val="54C39932"/>
    <w:rsid w:val="54C84C72"/>
    <w:rsid w:val="54CDF009"/>
    <w:rsid w:val="54CFDD7D"/>
    <w:rsid w:val="54D397A3"/>
    <w:rsid w:val="54D4088D"/>
    <w:rsid w:val="54D97226"/>
    <w:rsid w:val="54DB3A6B"/>
    <w:rsid w:val="54DDB11F"/>
    <w:rsid w:val="54E12461"/>
    <w:rsid w:val="54E1996B"/>
    <w:rsid w:val="54E2ECE4"/>
    <w:rsid w:val="54E5F6CD"/>
    <w:rsid w:val="54E9F2C5"/>
    <w:rsid w:val="54F07943"/>
    <w:rsid w:val="550D7E90"/>
    <w:rsid w:val="550E5C4F"/>
    <w:rsid w:val="551349D4"/>
    <w:rsid w:val="5522865F"/>
    <w:rsid w:val="552581E2"/>
    <w:rsid w:val="55260AEA"/>
    <w:rsid w:val="5527E028"/>
    <w:rsid w:val="552DE4BE"/>
    <w:rsid w:val="553202A7"/>
    <w:rsid w:val="5532B782"/>
    <w:rsid w:val="5538082E"/>
    <w:rsid w:val="55387B4F"/>
    <w:rsid w:val="553F1C56"/>
    <w:rsid w:val="554350B2"/>
    <w:rsid w:val="5543E142"/>
    <w:rsid w:val="554890DE"/>
    <w:rsid w:val="554EA676"/>
    <w:rsid w:val="555C8821"/>
    <w:rsid w:val="5563BA0F"/>
    <w:rsid w:val="55652FB5"/>
    <w:rsid w:val="55677CA5"/>
    <w:rsid w:val="55765205"/>
    <w:rsid w:val="5576E01D"/>
    <w:rsid w:val="557CAC8A"/>
    <w:rsid w:val="558219AB"/>
    <w:rsid w:val="5582A3C6"/>
    <w:rsid w:val="5583ED80"/>
    <w:rsid w:val="5586552F"/>
    <w:rsid w:val="5590A631"/>
    <w:rsid w:val="5592C3D2"/>
    <w:rsid w:val="5596315B"/>
    <w:rsid w:val="559A6376"/>
    <w:rsid w:val="559C1DC5"/>
    <w:rsid w:val="559F0D52"/>
    <w:rsid w:val="55AAEEC7"/>
    <w:rsid w:val="55AAF1A1"/>
    <w:rsid w:val="55ABD413"/>
    <w:rsid w:val="55AC7655"/>
    <w:rsid w:val="55ADC750"/>
    <w:rsid w:val="55AF3A73"/>
    <w:rsid w:val="55B0D46E"/>
    <w:rsid w:val="55C91C4D"/>
    <w:rsid w:val="55C98589"/>
    <w:rsid w:val="55C99133"/>
    <w:rsid w:val="55CC3110"/>
    <w:rsid w:val="55D14DEA"/>
    <w:rsid w:val="55D1D3AC"/>
    <w:rsid w:val="55D1DB60"/>
    <w:rsid w:val="55D68750"/>
    <w:rsid w:val="55D78D14"/>
    <w:rsid w:val="55DC69B3"/>
    <w:rsid w:val="55FAC978"/>
    <w:rsid w:val="5600B3A8"/>
    <w:rsid w:val="56043F4C"/>
    <w:rsid w:val="56079F42"/>
    <w:rsid w:val="5607ED4C"/>
    <w:rsid w:val="561171E7"/>
    <w:rsid w:val="56143AE9"/>
    <w:rsid w:val="5615A0C9"/>
    <w:rsid w:val="56171A53"/>
    <w:rsid w:val="56186506"/>
    <w:rsid w:val="5626EE8E"/>
    <w:rsid w:val="56386888"/>
    <w:rsid w:val="5649D404"/>
    <w:rsid w:val="5649FDF4"/>
    <w:rsid w:val="564B6FD0"/>
    <w:rsid w:val="564BE090"/>
    <w:rsid w:val="564E987C"/>
    <w:rsid w:val="56507F79"/>
    <w:rsid w:val="5652053C"/>
    <w:rsid w:val="5652157E"/>
    <w:rsid w:val="565DE1EC"/>
    <w:rsid w:val="565F39C0"/>
    <w:rsid w:val="56624E66"/>
    <w:rsid w:val="566964F7"/>
    <w:rsid w:val="566AA9BC"/>
    <w:rsid w:val="566C89A7"/>
    <w:rsid w:val="566D16D4"/>
    <w:rsid w:val="566D73B4"/>
    <w:rsid w:val="566F6AFC"/>
    <w:rsid w:val="5677C594"/>
    <w:rsid w:val="567A1ABF"/>
    <w:rsid w:val="567E364A"/>
    <w:rsid w:val="567F9A01"/>
    <w:rsid w:val="56809199"/>
    <w:rsid w:val="56857FC0"/>
    <w:rsid w:val="5694614F"/>
    <w:rsid w:val="5694E30D"/>
    <w:rsid w:val="5699183C"/>
    <w:rsid w:val="569A4635"/>
    <w:rsid w:val="56AF16BF"/>
    <w:rsid w:val="56AF5865"/>
    <w:rsid w:val="56B0F112"/>
    <w:rsid w:val="56B2D15B"/>
    <w:rsid w:val="56B3F8BC"/>
    <w:rsid w:val="56B5B6FB"/>
    <w:rsid w:val="56B9C243"/>
    <w:rsid w:val="56BDDF15"/>
    <w:rsid w:val="56C120D3"/>
    <w:rsid w:val="56C17C33"/>
    <w:rsid w:val="56C22190"/>
    <w:rsid w:val="56C667EC"/>
    <w:rsid w:val="56C767AC"/>
    <w:rsid w:val="56CFAC7F"/>
    <w:rsid w:val="56D4D2EF"/>
    <w:rsid w:val="56DB4516"/>
    <w:rsid w:val="56DD3B02"/>
    <w:rsid w:val="56E11320"/>
    <w:rsid w:val="56E8FD7C"/>
    <w:rsid w:val="56E9F2D6"/>
    <w:rsid w:val="56EA28A6"/>
    <w:rsid w:val="56EC3AD5"/>
    <w:rsid w:val="56ED6529"/>
    <w:rsid w:val="5701F807"/>
    <w:rsid w:val="570BD8E9"/>
    <w:rsid w:val="57124499"/>
    <w:rsid w:val="5713EA3E"/>
    <w:rsid w:val="5713FECA"/>
    <w:rsid w:val="57173954"/>
    <w:rsid w:val="571B35A3"/>
    <w:rsid w:val="571D4F34"/>
    <w:rsid w:val="572126A0"/>
    <w:rsid w:val="572C66C4"/>
    <w:rsid w:val="572D24F5"/>
    <w:rsid w:val="572F4853"/>
    <w:rsid w:val="572FC46B"/>
    <w:rsid w:val="5731FCCC"/>
    <w:rsid w:val="57335A87"/>
    <w:rsid w:val="5735F2BE"/>
    <w:rsid w:val="57370759"/>
    <w:rsid w:val="57406116"/>
    <w:rsid w:val="57474EA5"/>
    <w:rsid w:val="57491506"/>
    <w:rsid w:val="574D3B6E"/>
    <w:rsid w:val="5753F164"/>
    <w:rsid w:val="5755C922"/>
    <w:rsid w:val="575BBD6F"/>
    <w:rsid w:val="5760CDB7"/>
    <w:rsid w:val="5772456B"/>
    <w:rsid w:val="577604AD"/>
    <w:rsid w:val="577935B1"/>
    <w:rsid w:val="577C938E"/>
    <w:rsid w:val="577F8E5D"/>
    <w:rsid w:val="578180C1"/>
    <w:rsid w:val="5781CCF6"/>
    <w:rsid w:val="5786305B"/>
    <w:rsid w:val="5787E9C3"/>
    <w:rsid w:val="578A4F0A"/>
    <w:rsid w:val="578DAD2A"/>
    <w:rsid w:val="57902B71"/>
    <w:rsid w:val="57951432"/>
    <w:rsid w:val="5795E7B7"/>
    <w:rsid w:val="5796028C"/>
    <w:rsid w:val="57979FA1"/>
    <w:rsid w:val="579826D1"/>
    <w:rsid w:val="579892CE"/>
    <w:rsid w:val="579E7511"/>
    <w:rsid w:val="579F6EBD"/>
    <w:rsid w:val="57A3A3DA"/>
    <w:rsid w:val="57B78635"/>
    <w:rsid w:val="57BB4E8D"/>
    <w:rsid w:val="57BC0596"/>
    <w:rsid w:val="57BEAAE7"/>
    <w:rsid w:val="57C1208F"/>
    <w:rsid w:val="57C26428"/>
    <w:rsid w:val="57C382E2"/>
    <w:rsid w:val="57CAB846"/>
    <w:rsid w:val="57D6AF74"/>
    <w:rsid w:val="57D8DB6D"/>
    <w:rsid w:val="57DC4355"/>
    <w:rsid w:val="57DCC56E"/>
    <w:rsid w:val="57E16F38"/>
    <w:rsid w:val="57F33D95"/>
    <w:rsid w:val="57F3829E"/>
    <w:rsid w:val="57F4D3D2"/>
    <w:rsid w:val="57F78244"/>
    <w:rsid w:val="57FBDEE7"/>
    <w:rsid w:val="57FE6B56"/>
    <w:rsid w:val="5800BFF0"/>
    <w:rsid w:val="58045574"/>
    <w:rsid w:val="5806840F"/>
    <w:rsid w:val="580D37A8"/>
    <w:rsid w:val="580F1230"/>
    <w:rsid w:val="5810284F"/>
    <w:rsid w:val="581545CF"/>
    <w:rsid w:val="58183CFF"/>
    <w:rsid w:val="581AFCF2"/>
    <w:rsid w:val="5820BBD9"/>
    <w:rsid w:val="58241B43"/>
    <w:rsid w:val="58274880"/>
    <w:rsid w:val="582C0316"/>
    <w:rsid w:val="582D5E4F"/>
    <w:rsid w:val="582DBC9E"/>
    <w:rsid w:val="5834DBD2"/>
    <w:rsid w:val="58381D24"/>
    <w:rsid w:val="583D650B"/>
    <w:rsid w:val="58403FF4"/>
    <w:rsid w:val="584121B3"/>
    <w:rsid w:val="58489567"/>
    <w:rsid w:val="584B0412"/>
    <w:rsid w:val="58520E53"/>
    <w:rsid w:val="58546C6A"/>
    <w:rsid w:val="5857361C"/>
    <w:rsid w:val="585C40D4"/>
    <w:rsid w:val="5865E0DE"/>
    <w:rsid w:val="586FC0F0"/>
    <w:rsid w:val="5871D3C4"/>
    <w:rsid w:val="5873E5FB"/>
    <w:rsid w:val="58753346"/>
    <w:rsid w:val="5876B878"/>
    <w:rsid w:val="5879CEA4"/>
    <w:rsid w:val="588035C9"/>
    <w:rsid w:val="5880E6FF"/>
    <w:rsid w:val="58843767"/>
    <w:rsid w:val="5887C2A7"/>
    <w:rsid w:val="588C433C"/>
    <w:rsid w:val="588DF89F"/>
    <w:rsid w:val="589797EA"/>
    <w:rsid w:val="5898187A"/>
    <w:rsid w:val="589B7C10"/>
    <w:rsid w:val="58A1297C"/>
    <w:rsid w:val="58A2241F"/>
    <w:rsid w:val="58A872AA"/>
    <w:rsid w:val="58A897B7"/>
    <w:rsid w:val="58AD123C"/>
    <w:rsid w:val="58AE63FD"/>
    <w:rsid w:val="58C41A04"/>
    <w:rsid w:val="58C79759"/>
    <w:rsid w:val="58C95A34"/>
    <w:rsid w:val="58C99416"/>
    <w:rsid w:val="58CA5D7D"/>
    <w:rsid w:val="58D71E38"/>
    <w:rsid w:val="58D8BE8E"/>
    <w:rsid w:val="58DE9C09"/>
    <w:rsid w:val="58DF6888"/>
    <w:rsid w:val="58E5DC0B"/>
    <w:rsid w:val="58E9441D"/>
    <w:rsid w:val="58F35BB5"/>
    <w:rsid w:val="58F62D5F"/>
    <w:rsid w:val="58FB5252"/>
    <w:rsid w:val="59060620"/>
    <w:rsid w:val="5909B1DB"/>
    <w:rsid w:val="590B3CC3"/>
    <w:rsid w:val="590B6D4F"/>
    <w:rsid w:val="591089F8"/>
    <w:rsid w:val="5910E331"/>
    <w:rsid w:val="59152287"/>
    <w:rsid w:val="5918FA63"/>
    <w:rsid w:val="592974AA"/>
    <w:rsid w:val="592EBE30"/>
    <w:rsid w:val="592F8367"/>
    <w:rsid w:val="59367026"/>
    <w:rsid w:val="593A199F"/>
    <w:rsid w:val="5941C313"/>
    <w:rsid w:val="59428BCA"/>
    <w:rsid w:val="5948C62F"/>
    <w:rsid w:val="594BA897"/>
    <w:rsid w:val="594DF625"/>
    <w:rsid w:val="594E8D5B"/>
    <w:rsid w:val="59509B3D"/>
    <w:rsid w:val="5955BFDB"/>
    <w:rsid w:val="5957C7AE"/>
    <w:rsid w:val="59614A18"/>
    <w:rsid w:val="59678E62"/>
    <w:rsid w:val="596ADAF9"/>
    <w:rsid w:val="596E0A61"/>
    <w:rsid w:val="596E5EF1"/>
    <w:rsid w:val="597520A9"/>
    <w:rsid w:val="5978AC22"/>
    <w:rsid w:val="5979343C"/>
    <w:rsid w:val="597E0803"/>
    <w:rsid w:val="5981C60A"/>
    <w:rsid w:val="598462AA"/>
    <w:rsid w:val="598551AD"/>
    <w:rsid w:val="5985A08D"/>
    <w:rsid w:val="5986868F"/>
    <w:rsid w:val="598A41C6"/>
    <w:rsid w:val="598B9481"/>
    <w:rsid w:val="598D2DB6"/>
    <w:rsid w:val="598D5FE8"/>
    <w:rsid w:val="598D80F2"/>
    <w:rsid w:val="59979C92"/>
    <w:rsid w:val="59985280"/>
    <w:rsid w:val="59A644E2"/>
    <w:rsid w:val="59A8064C"/>
    <w:rsid w:val="59A8BCF1"/>
    <w:rsid w:val="59AA45D3"/>
    <w:rsid w:val="59AE654A"/>
    <w:rsid w:val="59B5315C"/>
    <w:rsid w:val="59B9CA95"/>
    <w:rsid w:val="59BA1C0E"/>
    <w:rsid w:val="59BD2FF5"/>
    <w:rsid w:val="59BD4454"/>
    <w:rsid w:val="59D35D2F"/>
    <w:rsid w:val="59D4A0A5"/>
    <w:rsid w:val="59DA3FDD"/>
    <w:rsid w:val="59DC1829"/>
    <w:rsid w:val="59E129A3"/>
    <w:rsid w:val="59E21F7E"/>
    <w:rsid w:val="59E29292"/>
    <w:rsid w:val="59EA7697"/>
    <w:rsid w:val="59ECECED"/>
    <w:rsid w:val="59F494ED"/>
    <w:rsid w:val="59F72133"/>
    <w:rsid w:val="59F9586C"/>
    <w:rsid w:val="59FB1E4F"/>
    <w:rsid w:val="59FE9FD6"/>
    <w:rsid w:val="5A02C6AF"/>
    <w:rsid w:val="5A04A99B"/>
    <w:rsid w:val="5A05D183"/>
    <w:rsid w:val="5A0AA5D7"/>
    <w:rsid w:val="5A0C0992"/>
    <w:rsid w:val="5A0C565F"/>
    <w:rsid w:val="5A0EC0C7"/>
    <w:rsid w:val="5A165459"/>
    <w:rsid w:val="5A16C482"/>
    <w:rsid w:val="5A171E5F"/>
    <w:rsid w:val="5A1D8914"/>
    <w:rsid w:val="5A24FE6C"/>
    <w:rsid w:val="5A265B2D"/>
    <w:rsid w:val="5A26E287"/>
    <w:rsid w:val="5A2D174F"/>
    <w:rsid w:val="5A319397"/>
    <w:rsid w:val="5A32DD10"/>
    <w:rsid w:val="5A376E42"/>
    <w:rsid w:val="5A3780E8"/>
    <w:rsid w:val="5A3C12C6"/>
    <w:rsid w:val="5A41E386"/>
    <w:rsid w:val="5A45E05B"/>
    <w:rsid w:val="5A4814B0"/>
    <w:rsid w:val="5A5BA851"/>
    <w:rsid w:val="5A5DB4F9"/>
    <w:rsid w:val="5A5F0AFD"/>
    <w:rsid w:val="5A7AA7B8"/>
    <w:rsid w:val="5A8A7031"/>
    <w:rsid w:val="5A8B0A59"/>
    <w:rsid w:val="5A8F635B"/>
    <w:rsid w:val="5A926430"/>
    <w:rsid w:val="5A9267AB"/>
    <w:rsid w:val="5A9D1BBB"/>
    <w:rsid w:val="5A9E7D4A"/>
    <w:rsid w:val="5A9F4003"/>
    <w:rsid w:val="5AA07665"/>
    <w:rsid w:val="5AA5FB79"/>
    <w:rsid w:val="5AA6390D"/>
    <w:rsid w:val="5AAAEEC1"/>
    <w:rsid w:val="5AAD93BA"/>
    <w:rsid w:val="5AAE3CB1"/>
    <w:rsid w:val="5AB30A72"/>
    <w:rsid w:val="5AB4D643"/>
    <w:rsid w:val="5AB54D15"/>
    <w:rsid w:val="5ABC5790"/>
    <w:rsid w:val="5ABE5974"/>
    <w:rsid w:val="5ABFF9D7"/>
    <w:rsid w:val="5AC040CE"/>
    <w:rsid w:val="5AC15936"/>
    <w:rsid w:val="5AC25A85"/>
    <w:rsid w:val="5AC9615F"/>
    <w:rsid w:val="5ACF1D85"/>
    <w:rsid w:val="5ACFA423"/>
    <w:rsid w:val="5AD07F9B"/>
    <w:rsid w:val="5AD10E26"/>
    <w:rsid w:val="5AD76133"/>
    <w:rsid w:val="5ADAD446"/>
    <w:rsid w:val="5AE10695"/>
    <w:rsid w:val="5AE5E12B"/>
    <w:rsid w:val="5AE71D75"/>
    <w:rsid w:val="5AEB080D"/>
    <w:rsid w:val="5AF2B851"/>
    <w:rsid w:val="5AFC088A"/>
    <w:rsid w:val="5B011E81"/>
    <w:rsid w:val="5B02363F"/>
    <w:rsid w:val="5B0A1F5C"/>
    <w:rsid w:val="5B101055"/>
    <w:rsid w:val="5B108248"/>
    <w:rsid w:val="5B192563"/>
    <w:rsid w:val="5B1B20E7"/>
    <w:rsid w:val="5B1C7B77"/>
    <w:rsid w:val="5B1CA01A"/>
    <w:rsid w:val="5B22D50F"/>
    <w:rsid w:val="5B252A3C"/>
    <w:rsid w:val="5B29C7C1"/>
    <w:rsid w:val="5B2D863C"/>
    <w:rsid w:val="5B3DDAA9"/>
    <w:rsid w:val="5B3FFF69"/>
    <w:rsid w:val="5B40038E"/>
    <w:rsid w:val="5B42BFFF"/>
    <w:rsid w:val="5B46CF6B"/>
    <w:rsid w:val="5B4931D7"/>
    <w:rsid w:val="5B4939CF"/>
    <w:rsid w:val="5B4C78E1"/>
    <w:rsid w:val="5B4CCA33"/>
    <w:rsid w:val="5B4CCC49"/>
    <w:rsid w:val="5B4FA1AA"/>
    <w:rsid w:val="5B5095B9"/>
    <w:rsid w:val="5B50C503"/>
    <w:rsid w:val="5B5338A6"/>
    <w:rsid w:val="5B55A1BE"/>
    <w:rsid w:val="5B5FEC09"/>
    <w:rsid w:val="5B6B6F37"/>
    <w:rsid w:val="5B6F2C2A"/>
    <w:rsid w:val="5B7482B1"/>
    <w:rsid w:val="5B7D48BC"/>
    <w:rsid w:val="5B82A8EC"/>
    <w:rsid w:val="5B82E9DD"/>
    <w:rsid w:val="5B8484A2"/>
    <w:rsid w:val="5B858BDF"/>
    <w:rsid w:val="5B8A673D"/>
    <w:rsid w:val="5B8BA91B"/>
    <w:rsid w:val="5B8E6D0C"/>
    <w:rsid w:val="5B9016B8"/>
    <w:rsid w:val="5B90B18B"/>
    <w:rsid w:val="5B92331E"/>
    <w:rsid w:val="5B95BD1D"/>
    <w:rsid w:val="5B9E8951"/>
    <w:rsid w:val="5BA0E246"/>
    <w:rsid w:val="5BA46D78"/>
    <w:rsid w:val="5BA5055F"/>
    <w:rsid w:val="5BA54B53"/>
    <w:rsid w:val="5BA60C57"/>
    <w:rsid w:val="5BA6E622"/>
    <w:rsid w:val="5BAF4844"/>
    <w:rsid w:val="5BB159E0"/>
    <w:rsid w:val="5BB89690"/>
    <w:rsid w:val="5BBB3DB6"/>
    <w:rsid w:val="5BBED8A9"/>
    <w:rsid w:val="5BBF87F1"/>
    <w:rsid w:val="5BC2338B"/>
    <w:rsid w:val="5BC5396A"/>
    <w:rsid w:val="5BC71BE8"/>
    <w:rsid w:val="5BD20C9E"/>
    <w:rsid w:val="5BD62B77"/>
    <w:rsid w:val="5BDBEDEE"/>
    <w:rsid w:val="5BDC9BDC"/>
    <w:rsid w:val="5BDD4DD2"/>
    <w:rsid w:val="5BE0A436"/>
    <w:rsid w:val="5BE659B4"/>
    <w:rsid w:val="5BEA895E"/>
    <w:rsid w:val="5BEC6323"/>
    <w:rsid w:val="5BEDF7C1"/>
    <w:rsid w:val="5BEF17B8"/>
    <w:rsid w:val="5BF3BB14"/>
    <w:rsid w:val="5BF66D60"/>
    <w:rsid w:val="5BF871B9"/>
    <w:rsid w:val="5C0DC2D7"/>
    <w:rsid w:val="5C169746"/>
    <w:rsid w:val="5C16D0C1"/>
    <w:rsid w:val="5C1E8BBD"/>
    <w:rsid w:val="5C1F295A"/>
    <w:rsid w:val="5C21FF04"/>
    <w:rsid w:val="5C224309"/>
    <w:rsid w:val="5C228E40"/>
    <w:rsid w:val="5C2869DD"/>
    <w:rsid w:val="5C2CF9F4"/>
    <w:rsid w:val="5C2D2893"/>
    <w:rsid w:val="5C2DE881"/>
    <w:rsid w:val="5C2EC21E"/>
    <w:rsid w:val="5C303453"/>
    <w:rsid w:val="5C3475DC"/>
    <w:rsid w:val="5C3835C5"/>
    <w:rsid w:val="5C41D653"/>
    <w:rsid w:val="5C462E03"/>
    <w:rsid w:val="5C55CD5A"/>
    <w:rsid w:val="5C56C602"/>
    <w:rsid w:val="5C5AF427"/>
    <w:rsid w:val="5C5BE5AF"/>
    <w:rsid w:val="5C5D9570"/>
    <w:rsid w:val="5C658C3C"/>
    <w:rsid w:val="5C65EDC6"/>
    <w:rsid w:val="5C6BACF0"/>
    <w:rsid w:val="5C6FE3B6"/>
    <w:rsid w:val="5C7245B3"/>
    <w:rsid w:val="5C75B1BB"/>
    <w:rsid w:val="5C77267D"/>
    <w:rsid w:val="5C7B0AE3"/>
    <w:rsid w:val="5C7F4673"/>
    <w:rsid w:val="5C7F6C7F"/>
    <w:rsid w:val="5C818353"/>
    <w:rsid w:val="5C8CF7AA"/>
    <w:rsid w:val="5C953816"/>
    <w:rsid w:val="5C977D8F"/>
    <w:rsid w:val="5C99605D"/>
    <w:rsid w:val="5C9C6E82"/>
    <w:rsid w:val="5C9F3FD4"/>
    <w:rsid w:val="5C9F7E03"/>
    <w:rsid w:val="5CA4469A"/>
    <w:rsid w:val="5CA77F88"/>
    <w:rsid w:val="5CABFBFD"/>
    <w:rsid w:val="5CB05DCF"/>
    <w:rsid w:val="5CB0CB52"/>
    <w:rsid w:val="5CC21222"/>
    <w:rsid w:val="5CD3DE40"/>
    <w:rsid w:val="5CD95A79"/>
    <w:rsid w:val="5CDD2BED"/>
    <w:rsid w:val="5CE53584"/>
    <w:rsid w:val="5CE7AB2F"/>
    <w:rsid w:val="5CF5E5F5"/>
    <w:rsid w:val="5CF6B085"/>
    <w:rsid w:val="5CF78767"/>
    <w:rsid w:val="5CF7CC9A"/>
    <w:rsid w:val="5CF8CBB5"/>
    <w:rsid w:val="5D0116D8"/>
    <w:rsid w:val="5D077ABA"/>
    <w:rsid w:val="5D16BC0B"/>
    <w:rsid w:val="5D1A9B73"/>
    <w:rsid w:val="5D1C1AEE"/>
    <w:rsid w:val="5D1C8B6D"/>
    <w:rsid w:val="5D2596C2"/>
    <w:rsid w:val="5D2889EE"/>
    <w:rsid w:val="5D29CD48"/>
    <w:rsid w:val="5D2A457C"/>
    <w:rsid w:val="5D2D7E09"/>
    <w:rsid w:val="5D333278"/>
    <w:rsid w:val="5D350180"/>
    <w:rsid w:val="5D3B4ADD"/>
    <w:rsid w:val="5D419517"/>
    <w:rsid w:val="5D46A0FE"/>
    <w:rsid w:val="5D48E778"/>
    <w:rsid w:val="5D4A2F53"/>
    <w:rsid w:val="5D5461E7"/>
    <w:rsid w:val="5D58E153"/>
    <w:rsid w:val="5D58E986"/>
    <w:rsid w:val="5D591116"/>
    <w:rsid w:val="5D6ABEF2"/>
    <w:rsid w:val="5D6EA98D"/>
    <w:rsid w:val="5D77F835"/>
    <w:rsid w:val="5D799139"/>
    <w:rsid w:val="5D7CB325"/>
    <w:rsid w:val="5D838238"/>
    <w:rsid w:val="5D8919A3"/>
    <w:rsid w:val="5D8B559E"/>
    <w:rsid w:val="5D8E88CC"/>
    <w:rsid w:val="5D90FB56"/>
    <w:rsid w:val="5D918021"/>
    <w:rsid w:val="5D939FA2"/>
    <w:rsid w:val="5D95FE35"/>
    <w:rsid w:val="5D9855BD"/>
    <w:rsid w:val="5D9A6339"/>
    <w:rsid w:val="5DA13592"/>
    <w:rsid w:val="5DA715E8"/>
    <w:rsid w:val="5DACE901"/>
    <w:rsid w:val="5DAE9C7D"/>
    <w:rsid w:val="5DB2EE22"/>
    <w:rsid w:val="5DB3E357"/>
    <w:rsid w:val="5DB5F4E9"/>
    <w:rsid w:val="5DB6434C"/>
    <w:rsid w:val="5DB76DC6"/>
    <w:rsid w:val="5DB9ED9F"/>
    <w:rsid w:val="5DBA29A6"/>
    <w:rsid w:val="5DC419E3"/>
    <w:rsid w:val="5DC46FAC"/>
    <w:rsid w:val="5DC686D9"/>
    <w:rsid w:val="5DCAAD78"/>
    <w:rsid w:val="5DCB143F"/>
    <w:rsid w:val="5DCBD1E7"/>
    <w:rsid w:val="5DCE2E2B"/>
    <w:rsid w:val="5DCEB6BF"/>
    <w:rsid w:val="5DD6884A"/>
    <w:rsid w:val="5DD6CE5C"/>
    <w:rsid w:val="5DE09405"/>
    <w:rsid w:val="5DE14E59"/>
    <w:rsid w:val="5DE51CAE"/>
    <w:rsid w:val="5DEC38D2"/>
    <w:rsid w:val="5DEED825"/>
    <w:rsid w:val="5DFAB968"/>
    <w:rsid w:val="5DFF03FF"/>
    <w:rsid w:val="5E02FA9F"/>
    <w:rsid w:val="5E064332"/>
    <w:rsid w:val="5E099E45"/>
    <w:rsid w:val="5E1055E3"/>
    <w:rsid w:val="5E10C915"/>
    <w:rsid w:val="5E10F839"/>
    <w:rsid w:val="5E1A1CE6"/>
    <w:rsid w:val="5E213259"/>
    <w:rsid w:val="5E21C1A1"/>
    <w:rsid w:val="5E2DC264"/>
    <w:rsid w:val="5E35788C"/>
    <w:rsid w:val="5E358327"/>
    <w:rsid w:val="5E404510"/>
    <w:rsid w:val="5E458406"/>
    <w:rsid w:val="5E4E9B1D"/>
    <w:rsid w:val="5E4EF33B"/>
    <w:rsid w:val="5E4FAF8F"/>
    <w:rsid w:val="5E4FF78B"/>
    <w:rsid w:val="5E551A8A"/>
    <w:rsid w:val="5E555508"/>
    <w:rsid w:val="5E5D497B"/>
    <w:rsid w:val="5E65C55C"/>
    <w:rsid w:val="5E67B5CD"/>
    <w:rsid w:val="5E690B1C"/>
    <w:rsid w:val="5E6EA90A"/>
    <w:rsid w:val="5E73D0D3"/>
    <w:rsid w:val="5E7700F8"/>
    <w:rsid w:val="5E78B275"/>
    <w:rsid w:val="5E7BA351"/>
    <w:rsid w:val="5E80BB63"/>
    <w:rsid w:val="5E80D82B"/>
    <w:rsid w:val="5E8482F3"/>
    <w:rsid w:val="5E8B49BD"/>
    <w:rsid w:val="5E94DEC6"/>
    <w:rsid w:val="5E964F04"/>
    <w:rsid w:val="5E9B0B06"/>
    <w:rsid w:val="5E9C2ABB"/>
    <w:rsid w:val="5E9F0DEA"/>
    <w:rsid w:val="5EA0D312"/>
    <w:rsid w:val="5EA17024"/>
    <w:rsid w:val="5EA29131"/>
    <w:rsid w:val="5EA726BE"/>
    <w:rsid w:val="5EAB125A"/>
    <w:rsid w:val="5EABD501"/>
    <w:rsid w:val="5EB6B548"/>
    <w:rsid w:val="5EB7B852"/>
    <w:rsid w:val="5EB8A35E"/>
    <w:rsid w:val="5EB9E8A3"/>
    <w:rsid w:val="5EBAEBDC"/>
    <w:rsid w:val="5EBE5B48"/>
    <w:rsid w:val="5EC5D857"/>
    <w:rsid w:val="5EC758A7"/>
    <w:rsid w:val="5EDE74A2"/>
    <w:rsid w:val="5EE4A343"/>
    <w:rsid w:val="5EE59C24"/>
    <w:rsid w:val="5EE79842"/>
    <w:rsid w:val="5EE91755"/>
    <w:rsid w:val="5EE9B0F0"/>
    <w:rsid w:val="5EEC6004"/>
    <w:rsid w:val="5EF604B6"/>
    <w:rsid w:val="5EF84302"/>
    <w:rsid w:val="5EF94561"/>
    <w:rsid w:val="5EFD5E96"/>
    <w:rsid w:val="5F00400C"/>
    <w:rsid w:val="5F016B6D"/>
    <w:rsid w:val="5F053027"/>
    <w:rsid w:val="5F10238C"/>
    <w:rsid w:val="5F14B03D"/>
    <w:rsid w:val="5F16475D"/>
    <w:rsid w:val="5F212A68"/>
    <w:rsid w:val="5F3C51D2"/>
    <w:rsid w:val="5F3D944F"/>
    <w:rsid w:val="5F47290E"/>
    <w:rsid w:val="5F4D0C02"/>
    <w:rsid w:val="5F557E3E"/>
    <w:rsid w:val="5F58DABB"/>
    <w:rsid w:val="5F5A58FF"/>
    <w:rsid w:val="5F5AC63A"/>
    <w:rsid w:val="5F5E0E98"/>
    <w:rsid w:val="5F6395D5"/>
    <w:rsid w:val="5F666DA7"/>
    <w:rsid w:val="5F67393A"/>
    <w:rsid w:val="5F6F598F"/>
    <w:rsid w:val="5F72815C"/>
    <w:rsid w:val="5F73C81B"/>
    <w:rsid w:val="5F777DA1"/>
    <w:rsid w:val="5F86CE5B"/>
    <w:rsid w:val="5F8CA539"/>
    <w:rsid w:val="5F91A8EF"/>
    <w:rsid w:val="5F9F0196"/>
    <w:rsid w:val="5FA7A0D0"/>
    <w:rsid w:val="5FAA48F8"/>
    <w:rsid w:val="5FAE8ADA"/>
    <w:rsid w:val="5FB07562"/>
    <w:rsid w:val="5FBE7DD3"/>
    <w:rsid w:val="5FC2C4CA"/>
    <w:rsid w:val="5FC3BDFD"/>
    <w:rsid w:val="5FC5C243"/>
    <w:rsid w:val="5FC66E4C"/>
    <w:rsid w:val="5FC6A2BC"/>
    <w:rsid w:val="5FC84331"/>
    <w:rsid w:val="5FD12217"/>
    <w:rsid w:val="5FD24956"/>
    <w:rsid w:val="5FD2AEDE"/>
    <w:rsid w:val="5FD3484D"/>
    <w:rsid w:val="5FD42143"/>
    <w:rsid w:val="5FD72F8F"/>
    <w:rsid w:val="5FD82F18"/>
    <w:rsid w:val="5FE8DF4D"/>
    <w:rsid w:val="5FECCE16"/>
    <w:rsid w:val="5FECE274"/>
    <w:rsid w:val="5FED2B33"/>
    <w:rsid w:val="5FEEB33A"/>
    <w:rsid w:val="5FEED5CB"/>
    <w:rsid w:val="5FFA3B5E"/>
    <w:rsid w:val="5FFFE0F1"/>
    <w:rsid w:val="6000061A"/>
    <w:rsid w:val="60092C13"/>
    <w:rsid w:val="600D8343"/>
    <w:rsid w:val="600ED601"/>
    <w:rsid w:val="60140C21"/>
    <w:rsid w:val="601916BE"/>
    <w:rsid w:val="601A3940"/>
    <w:rsid w:val="601DFF3E"/>
    <w:rsid w:val="6020097C"/>
    <w:rsid w:val="6021D100"/>
    <w:rsid w:val="6021EFF6"/>
    <w:rsid w:val="602263A2"/>
    <w:rsid w:val="602516EC"/>
    <w:rsid w:val="6027C901"/>
    <w:rsid w:val="602CB318"/>
    <w:rsid w:val="60328F06"/>
    <w:rsid w:val="60331064"/>
    <w:rsid w:val="60372BFA"/>
    <w:rsid w:val="60382837"/>
    <w:rsid w:val="6039F683"/>
    <w:rsid w:val="603C62A8"/>
    <w:rsid w:val="60417F23"/>
    <w:rsid w:val="6043EAF4"/>
    <w:rsid w:val="6047C3C0"/>
    <w:rsid w:val="60481F37"/>
    <w:rsid w:val="6048709B"/>
    <w:rsid w:val="604C6AB8"/>
    <w:rsid w:val="604CAD17"/>
    <w:rsid w:val="604CE679"/>
    <w:rsid w:val="6052B8D6"/>
    <w:rsid w:val="605549EF"/>
    <w:rsid w:val="60596EF8"/>
    <w:rsid w:val="605E56C9"/>
    <w:rsid w:val="606001DA"/>
    <w:rsid w:val="60619506"/>
    <w:rsid w:val="606482E6"/>
    <w:rsid w:val="6065B4D4"/>
    <w:rsid w:val="60771B5C"/>
    <w:rsid w:val="60787F1D"/>
    <w:rsid w:val="607D6135"/>
    <w:rsid w:val="607FD9D7"/>
    <w:rsid w:val="608D811F"/>
    <w:rsid w:val="609287D6"/>
    <w:rsid w:val="60941CE7"/>
    <w:rsid w:val="6096682C"/>
    <w:rsid w:val="609BCD62"/>
    <w:rsid w:val="609BE532"/>
    <w:rsid w:val="60A221EF"/>
    <w:rsid w:val="60A4BFAA"/>
    <w:rsid w:val="60A8C39C"/>
    <w:rsid w:val="60AF3EC1"/>
    <w:rsid w:val="60B052D2"/>
    <w:rsid w:val="60B07FE6"/>
    <w:rsid w:val="60B0C49C"/>
    <w:rsid w:val="60B6CB33"/>
    <w:rsid w:val="60BBCFFD"/>
    <w:rsid w:val="60BE5736"/>
    <w:rsid w:val="60C02333"/>
    <w:rsid w:val="60C39713"/>
    <w:rsid w:val="60CA23E7"/>
    <w:rsid w:val="60CDC1DA"/>
    <w:rsid w:val="60D6D25B"/>
    <w:rsid w:val="60D6D5C4"/>
    <w:rsid w:val="60D82CB6"/>
    <w:rsid w:val="60DC93AB"/>
    <w:rsid w:val="60DD36AD"/>
    <w:rsid w:val="60E10840"/>
    <w:rsid w:val="60E2B2FF"/>
    <w:rsid w:val="60E56CE7"/>
    <w:rsid w:val="60E833CA"/>
    <w:rsid w:val="60E896C6"/>
    <w:rsid w:val="60E9FE6F"/>
    <w:rsid w:val="60EA9927"/>
    <w:rsid w:val="60EA997C"/>
    <w:rsid w:val="60ED0B31"/>
    <w:rsid w:val="60F38B68"/>
    <w:rsid w:val="60F568BD"/>
    <w:rsid w:val="60F5D743"/>
    <w:rsid w:val="60F69DC6"/>
    <w:rsid w:val="60F73B06"/>
    <w:rsid w:val="60F9B8FD"/>
    <w:rsid w:val="60FABA62"/>
    <w:rsid w:val="60FCC0E0"/>
    <w:rsid w:val="60FFC765"/>
    <w:rsid w:val="6102D940"/>
    <w:rsid w:val="6104D93D"/>
    <w:rsid w:val="610C276C"/>
    <w:rsid w:val="611299D2"/>
    <w:rsid w:val="61163A03"/>
    <w:rsid w:val="611799FB"/>
    <w:rsid w:val="611D94E3"/>
    <w:rsid w:val="611E5025"/>
    <w:rsid w:val="611E9F99"/>
    <w:rsid w:val="6122F3CB"/>
    <w:rsid w:val="61253649"/>
    <w:rsid w:val="612A8E89"/>
    <w:rsid w:val="61302F6A"/>
    <w:rsid w:val="61353AB5"/>
    <w:rsid w:val="6138A786"/>
    <w:rsid w:val="613F0618"/>
    <w:rsid w:val="61402C9F"/>
    <w:rsid w:val="61412F98"/>
    <w:rsid w:val="61450AC8"/>
    <w:rsid w:val="614B4DB7"/>
    <w:rsid w:val="614B7BD5"/>
    <w:rsid w:val="614EAECD"/>
    <w:rsid w:val="614FF3AC"/>
    <w:rsid w:val="6151E2B2"/>
    <w:rsid w:val="61562B51"/>
    <w:rsid w:val="615641AC"/>
    <w:rsid w:val="615AD15B"/>
    <w:rsid w:val="615E536C"/>
    <w:rsid w:val="6161F7D1"/>
    <w:rsid w:val="61663EFF"/>
    <w:rsid w:val="61730EC3"/>
    <w:rsid w:val="6176C511"/>
    <w:rsid w:val="6176E3C0"/>
    <w:rsid w:val="617A06E0"/>
    <w:rsid w:val="617A83D0"/>
    <w:rsid w:val="618285FD"/>
    <w:rsid w:val="61894404"/>
    <w:rsid w:val="618C77E0"/>
    <w:rsid w:val="61911719"/>
    <w:rsid w:val="61918B8D"/>
    <w:rsid w:val="619789EC"/>
    <w:rsid w:val="619D5795"/>
    <w:rsid w:val="619DB806"/>
    <w:rsid w:val="619E5921"/>
    <w:rsid w:val="61A0A59D"/>
    <w:rsid w:val="61A12A1D"/>
    <w:rsid w:val="61A23D17"/>
    <w:rsid w:val="61A2E35A"/>
    <w:rsid w:val="61A37476"/>
    <w:rsid w:val="61A66A34"/>
    <w:rsid w:val="61A7230E"/>
    <w:rsid w:val="61A80AD8"/>
    <w:rsid w:val="61AEA2FF"/>
    <w:rsid w:val="61B1C192"/>
    <w:rsid w:val="61B369F5"/>
    <w:rsid w:val="61B8EDB4"/>
    <w:rsid w:val="61BB9A44"/>
    <w:rsid w:val="61BCF774"/>
    <w:rsid w:val="61C0BCA6"/>
    <w:rsid w:val="61C2906F"/>
    <w:rsid w:val="61CAE596"/>
    <w:rsid w:val="61CE8DF1"/>
    <w:rsid w:val="61D50C3A"/>
    <w:rsid w:val="61D7B00B"/>
    <w:rsid w:val="61DA5192"/>
    <w:rsid w:val="61DBFDED"/>
    <w:rsid w:val="61DF3F74"/>
    <w:rsid w:val="61E30347"/>
    <w:rsid w:val="61E5B5B8"/>
    <w:rsid w:val="61E84C45"/>
    <w:rsid w:val="61E90562"/>
    <w:rsid w:val="61EB3352"/>
    <w:rsid w:val="61ED9F08"/>
    <w:rsid w:val="61EE2D21"/>
    <w:rsid w:val="61F79C73"/>
    <w:rsid w:val="61FB4372"/>
    <w:rsid w:val="62098075"/>
    <w:rsid w:val="620AEB94"/>
    <w:rsid w:val="620DE4CC"/>
    <w:rsid w:val="62176EB7"/>
    <w:rsid w:val="6218ABBD"/>
    <w:rsid w:val="621ADBA7"/>
    <w:rsid w:val="6221D09B"/>
    <w:rsid w:val="62246424"/>
    <w:rsid w:val="6229797B"/>
    <w:rsid w:val="6229A317"/>
    <w:rsid w:val="622B173E"/>
    <w:rsid w:val="62351CAA"/>
    <w:rsid w:val="623651A0"/>
    <w:rsid w:val="62398897"/>
    <w:rsid w:val="623B00FC"/>
    <w:rsid w:val="6244C08D"/>
    <w:rsid w:val="62483F00"/>
    <w:rsid w:val="62491211"/>
    <w:rsid w:val="624F3B14"/>
    <w:rsid w:val="6252C8D2"/>
    <w:rsid w:val="62554FD9"/>
    <w:rsid w:val="625B4EA3"/>
    <w:rsid w:val="625E5943"/>
    <w:rsid w:val="625FE0CE"/>
    <w:rsid w:val="6260BE2F"/>
    <w:rsid w:val="6261AAC3"/>
    <w:rsid w:val="626329CF"/>
    <w:rsid w:val="6264D821"/>
    <w:rsid w:val="6266BBB5"/>
    <w:rsid w:val="62674FAF"/>
    <w:rsid w:val="6269B789"/>
    <w:rsid w:val="626C2EB7"/>
    <w:rsid w:val="626D6E19"/>
    <w:rsid w:val="626F555D"/>
    <w:rsid w:val="62749A05"/>
    <w:rsid w:val="62780E39"/>
    <w:rsid w:val="62782E56"/>
    <w:rsid w:val="62812B8F"/>
    <w:rsid w:val="6282CB4A"/>
    <w:rsid w:val="6283364C"/>
    <w:rsid w:val="6283BC9C"/>
    <w:rsid w:val="628ED196"/>
    <w:rsid w:val="628FF8A3"/>
    <w:rsid w:val="629054D3"/>
    <w:rsid w:val="62980C30"/>
    <w:rsid w:val="6299E6BB"/>
    <w:rsid w:val="62A5A932"/>
    <w:rsid w:val="62A63E50"/>
    <w:rsid w:val="62A8453E"/>
    <w:rsid w:val="62AA119D"/>
    <w:rsid w:val="62B399A3"/>
    <w:rsid w:val="62B91F04"/>
    <w:rsid w:val="62BB746F"/>
    <w:rsid w:val="62BC5914"/>
    <w:rsid w:val="62BE233D"/>
    <w:rsid w:val="62BFEC1D"/>
    <w:rsid w:val="62C00784"/>
    <w:rsid w:val="62C24A50"/>
    <w:rsid w:val="62CEA9C1"/>
    <w:rsid w:val="62CF48E9"/>
    <w:rsid w:val="62D3F561"/>
    <w:rsid w:val="62D7A375"/>
    <w:rsid w:val="62DC5467"/>
    <w:rsid w:val="62EA6E09"/>
    <w:rsid w:val="62EF9BC4"/>
    <w:rsid w:val="62F20E0D"/>
    <w:rsid w:val="62F21BEE"/>
    <w:rsid w:val="62F94474"/>
    <w:rsid w:val="62FA7B2B"/>
    <w:rsid w:val="62FBBF86"/>
    <w:rsid w:val="62FC39DD"/>
    <w:rsid w:val="62FD0E78"/>
    <w:rsid w:val="6303846D"/>
    <w:rsid w:val="63057C19"/>
    <w:rsid w:val="63083241"/>
    <w:rsid w:val="6308AD2C"/>
    <w:rsid w:val="630C1DD3"/>
    <w:rsid w:val="630D5E58"/>
    <w:rsid w:val="630FD21D"/>
    <w:rsid w:val="631A33C1"/>
    <w:rsid w:val="631A4193"/>
    <w:rsid w:val="631A8AAE"/>
    <w:rsid w:val="631AAB5B"/>
    <w:rsid w:val="631BD2DF"/>
    <w:rsid w:val="631C4487"/>
    <w:rsid w:val="6324610D"/>
    <w:rsid w:val="632888DD"/>
    <w:rsid w:val="632A438A"/>
    <w:rsid w:val="632A9F8C"/>
    <w:rsid w:val="632DDB0B"/>
    <w:rsid w:val="633353EF"/>
    <w:rsid w:val="6333AF0F"/>
    <w:rsid w:val="6333D040"/>
    <w:rsid w:val="63383919"/>
    <w:rsid w:val="6338E4C7"/>
    <w:rsid w:val="6339E694"/>
    <w:rsid w:val="6339F369"/>
    <w:rsid w:val="633B8FC6"/>
    <w:rsid w:val="633D6C07"/>
    <w:rsid w:val="6343BAFD"/>
    <w:rsid w:val="6346147D"/>
    <w:rsid w:val="63476BED"/>
    <w:rsid w:val="635495C7"/>
    <w:rsid w:val="635B3349"/>
    <w:rsid w:val="635D8C30"/>
    <w:rsid w:val="63638CFE"/>
    <w:rsid w:val="636600B4"/>
    <w:rsid w:val="63695081"/>
    <w:rsid w:val="6369BFD0"/>
    <w:rsid w:val="636F56A9"/>
    <w:rsid w:val="63705419"/>
    <w:rsid w:val="6374CC1E"/>
    <w:rsid w:val="6376D7D0"/>
    <w:rsid w:val="637A7CB4"/>
    <w:rsid w:val="63841CA6"/>
    <w:rsid w:val="6386B82D"/>
    <w:rsid w:val="6387EC72"/>
    <w:rsid w:val="63881E40"/>
    <w:rsid w:val="638AFB18"/>
    <w:rsid w:val="638F2585"/>
    <w:rsid w:val="6390C38E"/>
    <w:rsid w:val="6395FC8A"/>
    <w:rsid w:val="6396D83F"/>
    <w:rsid w:val="63979B5B"/>
    <w:rsid w:val="639B2A7F"/>
    <w:rsid w:val="63AAAC17"/>
    <w:rsid w:val="63AB1C8D"/>
    <w:rsid w:val="63AEE639"/>
    <w:rsid w:val="63B247FC"/>
    <w:rsid w:val="63B55766"/>
    <w:rsid w:val="63B69EB9"/>
    <w:rsid w:val="63BF3C2F"/>
    <w:rsid w:val="63C77AFF"/>
    <w:rsid w:val="63CA5133"/>
    <w:rsid w:val="63D9AAF8"/>
    <w:rsid w:val="63DBC318"/>
    <w:rsid w:val="63DFD733"/>
    <w:rsid w:val="63E1C1E7"/>
    <w:rsid w:val="63E80C9A"/>
    <w:rsid w:val="63EA954D"/>
    <w:rsid w:val="63EBCBAB"/>
    <w:rsid w:val="63F09060"/>
    <w:rsid w:val="63F2ECB6"/>
    <w:rsid w:val="63F3D7B9"/>
    <w:rsid w:val="63F41C43"/>
    <w:rsid w:val="63FF0756"/>
    <w:rsid w:val="640504F5"/>
    <w:rsid w:val="6408C125"/>
    <w:rsid w:val="640B5782"/>
    <w:rsid w:val="64140D2F"/>
    <w:rsid w:val="6414F974"/>
    <w:rsid w:val="6415C49C"/>
    <w:rsid w:val="6416BC3E"/>
    <w:rsid w:val="6417D156"/>
    <w:rsid w:val="641C8B4D"/>
    <w:rsid w:val="64206769"/>
    <w:rsid w:val="642C66DC"/>
    <w:rsid w:val="6434E208"/>
    <w:rsid w:val="6439ED2F"/>
    <w:rsid w:val="643E97CE"/>
    <w:rsid w:val="6445D4CB"/>
    <w:rsid w:val="6447DA8A"/>
    <w:rsid w:val="644A67E7"/>
    <w:rsid w:val="644BDE16"/>
    <w:rsid w:val="64540936"/>
    <w:rsid w:val="6456842C"/>
    <w:rsid w:val="64670A47"/>
    <w:rsid w:val="64683A0E"/>
    <w:rsid w:val="646D2364"/>
    <w:rsid w:val="646D4E0A"/>
    <w:rsid w:val="6470174F"/>
    <w:rsid w:val="64706CFE"/>
    <w:rsid w:val="647EC692"/>
    <w:rsid w:val="64802120"/>
    <w:rsid w:val="648DAD27"/>
    <w:rsid w:val="648FE937"/>
    <w:rsid w:val="64996114"/>
    <w:rsid w:val="649A5ACC"/>
    <w:rsid w:val="649A7902"/>
    <w:rsid w:val="649EE23A"/>
    <w:rsid w:val="64A29CFA"/>
    <w:rsid w:val="64A2C5D9"/>
    <w:rsid w:val="64A646D3"/>
    <w:rsid w:val="64A735F9"/>
    <w:rsid w:val="64AB4647"/>
    <w:rsid w:val="64ACDD7B"/>
    <w:rsid w:val="64CC728E"/>
    <w:rsid w:val="64CF9FF4"/>
    <w:rsid w:val="64D49C4F"/>
    <w:rsid w:val="64D7E0F7"/>
    <w:rsid w:val="64DC46CC"/>
    <w:rsid w:val="64DEF025"/>
    <w:rsid w:val="64E0169D"/>
    <w:rsid w:val="64E53AEA"/>
    <w:rsid w:val="64F3589A"/>
    <w:rsid w:val="64F42DA8"/>
    <w:rsid w:val="64F67B36"/>
    <w:rsid w:val="64F68865"/>
    <w:rsid w:val="64F88382"/>
    <w:rsid w:val="64F909F4"/>
    <w:rsid w:val="64F9A296"/>
    <w:rsid w:val="64FB2DE7"/>
    <w:rsid w:val="64FBF159"/>
    <w:rsid w:val="64FC436A"/>
    <w:rsid w:val="64FE407D"/>
    <w:rsid w:val="64FE42C2"/>
    <w:rsid w:val="650482A9"/>
    <w:rsid w:val="650A0890"/>
    <w:rsid w:val="650E9C70"/>
    <w:rsid w:val="6513C5B6"/>
    <w:rsid w:val="65160230"/>
    <w:rsid w:val="6517CCBD"/>
    <w:rsid w:val="651916CA"/>
    <w:rsid w:val="6519C314"/>
    <w:rsid w:val="651AA31D"/>
    <w:rsid w:val="651C5266"/>
    <w:rsid w:val="65202279"/>
    <w:rsid w:val="652766A0"/>
    <w:rsid w:val="652E2E7F"/>
    <w:rsid w:val="652F33C6"/>
    <w:rsid w:val="65371692"/>
    <w:rsid w:val="6539D5A0"/>
    <w:rsid w:val="653C9945"/>
    <w:rsid w:val="6551A876"/>
    <w:rsid w:val="65592DB8"/>
    <w:rsid w:val="65619696"/>
    <w:rsid w:val="6562C9C9"/>
    <w:rsid w:val="656995E2"/>
    <w:rsid w:val="656C8F0A"/>
    <w:rsid w:val="656CB2BB"/>
    <w:rsid w:val="656E37FB"/>
    <w:rsid w:val="657229E5"/>
    <w:rsid w:val="65782CF3"/>
    <w:rsid w:val="657955F8"/>
    <w:rsid w:val="657AB07E"/>
    <w:rsid w:val="657F3E00"/>
    <w:rsid w:val="65842DA7"/>
    <w:rsid w:val="6587EC2D"/>
    <w:rsid w:val="65880D7F"/>
    <w:rsid w:val="6593DE24"/>
    <w:rsid w:val="65A3A95F"/>
    <w:rsid w:val="65A3CCFA"/>
    <w:rsid w:val="65AAEFFA"/>
    <w:rsid w:val="65AB39AF"/>
    <w:rsid w:val="65AB7BB4"/>
    <w:rsid w:val="65B4F1B7"/>
    <w:rsid w:val="65BD321A"/>
    <w:rsid w:val="65BD3B31"/>
    <w:rsid w:val="65BD73A5"/>
    <w:rsid w:val="65C36B27"/>
    <w:rsid w:val="65CF5BFD"/>
    <w:rsid w:val="65D5236E"/>
    <w:rsid w:val="65D6DB08"/>
    <w:rsid w:val="65DA1646"/>
    <w:rsid w:val="65E0056D"/>
    <w:rsid w:val="65E1B137"/>
    <w:rsid w:val="65E27405"/>
    <w:rsid w:val="65E328A5"/>
    <w:rsid w:val="65FA5EE3"/>
    <w:rsid w:val="65FB79AA"/>
    <w:rsid w:val="65FCCB17"/>
    <w:rsid w:val="66022CB7"/>
    <w:rsid w:val="66097943"/>
    <w:rsid w:val="6609ED70"/>
    <w:rsid w:val="660A7207"/>
    <w:rsid w:val="6613D4D7"/>
    <w:rsid w:val="6616B922"/>
    <w:rsid w:val="66171C2D"/>
    <w:rsid w:val="6619B2D2"/>
    <w:rsid w:val="661A830D"/>
    <w:rsid w:val="661C43E1"/>
    <w:rsid w:val="66201A67"/>
    <w:rsid w:val="6629809D"/>
    <w:rsid w:val="662C8E7D"/>
    <w:rsid w:val="66332208"/>
    <w:rsid w:val="663813A9"/>
    <w:rsid w:val="663930F9"/>
    <w:rsid w:val="663BC366"/>
    <w:rsid w:val="663BF4D2"/>
    <w:rsid w:val="663C1A95"/>
    <w:rsid w:val="66454956"/>
    <w:rsid w:val="66455872"/>
    <w:rsid w:val="66490039"/>
    <w:rsid w:val="664A99B8"/>
    <w:rsid w:val="664C00F9"/>
    <w:rsid w:val="664FDC05"/>
    <w:rsid w:val="6651F7E4"/>
    <w:rsid w:val="66529110"/>
    <w:rsid w:val="6654B444"/>
    <w:rsid w:val="665AC3F6"/>
    <w:rsid w:val="666842CA"/>
    <w:rsid w:val="666B63CF"/>
    <w:rsid w:val="666DD1BF"/>
    <w:rsid w:val="666F532F"/>
    <w:rsid w:val="6671CED1"/>
    <w:rsid w:val="667394B6"/>
    <w:rsid w:val="667C1BD0"/>
    <w:rsid w:val="66813FBA"/>
    <w:rsid w:val="66814CF3"/>
    <w:rsid w:val="66862540"/>
    <w:rsid w:val="668AE17B"/>
    <w:rsid w:val="668B035B"/>
    <w:rsid w:val="668BAE3A"/>
    <w:rsid w:val="668C3C53"/>
    <w:rsid w:val="6692FB9B"/>
    <w:rsid w:val="6693B2E1"/>
    <w:rsid w:val="6694A49C"/>
    <w:rsid w:val="66973E51"/>
    <w:rsid w:val="6698B18D"/>
    <w:rsid w:val="669CE7A3"/>
    <w:rsid w:val="66A6AE57"/>
    <w:rsid w:val="66A854E8"/>
    <w:rsid w:val="66A96B29"/>
    <w:rsid w:val="66AF651A"/>
    <w:rsid w:val="66AFB591"/>
    <w:rsid w:val="66B78274"/>
    <w:rsid w:val="66B7DAFD"/>
    <w:rsid w:val="66BB35D5"/>
    <w:rsid w:val="66BDE7E6"/>
    <w:rsid w:val="66C2432F"/>
    <w:rsid w:val="66CAC45E"/>
    <w:rsid w:val="66CE3B45"/>
    <w:rsid w:val="66CFE133"/>
    <w:rsid w:val="66D1930A"/>
    <w:rsid w:val="66D5A71F"/>
    <w:rsid w:val="66D74F5D"/>
    <w:rsid w:val="66DD4823"/>
    <w:rsid w:val="66DE3E4F"/>
    <w:rsid w:val="66DF7D4E"/>
    <w:rsid w:val="66E221DA"/>
    <w:rsid w:val="66E23A02"/>
    <w:rsid w:val="66E82147"/>
    <w:rsid w:val="66E8B103"/>
    <w:rsid w:val="66E91EB4"/>
    <w:rsid w:val="66F6E4D7"/>
    <w:rsid w:val="66F8703D"/>
    <w:rsid w:val="66FDD5F8"/>
    <w:rsid w:val="66FE0C9E"/>
    <w:rsid w:val="66FEF6E1"/>
    <w:rsid w:val="67045CE8"/>
    <w:rsid w:val="6704FA1B"/>
    <w:rsid w:val="670A6D0E"/>
    <w:rsid w:val="670ACB3D"/>
    <w:rsid w:val="6711742B"/>
    <w:rsid w:val="671F3D18"/>
    <w:rsid w:val="671F723F"/>
    <w:rsid w:val="67264F71"/>
    <w:rsid w:val="672E4493"/>
    <w:rsid w:val="672E5601"/>
    <w:rsid w:val="6730A5EF"/>
    <w:rsid w:val="67313154"/>
    <w:rsid w:val="6732104A"/>
    <w:rsid w:val="6736D9B0"/>
    <w:rsid w:val="673FA8AE"/>
    <w:rsid w:val="6747F79E"/>
    <w:rsid w:val="674A2B05"/>
    <w:rsid w:val="674AA4AD"/>
    <w:rsid w:val="674D0D30"/>
    <w:rsid w:val="6750BAFB"/>
    <w:rsid w:val="67566F5D"/>
    <w:rsid w:val="6758B67A"/>
    <w:rsid w:val="67606456"/>
    <w:rsid w:val="67632D5A"/>
    <w:rsid w:val="67683E5C"/>
    <w:rsid w:val="676DB322"/>
    <w:rsid w:val="676EA8BA"/>
    <w:rsid w:val="6772DD8B"/>
    <w:rsid w:val="6775F84F"/>
    <w:rsid w:val="67772E58"/>
    <w:rsid w:val="67824FC5"/>
    <w:rsid w:val="6787686C"/>
    <w:rsid w:val="67896F34"/>
    <w:rsid w:val="6789BBCC"/>
    <w:rsid w:val="678F6534"/>
    <w:rsid w:val="6791DF80"/>
    <w:rsid w:val="67968C7D"/>
    <w:rsid w:val="6797EE73"/>
    <w:rsid w:val="67994FDE"/>
    <w:rsid w:val="679EFD14"/>
    <w:rsid w:val="67A03929"/>
    <w:rsid w:val="67A27D67"/>
    <w:rsid w:val="67A2A79F"/>
    <w:rsid w:val="67A34DF2"/>
    <w:rsid w:val="67A64442"/>
    <w:rsid w:val="67A8C47F"/>
    <w:rsid w:val="67A9A2D4"/>
    <w:rsid w:val="67AAC0DB"/>
    <w:rsid w:val="67AB7991"/>
    <w:rsid w:val="67AC6785"/>
    <w:rsid w:val="67B780B0"/>
    <w:rsid w:val="67C052AF"/>
    <w:rsid w:val="67C378D0"/>
    <w:rsid w:val="67C5B539"/>
    <w:rsid w:val="67CD24BE"/>
    <w:rsid w:val="67CD5803"/>
    <w:rsid w:val="67CEBB27"/>
    <w:rsid w:val="67D02088"/>
    <w:rsid w:val="67D1AA46"/>
    <w:rsid w:val="67D1FB8E"/>
    <w:rsid w:val="67D86C29"/>
    <w:rsid w:val="67D9E7CE"/>
    <w:rsid w:val="67DD6807"/>
    <w:rsid w:val="67DF5E36"/>
    <w:rsid w:val="67E86740"/>
    <w:rsid w:val="67EC9902"/>
    <w:rsid w:val="67F21940"/>
    <w:rsid w:val="67F277C5"/>
    <w:rsid w:val="67F43774"/>
    <w:rsid w:val="67F76DDB"/>
    <w:rsid w:val="67F8F110"/>
    <w:rsid w:val="67FBF6F1"/>
    <w:rsid w:val="67FCB37F"/>
    <w:rsid w:val="67FD96B2"/>
    <w:rsid w:val="67FDA9E7"/>
    <w:rsid w:val="67FDD852"/>
    <w:rsid w:val="67FE09D2"/>
    <w:rsid w:val="6800903B"/>
    <w:rsid w:val="6806BBD5"/>
    <w:rsid w:val="6806E5B4"/>
    <w:rsid w:val="6809D8FE"/>
    <w:rsid w:val="680BF301"/>
    <w:rsid w:val="6814A7D7"/>
    <w:rsid w:val="68261CC6"/>
    <w:rsid w:val="68266A59"/>
    <w:rsid w:val="68270966"/>
    <w:rsid w:val="682EB5AB"/>
    <w:rsid w:val="68315B29"/>
    <w:rsid w:val="6837532B"/>
    <w:rsid w:val="683C4DD3"/>
    <w:rsid w:val="683E2C86"/>
    <w:rsid w:val="683E7DB8"/>
    <w:rsid w:val="683F9716"/>
    <w:rsid w:val="68458396"/>
    <w:rsid w:val="6845D26F"/>
    <w:rsid w:val="684C96CD"/>
    <w:rsid w:val="684EBD8C"/>
    <w:rsid w:val="684EE65F"/>
    <w:rsid w:val="684F9127"/>
    <w:rsid w:val="6853C3F3"/>
    <w:rsid w:val="68574018"/>
    <w:rsid w:val="685783B7"/>
    <w:rsid w:val="6858079F"/>
    <w:rsid w:val="68643115"/>
    <w:rsid w:val="68656730"/>
    <w:rsid w:val="6868649E"/>
    <w:rsid w:val="686B2706"/>
    <w:rsid w:val="686EE92A"/>
    <w:rsid w:val="6875FF04"/>
    <w:rsid w:val="687A9E72"/>
    <w:rsid w:val="687BE5FF"/>
    <w:rsid w:val="687E9C13"/>
    <w:rsid w:val="687F721E"/>
    <w:rsid w:val="6889D429"/>
    <w:rsid w:val="688C3FB2"/>
    <w:rsid w:val="688ED4C2"/>
    <w:rsid w:val="68985BD7"/>
    <w:rsid w:val="68994CA1"/>
    <w:rsid w:val="689ADB7C"/>
    <w:rsid w:val="689D49FF"/>
    <w:rsid w:val="68AA1C14"/>
    <w:rsid w:val="68AAF906"/>
    <w:rsid w:val="68ABF7F8"/>
    <w:rsid w:val="68AC092E"/>
    <w:rsid w:val="68B03959"/>
    <w:rsid w:val="68B27A67"/>
    <w:rsid w:val="68B2A961"/>
    <w:rsid w:val="68B6A581"/>
    <w:rsid w:val="68B9B27F"/>
    <w:rsid w:val="68B9D5DF"/>
    <w:rsid w:val="68BB1704"/>
    <w:rsid w:val="68BDCD16"/>
    <w:rsid w:val="68C15ED7"/>
    <w:rsid w:val="68CFDEF9"/>
    <w:rsid w:val="68D25E4A"/>
    <w:rsid w:val="68D4A6A1"/>
    <w:rsid w:val="68D4E95D"/>
    <w:rsid w:val="68D50848"/>
    <w:rsid w:val="68D86823"/>
    <w:rsid w:val="68D9F1EB"/>
    <w:rsid w:val="68DCF149"/>
    <w:rsid w:val="68DD71B1"/>
    <w:rsid w:val="68E5D586"/>
    <w:rsid w:val="68F3F922"/>
    <w:rsid w:val="68F9709A"/>
    <w:rsid w:val="6902619E"/>
    <w:rsid w:val="69071990"/>
    <w:rsid w:val="690952C9"/>
    <w:rsid w:val="690D15D4"/>
    <w:rsid w:val="6922C02E"/>
    <w:rsid w:val="6924CCDD"/>
    <w:rsid w:val="6924CFF7"/>
    <w:rsid w:val="69282ACA"/>
    <w:rsid w:val="6928C44C"/>
    <w:rsid w:val="692D756A"/>
    <w:rsid w:val="692E0F50"/>
    <w:rsid w:val="69303AD2"/>
    <w:rsid w:val="693B87E5"/>
    <w:rsid w:val="693C4999"/>
    <w:rsid w:val="693DB86B"/>
    <w:rsid w:val="69447BB6"/>
    <w:rsid w:val="6945558B"/>
    <w:rsid w:val="694710B1"/>
    <w:rsid w:val="694BAFCA"/>
    <w:rsid w:val="694C10F7"/>
    <w:rsid w:val="6952B516"/>
    <w:rsid w:val="6959FEEE"/>
    <w:rsid w:val="69637ED0"/>
    <w:rsid w:val="69651237"/>
    <w:rsid w:val="6965BBDC"/>
    <w:rsid w:val="6967B039"/>
    <w:rsid w:val="69703A4F"/>
    <w:rsid w:val="6972099A"/>
    <w:rsid w:val="697263E3"/>
    <w:rsid w:val="697585B2"/>
    <w:rsid w:val="6978C292"/>
    <w:rsid w:val="6982EA18"/>
    <w:rsid w:val="69877126"/>
    <w:rsid w:val="698BF525"/>
    <w:rsid w:val="6993519B"/>
    <w:rsid w:val="69940A8C"/>
    <w:rsid w:val="69943C64"/>
    <w:rsid w:val="699AE803"/>
    <w:rsid w:val="699BC2C5"/>
    <w:rsid w:val="69A03639"/>
    <w:rsid w:val="69A1D5BA"/>
    <w:rsid w:val="69A7D772"/>
    <w:rsid w:val="69AAD2FC"/>
    <w:rsid w:val="69B3B1E3"/>
    <w:rsid w:val="69C17110"/>
    <w:rsid w:val="69C59A52"/>
    <w:rsid w:val="69C5CFC4"/>
    <w:rsid w:val="69CAA355"/>
    <w:rsid w:val="69D151E8"/>
    <w:rsid w:val="69D32B39"/>
    <w:rsid w:val="69D5004C"/>
    <w:rsid w:val="69D61FFA"/>
    <w:rsid w:val="69D7F3CC"/>
    <w:rsid w:val="69D95905"/>
    <w:rsid w:val="69DACB83"/>
    <w:rsid w:val="69DB1426"/>
    <w:rsid w:val="69DD2046"/>
    <w:rsid w:val="69E33BF0"/>
    <w:rsid w:val="69E36F19"/>
    <w:rsid w:val="69EB11C2"/>
    <w:rsid w:val="69EDFEAB"/>
    <w:rsid w:val="69F131F7"/>
    <w:rsid w:val="69F1DD25"/>
    <w:rsid w:val="69F5FE73"/>
    <w:rsid w:val="69FDA817"/>
    <w:rsid w:val="69FF41B1"/>
    <w:rsid w:val="6A06B40A"/>
    <w:rsid w:val="6A072296"/>
    <w:rsid w:val="6A19ACEC"/>
    <w:rsid w:val="6A1EC4F1"/>
    <w:rsid w:val="6A26497F"/>
    <w:rsid w:val="6A2677D0"/>
    <w:rsid w:val="6A274017"/>
    <w:rsid w:val="6A291251"/>
    <w:rsid w:val="6A2BB50D"/>
    <w:rsid w:val="6A305D81"/>
    <w:rsid w:val="6A3AB02F"/>
    <w:rsid w:val="6A3AEDC1"/>
    <w:rsid w:val="6A3AF4EC"/>
    <w:rsid w:val="6A3B8D73"/>
    <w:rsid w:val="6A3FB3AF"/>
    <w:rsid w:val="6A3FD234"/>
    <w:rsid w:val="6A40B8AC"/>
    <w:rsid w:val="6A4F453B"/>
    <w:rsid w:val="6A4F91D2"/>
    <w:rsid w:val="6A5DCC76"/>
    <w:rsid w:val="6A5F045C"/>
    <w:rsid w:val="6A6891FA"/>
    <w:rsid w:val="6A70D1F1"/>
    <w:rsid w:val="6A918D46"/>
    <w:rsid w:val="6A92646D"/>
    <w:rsid w:val="6A9D150E"/>
    <w:rsid w:val="6A9E62F2"/>
    <w:rsid w:val="6AA779E0"/>
    <w:rsid w:val="6AAAFFAA"/>
    <w:rsid w:val="6AB33E8C"/>
    <w:rsid w:val="6AB5CB85"/>
    <w:rsid w:val="6ABA3452"/>
    <w:rsid w:val="6ABBEB68"/>
    <w:rsid w:val="6AC2CC94"/>
    <w:rsid w:val="6AC884C3"/>
    <w:rsid w:val="6ACB8636"/>
    <w:rsid w:val="6AD0167D"/>
    <w:rsid w:val="6ADC4F6E"/>
    <w:rsid w:val="6ADDAAE9"/>
    <w:rsid w:val="6AE72798"/>
    <w:rsid w:val="6AEA21F5"/>
    <w:rsid w:val="6AEA5042"/>
    <w:rsid w:val="6AEA730C"/>
    <w:rsid w:val="6AED01F9"/>
    <w:rsid w:val="6AEEF891"/>
    <w:rsid w:val="6AF7D192"/>
    <w:rsid w:val="6AF8B3F1"/>
    <w:rsid w:val="6B003BE5"/>
    <w:rsid w:val="6B004FF2"/>
    <w:rsid w:val="6B021D16"/>
    <w:rsid w:val="6B047F17"/>
    <w:rsid w:val="6B050C60"/>
    <w:rsid w:val="6B056CEA"/>
    <w:rsid w:val="6B06F903"/>
    <w:rsid w:val="6B075C26"/>
    <w:rsid w:val="6B0B64BE"/>
    <w:rsid w:val="6B0C34B5"/>
    <w:rsid w:val="6B0E3AFA"/>
    <w:rsid w:val="6B12486A"/>
    <w:rsid w:val="6B1868A0"/>
    <w:rsid w:val="6B1B914E"/>
    <w:rsid w:val="6B234DA0"/>
    <w:rsid w:val="6B28539B"/>
    <w:rsid w:val="6B29A66C"/>
    <w:rsid w:val="6B29B01A"/>
    <w:rsid w:val="6B324C5C"/>
    <w:rsid w:val="6B34FCDD"/>
    <w:rsid w:val="6B3538F7"/>
    <w:rsid w:val="6B3915B6"/>
    <w:rsid w:val="6B3ACFE1"/>
    <w:rsid w:val="6B3D71E4"/>
    <w:rsid w:val="6B3E3B9F"/>
    <w:rsid w:val="6B3F1A6B"/>
    <w:rsid w:val="6B409310"/>
    <w:rsid w:val="6B411F0F"/>
    <w:rsid w:val="6B4544F3"/>
    <w:rsid w:val="6B4B0D74"/>
    <w:rsid w:val="6B4CD87E"/>
    <w:rsid w:val="6B56FF55"/>
    <w:rsid w:val="6B59B782"/>
    <w:rsid w:val="6B651B54"/>
    <w:rsid w:val="6B697767"/>
    <w:rsid w:val="6B6D4C46"/>
    <w:rsid w:val="6B809800"/>
    <w:rsid w:val="6B8E6C61"/>
    <w:rsid w:val="6B920E37"/>
    <w:rsid w:val="6B98D550"/>
    <w:rsid w:val="6B9F7A0F"/>
    <w:rsid w:val="6BA10970"/>
    <w:rsid w:val="6BA54347"/>
    <w:rsid w:val="6BA71DAB"/>
    <w:rsid w:val="6BA74891"/>
    <w:rsid w:val="6BAB3AB8"/>
    <w:rsid w:val="6BAC26FF"/>
    <w:rsid w:val="6BBB6E32"/>
    <w:rsid w:val="6BBD79F5"/>
    <w:rsid w:val="6BC16370"/>
    <w:rsid w:val="6BC27926"/>
    <w:rsid w:val="6BC2E091"/>
    <w:rsid w:val="6BC2F901"/>
    <w:rsid w:val="6BC3EF15"/>
    <w:rsid w:val="6BC6FC46"/>
    <w:rsid w:val="6BC828DA"/>
    <w:rsid w:val="6BC8A3A2"/>
    <w:rsid w:val="6BCC5917"/>
    <w:rsid w:val="6BD0C840"/>
    <w:rsid w:val="6BD26E89"/>
    <w:rsid w:val="6BD34110"/>
    <w:rsid w:val="6BD43ECC"/>
    <w:rsid w:val="6BDA3847"/>
    <w:rsid w:val="6BE57519"/>
    <w:rsid w:val="6BECAB93"/>
    <w:rsid w:val="6BEDC7C7"/>
    <w:rsid w:val="6BF042FD"/>
    <w:rsid w:val="6BF44E08"/>
    <w:rsid w:val="6C0437DF"/>
    <w:rsid w:val="6C09D40A"/>
    <w:rsid w:val="6C0DB766"/>
    <w:rsid w:val="6C0EEF3B"/>
    <w:rsid w:val="6C1A0015"/>
    <w:rsid w:val="6C1BB508"/>
    <w:rsid w:val="6C1DD6D0"/>
    <w:rsid w:val="6C1F9866"/>
    <w:rsid w:val="6C24C863"/>
    <w:rsid w:val="6C265604"/>
    <w:rsid w:val="6C35A778"/>
    <w:rsid w:val="6C397988"/>
    <w:rsid w:val="6C3B94BA"/>
    <w:rsid w:val="6C3F491D"/>
    <w:rsid w:val="6C478C16"/>
    <w:rsid w:val="6C49496C"/>
    <w:rsid w:val="6C4B6D64"/>
    <w:rsid w:val="6C4D45E2"/>
    <w:rsid w:val="6C510153"/>
    <w:rsid w:val="6C59F5F9"/>
    <w:rsid w:val="6C5CD6AD"/>
    <w:rsid w:val="6C64E659"/>
    <w:rsid w:val="6C6536EE"/>
    <w:rsid w:val="6C6B2841"/>
    <w:rsid w:val="6C6E76ED"/>
    <w:rsid w:val="6C73559F"/>
    <w:rsid w:val="6C79DEA5"/>
    <w:rsid w:val="6C7E371D"/>
    <w:rsid w:val="6C81FFAA"/>
    <w:rsid w:val="6C835948"/>
    <w:rsid w:val="6C865870"/>
    <w:rsid w:val="6C8BE0FF"/>
    <w:rsid w:val="6C91D115"/>
    <w:rsid w:val="6C9653B2"/>
    <w:rsid w:val="6C972F17"/>
    <w:rsid w:val="6C9BEF5D"/>
    <w:rsid w:val="6C9E212A"/>
    <w:rsid w:val="6CA3F968"/>
    <w:rsid w:val="6CA445D1"/>
    <w:rsid w:val="6CA6A827"/>
    <w:rsid w:val="6CA76957"/>
    <w:rsid w:val="6CB0A2C0"/>
    <w:rsid w:val="6CB35DEF"/>
    <w:rsid w:val="6CB85EFE"/>
    <w:rsid w:val="6CBC2762"/>
    <w:rsid w:val="6CBE8B29"/>
    <w:rsid w:val="6CBFE8DA"/>
    <w:rsid w:val="6CC3BA13"/>
    <w:rsid w:val="6CC420EE"/>
    <w:rsid w:val="6CC63E87"/>
    <w:rsid w:val="6CC83C2B"/>
    <w:rsid w:val="6CCA9680"/>
    <w:rsid w:val="6CD0A2B1"/>
    <w:rsid w:val="6CD2B2E5"/>
    <w:rsid w:val="6CD4184B"/>
    <w:rsid w:val="6CD86A04"/>
    <w:rsid w:val="6CDE2C9B"/>
    <w:rsid w:val="6CDE91C8"/>
    <w:rsid w:val="6CE0E3D4"/>
    <w:rsid w:val="6CE170C9"/>
    <w:rsid w:val="6CE4B2B9"/>
    <w:rsid w:val="6CE4E858"/>
    <w:rsid w:val="6CE561A1"/>
    <w:rsid w:val="6CE8C1C7"/>
    <w:rsid w:val="6CEFF613"/>
    <w:rsid w:val="6CF6D519"/>
    <w:rsid w:val="6D00D0DD"/>
    <w:rsid w:val="6D0D977E"/>
    <w:rsid w:val="6D0E94D2"/>
    <w:rsid w:val="6D17AAEC"/>
    <w:rsid w:val="6D19525F"/>
    <w:rsid w:val="6D1A1EAA"/>
    <w:rsid w:val="6D1B80E3"/>
    <w:rsid w:val="6D2D4B7B"/>
    <w:rsid w:val="6D2EF403"/>
    <w:rsid w:val="6D30DFC8"/>
    <w:rsid w:val="6D32E96E"/>
    <w:rsid w:val="6D3362FB"/>
    <w:rsid w:val="6D3804B9"/>
    <w:rsid w:val="6D3CD9D1"/>
    <w:rsid w:val="6D3DB9F3"/>
    <w:rsid w:val="6D3E8FA4"/>
    <w:rsid w:val="6D415555"/>
    <w:rsid w:val="6D445E11"/>
    <w:rsid w:val="6D46944B"/>
    <w:rsid w:val="6D482DFC"/>
    <w:rsid w:val="6D4A11DB"/>
    <w:rsid w:val="6D4CA012"/>
    <w:rsid w:val="6D54FA94"/>
    <w:rsid w:val="6D57C0DA"/>
    <w:rsid w:val="6D5A11D8"/>
    <w:rsid w:val="6D65923F"/>
    <w:rsid w:val="6D6D7085"/>
    <w:rsid w:val="6D7B7A54"/>
    <w:rsid w:val="6D7CDB32"/>
    <w:rsid w:val="6D8B690C"/>
    <w:rsid w:val="6D8F109F"/>
    <w:rsid w:val="6D91FF42"/>
    <w:rsid w:val="6D938EE2"/>
    <w:rsid w:val="6D9484A3"/>
    <w:rsid w:val="6D96425C"/>
    <w:rsid w:val="6D97315B"/>
    <w:rsid w:val="6DA51F6B"/>
    <w:rsid w:val="6DA674F4"/>
    <w:rsid w:val="6DA89C8C"/>
    <w:rsid w:val="6DA9CCEB"/>
    <w:rsid w:val="6DBB149C"/>
    <w:rsid w:val="6DBD3542"/>
    <w:rsid w:val="6DC2CBF9"/>
    <w:rsid w:val="6DC3C7BF"/>
    <w:rsid w:val="6DC3DEC7"/>
    <w:rsid w:val="6DC6B5BB"/>
    <w:rsid w:val="6DCC960D"/>
    <w:rsid w:val="6DD81746"/>
    <w:rsid w:val="6DEBEB69"/>
    <w:rsid w:val="6DEBEBCF"/>
    <w:rsid w:val="6DEDBDC7"/>
    <w:rsid w:val="6DEF0A2C"/>
    <w:rsid w:val="6DEF4184"/>
    <w:rsid w:val="6DEFD9FB"/>
    <w:rsid w:val="6DF12015"/>
    <w:rsid w:val="6DFBBF0E"/>
    <w:rsid w:val="6DFFDB57"/>
    <w:rsid w:val="6DFFFDE7"/>
    <w:rsid w:val="6E0715AB"/>
    <w:rsid w:val="6E0A29E2"/>
    <w:rsid w:val="6E0C1564"/>
    <w:rsid w:val="6E10EDA1"/>
    <w:rsid w:val="6E11208B"/>
    <w:rsid w:val="6E12F267"/>
    <w:rsid w:val="6E15C9EF"/>
    <w:rsid w:val="6E18C6FE"/>
    <w:rsid w:val="6E1B93DA"/>
    <w:rsid w:val="6E1BEDA5"/>
    <w:rsid w:val="6E1FAFA3"/>
    <w:rsid w:val="6E1FF9EB"/>
    <w:rsid w:val="6E2009C5"/>
    <w:rsid w:val="6E24A2BB"/>
    <w:rsid w:val="6E258B07"/>
    <w:rsid w:val="6E261778"/>
    <w:rsid w:val="6E284287"/>
    <w:rsid w:val="6E2A08EF"/>
    <w:rsid w:val="6E2C5EB3"/>
    <w:rsid w:val="6E30AB3E"/>
    <w:rsid w:val="6E31A4DA"/>
    <w:rsid w:val="6E33BD23"/>
    <w:rsid w:val="6E352086"/>
    <w:rsid w:val="6E42A383"/>
    <w:rsid w:val="6E47069E"/>
    <w:rsid w:val="6E5923EB"/>
    <w:rsid w:val="6E5D212B"/>
    <w:rsid w:val="6E66C7E6"/>
    <w:rsid w:val="6E6941E0"/>
    <w:rsid w:val="6E6CAA0E"/>
    <w:rsid w:val="6E6D32CC"/>
    <w:rsid w:val="6E6F649C"/>
    <w:rsid w:val="6E6FEA76"/>
    <w:rsid w:val="6E712AED"/>
    <w:rsid w:val="6E781506"/>
    <w:rsid w:val="6E79E53F"/>
    <w:rsid w:val="6E7A804E"/>
    <w:rsid w:val="6E7CEB4E"/>
    <w:rsid w:val="6E8D0109"/>
    <w:rsid w:val="6E8FAF49"/>
    <w:rsid w:val="6E9017C3"/>
    <w:rsid w:val="6E963536"/>
    <w:rsid w:val="6E966C89"/>
    <w:rsid w:val="6EA553BC"/>
    <w:rsid w:val="6EA9BD1E"/>
    <w:rsid w:val="6EAA1583"/>
    <w:rsid w:val="6EACABF4"/>
    <w:rsid w:val="6EADF782"/>
    <w:rsid w:val="6EB109E1"/>
    <w:rsid w:val="6EB57A4E"/>
    <w:rsid w:val="6EB58DE2"/>
    <w:rsid w:val="6EB5F8F3"/>
    <w:rsid w:val="6EB68DFB"/>
    <w:rsid w:val="6EB87BB1"/>
    <w:rsid w:val="6EBA5800"/>
    <w:rsid w:val="6EBBB134"/>
    <w:rsid w:val="6EC3DD91"/>
    <w:rsid w:val="6EC78C01"/>
    <w:rsid w:val="6EC9F397"/>
    <w:rsid w:val="6ECB7ACB"/>
    <w:rsid w:val="6ECEFB05"/>
    <w:rsid w:val="6ED12CA3"/>
    <w:rsid w:val="6ED7C574"/>
    <w:rsid w:val="6EE7344A"/>
    <w:rsid w:val="6EEE20D4"/>
    <w:rsid w:val="6EEEE3B2"/>
    <w:rsid w:val="6EF13B34"/>
    <w:rsid w:val="6EF78025"/>
    <w:rsid w:val="6EF824EF"/>
    <w:rsid w:val="6EFEE71A"/>
    <w:rsid w:val="6F037293"/>
    <w:rsid w:val="6F06D999"/>
    <w:rsid w:val="6F10BF29"/>
    <w:rsid w:val="6F1395D7"/>
    <w:rsid w:val="6F190813"/>
    <w:rsid w:val="6F1A890D"/>
    <w:rsid w:val="6F1B59C8"/>
    <w:rsid w:val="6F1DE3BB"/>
    <w:rsid w:val="6F1DFADA"/>
    <w:rsid w:val="6F2599E0"/>
    <w:rsid w:val="6F46C63B"/>
    <w:rsid w:val="6F4BF5EB"/>
    <w:rsid w:val="6F4F0458"/>
    <w:rsid w:val="6F537A84"/>
    <w:rsid w:val="6F58DE46"/>
    <w:rsid w:val="6F5AAEB4"/>
    <w:rsid w:val="6F5C8704"/>
    <w:rsid w:val="6F5E3DD6"/>
    <w:rsid w:val="6F602E45"/>
    <w:rsid w:val="6F608C2F"/>
    <w:rsid w:val="6F63EEC4"/>
    <w:rsid w:val="6F6C30E5"/>
    <w:rsid w:val="6F6D8D64"/>
    <w:rsid w:val="6F72D124"/>
    <w:rsid w:val="6F77877B"/>
    <w:rsid w:val="6F783713"/>
    <w:rsid w:val="6F78C507"/>
    <w:rsid w:val="6F79295D"/>
    <w:rsid w:val="6F7AE257"/>
    <w:rsid w:val="6F830540"/>
    <w:rsid w:val="6F83CDBB"/>
    <w:rsid w:val="6F850753"/>
    <w:rsid w:val="6F897CD4"/>
    <w:rsid w:val="6F90C1B3"/>
    <w:rsid w:val="6F979B0E"/>
    <w:rsid w:val="6F9E65E1"/>
    <w:rsid w:val="6FA3E968"/>
    <w:rsid w:val="6FA475EC"/>
    <w:rsid w:val="6FA4A388"/>
    <w:rsid w:val="6FA5FFC5"/>
    <w:rsid w:val="6FAB2608"/>
    <w:rsid w:val="6FAB28A3"/>
    <w:rsid w:val="6FACCACB"/>
    <w:rsid w:val="6FB10E24"/>
    <w:rsid w:val="6FB555D2"/>
    <w:rsid w:val="6FB7B8DF"/>
    <w:rsid w:val="6FB80703"/>
    <w:rsid w:val="6FBE80D5"/>
    <w:rsid w:val="6FC1DC5D"/>
    <w:rsid w:val="6FC37601"/>
    <w:rsid w:val="6FC88559"/>
    <w:rsid w:val="6FC9C6A1"/>
    <w:rsid w:val="6FCFFCBC"/>
    <w:rsid w:val="6FD04215"/>
    <w:rsid w:val="6FD15E1C"/>
    <w:rsid w:val="6FD1FFE9"/>
    <w:rsid w:val="6FD21BB4"/>
    <w:rsid w:val="6FD3BB1A"/>
    <w:rsid w:val="6FD8C770"/>
    <w:rsid w:val="6FDD6069"/>
    <w:rsid w:val="6FDF3383"/>
    <w:rsid w:val="6FE394BE"/>
    <w:rsid w:val="6FE6DBFB"/>
    <w:rsid w:val="6FE7A280"/>
    <w:rsid w:val="6FEF7AD1"/>
    <w:rsid w:val="6FF15E6A"/>
    <w:rsid w:val="6FF2D14D"/>
    <w:rsid w:val="6FFA6CC7"/>
    <w:rsid w:val="6FFBDC65"/>
    <w:rsid w:val="6FFD7B7F"/>
    <w:rsid w:val="70006257"/>
    <w:rsid w:val="7002D280"/>
    <w:rsid w:val="7004025E"/>
    <w:rsid w:val="70067AAD"/>
    <w:rsid w:val="7009A4BC"/>
    <w:rsid w:val="700E63E1"/>
    <w:rsid w:val="700E80D0"/>
    <w:rsid w:val="700E9911"/>
    <w:rsid w:val="7013C7B2"/>
    <w:rsid w:val="70155E65"/>
    <w:rsid w:val="7018A631"/>
    <w:rsid w:val="701B8C58"/>
    <w:rsid w:val="701E00D0"/>
    <w:rsid w:val="7024C9FA"/>
    <w:rsid w:val="7025FC32"/>
    <w:rsid w:val="70298C46"/>
    <w:rsid w:val="702A9335"/>
    <w:rsid w:val="703077F6"/>
    <w:rsid w:val="703B854D"/>
    <w:rsid w:val="703F85B7"/>
    <w:rsid w:val="70463037"/>
    <w:rsid w:val="70528009"/>
    <w:rsid w:val="7062433F"/>
    <w:rsid w:val="7062C503"/>
    <w:rsid w:val="706532B5"/>
    <w:rsid w:val="706584A0"/>
    <w:rsid w:val="7068808A"/>
    <w:rsid w:val="706CF8E4"/>
    <w:rsid w:val="706E403B"/>
    <w:rsid w:val="706F0A22"/>
    <w:rsid w:val="7073D33B"/>
    <w:rsid w:val="70755E1F"/>
    <w:rsid w:val="70767B5F"/>
    <w:rsid w:val="707A7920"/>
    <w:rsid w:val="707C2EFA"/>
    <w:rsid w:val="7096FB4A"/>
    <w:rsid w:val="70999F2A"/>
    <w:rsid w:val="709DAE50"/>
    <w:rsid w:val="70A0C7A4"/>
    <w:rsid w:val="70A11B63"/>
    <w:rsid w:val="70A45609"/>
    <w:rsid w:val="70AC07DB"/>
    <w:rsid w:val="70AF840E"/>
    <w:rsid w:val="70B06FDD"/>
    <w:rsid w:val="70B43D2F"/>
    <w:rsid w:val="70BA33BB"/>
    <w:rsid w:val="70BA7EE6"/>
    <w:rsid w:val="70C6D2E5"/>
    <w:rsid w:val="70C841E8"/>
    <w:rsid w:val="70CC90F6"/>
    <w:rsid w:val="70D819AA"/>
    <w:rsid w:val="70DE2385"/>
    <w:rsid w:val="70E53CAD"/>
    <w:rsid w:val="70E89A6F"/>
    <w:rsid w:val="70EB5758"/>
    <w:rsid w:val="70EDDB2D"/>
    <w:rsid w:val="70F1A7CA"/>
    <w:rsid w:val="70F349A0"/>
    <w:rsid w:val="70F43AEC"/>
    <w:rsid w:val="70F98D05"/>
    <w:rsid w:val="70FBE435"/>
    <w:rsid w:val="70FF6EDD"/>
    <w:rsid w:val="710A594C"/>
    <w:rsid w:val="710B4D2A"/>
    <w:rsid w:val="710E7253"/>
    <w:rsid w:val="710F0353"/>
    <w:rsid w:val="71161013"/>
    <w:rsid w:val="7116BAC3"/>
    <w:rsid w:val="711BAD39"/>
    <w:rsid w:val="711DFF23"/>
    <w:rsid w:val="711F2509"/>
    <w:rsid w:val="71248CDF"/>
    <w:rsid w:val="7128E657"/>
    <w:rsid w:val="7129798F"/>
    <w:rsid w:val="7131F6B7"/>
    <w:rsid w:val="71390E78"/>
    <w:rsid w:val="713F08A6"/>
    <w:rsid w:val="71403FD9"/>
    <w:rsid w:val="71445204"/>
    <w:rsid w:val="7144914A"/>
    <w:rsid w:val="71454713"/>
    <w:rsid w:val="71454768"/>
    <w:rsid w:val="71454F8E"/>
    <w:rsid w:val="7147B76A"/>
    <w:rsid w:val="7147F465"/>
    <w:rsid w:val="714877F5"/>
    <w:rsid w:val="7149F5EB"/>
    <w:rsid w:val="714C8B0E"/>
    <w:rsid w:val="714D6249"/>
    <w:rsid w:val="714EC4AB"/>
    <w:rsid w:val="714F8C64"/>
    <w:rsid w:val="71501F63"/>
    <w:rsid w:val="71540AD2"/>
    <w:rsid w:val="71581BB4"/>
    <w:rsid w:val="715F22C8"/>
    <w:rsid w:val="715FBE91"/>
    <w:rsid w:val="71617D5B"/>
    <w:rsid w:val="7161A57A"/>
    <w:rsid w:val="716204B6"/>
    <w:rsid w:val="71645A72"/>
    <w:rsid w:val="716B0F54"/>
    <w:rsid w:val="716E2BD5"/>
    <w:rsid w:val="716F7F7F"/>
    <w:rsid w:val="7172C293"/>
    <w:rsid w:val="7175B27C"/>
    <w:rsid w:val="7175ED32"/>
    <w:rsid w:val="7183992C"/>
    <w:rsid w:val="71872AFE"/>
    <w:rsid w:val="718AD5CF"/>
    <w:rsid w:val="718D706D"/>
    <w:rsid w:val="718E4F1E"/>
    <w:rsid w:val="718E5B48"/>
    <w:rsid w:val="7194C2BE"/>
    <w:rsid w:val="7194D44F"/>
    <w:rsid w:val="7195125F"/>
    <w:rsid w:val="7195B61A"/>
    <w:rsid w:val="719BE866"/>
    <w:rsid w:val="71A4C13F"/>
    <w:rsid w:val="71A613C0"/>
    <w:rsid w:val="71A768CE"/>
    <w:rsid w:val="71A79CBF"/>
    <w:rsid w:val="71AAB665"/>
    <w:rsid w:val="71AE348E"/>
    <w:rsid w:val="71B14831"/>
    <w:rsid w:val="71B2E29A"/>
    <w:rsid w:val="71B3A898"/>
    <w:rsid w:val="71B58EDC"/>
    <w:rsid w:val="71B97F07"/>
    <w:rsid w:val="71BC3B82"/>
    <w:rsid w:val="71BD2BF8"/>
    <w:rsid w:val="71C35B8F"/>
    <w:rsid w:val="71C5EF63"/>
    <w:rsid w:val="71C9DD54"/>
    <w:rsid w:val="71D51FAB"/>
    <w:rsid w:val="71D58779"/>
    <w:rsid w:val="71DDCE28"/>
    <w:rsid w:val="71DE16DC"/>
    <w:rsid w:val="71DE3A8A"/>
    <w:rsid w:val="71E4F433"/>
    <w:rsid w:val="71EF52B2"/>
    <w:rsid w:val="71F0EA0A"/>
    <w:rsid w:val="71F8A7BC"/>
    <w:rsid w:val="71F93C52"/>
    <w:rsid w:val="71FCD93B"/>
    <w:rsid w:val="7200C503"/>
    <w:rsid w:val="7209CAA9"/>
    <w:rsid w:val="720A7E46"/>
    <w:rsid w:val="720BFA0E"/>
    <w:rsid w:val="720CBBE4"/>
    <w:rsid w:val="72179500"/>
    <w:rsid w:val="7217BE4D"/>
    <w:rsid w:val="721F857D"/>
    <w:rsid w:val="7220A1CA"/>
    <w:rsid w:val="7220FFAE"/>
    <w:rsid w:val="7224113A"/>
    <w:rsid w:val="7226F141"/>
    <w:rsid w:val="7228EDA5"/>
    <w:rsid w:val="723137CB"/>
    <w:rsid w:val="723448EB"/>
    <w:rsid w:val="7236FD9D"/>
    <w:rsid w:val="723865DA"/>
    <w:rsid w:val="72398F3C"/>
    <w:rsid w:val="723A2F8E"/>
    <w:rsid w:val="723AC51D"/>
    <w:rsid w:val="723B9029"/>
    <w:rsid w:val="72452DEC"/>
    <w:rsid w:val="724DD5EF"/>
    <w:rsid w:val="72535251"/>
    <w:rsid w:val="7255DD7F"/>
    <w:rsid w:val="72596351"/>
    <w:rsid w:val="7265CC11"/>
    <w:rsid w:val="72664407"/>
    <w:rsid w:val="7268F350"/>
    <w:rsid w:val="727E1206"/>
    <w:rsid w:val="727F2E49"/>
    <w:rsid w:val="7281754E"/>
    <w:rsid w:val="72867223"/>
    <w:rsid w:val="7287057A"/>
    <w:rsid w:val="72876053"/>
    <w:rsid w:val="72904858"/>
    <w:rsid w:val="7292866F"/>
    <w:rsid w:val="7292D01C"/>
    <w:rsid w:val="7295A1B3"/>
    <w:rsid w:val="72967377"/>
    <w:rsid w:val="7296EB9C"/>
    <w:rsid w:val="729BDCAC"/>
    <w:rsid w:val="72A193FB"/>
    <w:rsid w:val="72A3C88B"/>
    <w:rsid w:val="72A6D370"/>
    <w:rsid w:val="72A78C49"/>
    <w:rsid w:val="72A8F921"/>
    <w:rsid w:val="72B3B8EA"/>
    <w:rsid w:val="72B7B1CE"/>
    <w:rsid w:val="72B7BDD9"/>
    <w:rsid w:val="72CC99E2"/>
    <w:rsid w:val="72D21A2A"/>
    <w:rsid w:val="72D35BE7"/>
    <w:rsid w:val="72D43770"/>
    <w:rsid w:val="72D44102"/>
    <w:rsid w:val="72D874AE"/>
    <w:rsid w:val="72DA171D"/>
    <w:rsid w:val="72E1C0F3"/>
    <w:rsid w:val="72E30F11"/>
    <w:rsid w:val="72E376B5"/>
    <w:rsid w:val="73011B49"/>
    <w:rsid w:val="730758BC"/>
    <w:rsid w:val="730AB9AB"/>
    <w:rsid w:val="730F62FD"/>
    <w:rsid w:val="7311A9A2"/>
    <w:rsid w:val="7313545F"/>
    <w:rsid w:val="7319026D"/>
    <w:rsid w:val="731CB784"/>
    <w:rsid w:val="731FA303"/>
    <w:rsid w:val="73224C94"/>
    <w:rsid w:val="73268E89"/>
    <w:rsid w:val="7338244A"/>
    <w:rsid w:val="733A143C"/>
    <w:rsid w:val="733BD08D"/>
    <w:rsid w:val="733F9A43"/>
    <w:rsid w:val="733FD572"/>
    <w:rsid w:val="73400889"/>
    <w:rsid w:val="734071EF"/>
    <w:rsid w:val="7344CE79"/>
    <w:rsid w:val="73486EAC"/>
    <w:rsid w:val="734A7396"/>
    <w:rsid w:val="7352390A"/>
    <w:rsid w:val="7358DF14"/>
    <w:rsid w:val="735916C3"/>
    <w:rsid w:val="735F824A"/>
    <w:rsid w:val="7360DEE3"/>
    <w:rsid w:val="736417F5"/>
    <w:rsid w:val="73668072"/>
    <w:rsid w:val="7366994E"/>
    <w:rsid w:val="736BB34D"/>
    <w:rsid w:val="736D44AD"/>
    <w:rsid w:val="736E82AE"/>
    <w:rsid w:val="737072A0"/>
    <w:rsid w:val="7372355C"/>
    <w:rsid w:val="7373D852"/>
    <w:rsid w:val="7375DC69"/>
    <w:rsid w:val="73783C08"/>
    <w:rsid w:val="7378E23A"/>
    <w:rsid w:val="73828981"/>
    <w:rsid w:val="738DC2EE"/>
    <w:rsid w:val="7393988B"/>
    <w:rsid w:val="73A72BCD"/>
    <w:rsid w:val="73A9850B"/>
    <w:rsid w:val="73ADC4FE"/>
    <w:rsid w:val="73B204C7"/>
    <w:rsid w:val="73BA7665"/>
    <w:rsid w:val="73C58F27"/>
    <w:rsid w:val="73DC9002"/>
    <w:rsid w:val="73DCB3F2"/>
    <w:rsid w:val="73DFCCD5"/>
    <w:rsid w:val="73E7BE07"/>
    <w:rsid w:val="73EE0217"/>
    <w:rsid w:val="73F50927"/>
    <w:rsid w:val="73F55AC7"/>
    <w:rsid w:val="73F569E3"/>
    <w:rsid w:val="73F89A2A"/>
    <w:rsid w:val="73FA5516"/>
    <w:rsid w:val="73FAD40F"/>
    <w:rsid w:val="73FB5EFC"/>
    <w:rsid w:val="740345A3"/>
    <w:rsid w:val="74060848"/>
    <w:rsid w:val="74076785"/>
    <w:rsid w:val="7416BF9A"/>
    <w:rsid w:val="7417CFE8"/>
    <w:rsid w:val="741E8AD4"/>
    <w:rsid w:val="74230E36"/>
    <w:rsid w:val="7423C6BF"/>
    <w:rsid w:val="7431D77C"/>
    <w:rsid w:val="743208CF"/>
    <w:rsid w:val="74370E16"/>
    <w:rsid w:val="743733F4"/>
    <w:rsid w:val="7439C796"/>
    <w:rsid w:val="743C1DC7"/>
    <w:rsid w:val="743F0000"/>
    <w:rsid w:val="7442FB06"/>
    <w:rsid w:val="7443ED91"/>
    <w:rsid w:val="744CF24B"/>
    <w:rsid w:val="74515B74"/>
    <w:rsid w:val="745CD218"/>
    <w:rsid w:val="745CF890"/>
    <w:rsid w:val="747418E1"/>
    <w:rsid w:val="74754DE4"/>
    <w:rsid w:val="74795364"/>
    <w:rsid w:val="747969CC"/>
    <w:rsid w:val="747AD2A9"/>
    <w:rsid w:val="747C2397"/>
    <w:rsid w:val="747D8F95"/>
    <w:rsid w:val="7481D849"/>
    <w:rsid w:val="748A715B"/>
    <w:rsid w:val="748D266B"/>
    <w:rsid w:val="748E57EC"/>
    <w:rsid w:val="748EAEEB"/>
    <w:rsid w:val="74938391"/>
    <w:rsid w:val="74949F85"/>
    <w:rsid w:val="749A9F39"/>
    <w:rsid w:val="749BABD1"/>
    <w:rsid w:val="749CFEE0"/>
    <w:rsid w:val="749EA2BB"/>
    <w:rsid w:val="74A33037"/>
    <w:rsid w:val="74AD6149"/>
    <w:rsid w:val="74BE9728"/>
    <w:rsid w:val="74BEB76A"/>
    <w:rsid w:val="74C307EC"/>
    <w:rsid w:val="74C3B6AE"/>
    <w:rsid w:val="74C61B8E"/>
    <w:rsid w:val="74CC7EAA"/>
    <w:rsid w:val="74CD4E8C"/>
    <w:rsid w:val="74D7C517"/>
    <w:rsid w:val="74DF6C49"/>
    <w:rsid w:val="74E1D504"/>
    <w:rsid w:val="74E711CA"/>
    <w:rsid w:val="74EE4234"/>
    <w:rsid w:val="74F39FC9"/>
    <w:rsid w:val="74FE87AA"/>
    <w:rsid w:val="74FE8A63"/>
    <w:rsid w:val="74FE907A"/>
    <w:rsid w:val="75007D65"/>
    <w:rsid w:val="750423F3"/>
    <w:rsid w:val="7506E8F0"/>
    <w:rsid w:val="750C155A"/>
    <w:rsid w:val="750C4944"/>
    <w:rsid w:val="750DE007"/>
    <w:rsid w:val="750DF7AD"/>
    <w:rsid w:val="751A1C63"/>
    <w:rsid w:val="752E1BD1"/>
    <w:rsid w:val="752E3856"/>
    <w:rsid w:val="752F8398"/>
    <w:rsid w:val="752FCFD3"/>
    <w:rsid w:val="753B6441"/>
    <w:rsid w:val="75410079"/>
    <w:rsid w:val="754908AE"/>
    <w:rsid w:val="754B958C"/>
    <w:rsid w:val="754C499B"/>
    <w:rsid w:val="754F7AB1"/>
    <w:rsid w:val="7553A915"/>
    <w:rsid w:val="7554C6DB"/>
    <w:rsid w:val="755A5511"/>
    <w:rsid w:val="756C2912"/>
    <w:rsid w:val="75701BCB"/>
    <w:rsid w:val="7579841C"/>
    <w:rsid w:val="757AA2CB"/>
    <w:rsid w:val="757B0860"/>
    <w:rsid w:val="7588DBE5"/>
    <w:rsid w:val="758A6BC5"/>
    <w:rsid w:val="758A872D"/>
    <w:rsid w:val="7592779E"/>
    <w:rsid w:val="75950E95"/>
    <w:rsid w:val="7595B8A7"/>
    <w:rsid w:val="7596E459"/>
    <w:rsid w:val="759CEB7B"/>
    <w:rsid w:val="75A9D210"/>
    <w:rsid w:val="75AD2B3F"/>
    <w:rsid w:val="75B90A4D"/>
    <w:rsid w:val="75B9269A"/>
    <w:rsid w:val="75BA0E55"/>
    <w:rsid w:val="75BB4DCF"/>
    <w:rsid w:val="75C0A611"/>
    <w:rsid w:val="75CC47E9"/>
    <w:rsid w:val="75CEAD8D"/>
    <w:rsid w:val="75D290A3"/>
    <w:rsid w:val="75D29DE6"/>
    <w:rsid w:val="75D6166D"/>
    <w:rsid w:val="75DAF178"/>
    <w:rsid w:val="75DBFB42"/>
    <w:rsid w:val="75DD10F4"/>
    <w:rsid w:val="75DD3865"/>
    <w:rsid w:val="75DD721D"/>
    <w:rsid w:val="75DDDE4B"/>
    <w:rsid w:val="75DF08C2"/>
    <w:rsid w:val="75E90E24"/>
    <w:rsid w:val="75E9F7F4"/>
    <w:rsid w:val="75EB38F2"/>
    <w:rsid w:val="75F55BD0"/>
    <w:rsid w:val="75F7CE88"/>
    <w:rsid w:val="75F87718"/>
    <w:rsid w:val="75FB495C"/>
    <w:rsid w:val="76005CE2"/>
    <w:rsid w:val="76027B9C"/>
    <w:rsid w:val="760302C8"/>
    <w:rsid w:val="760859B6"/>
    <w:rsid w:val="760DB2FA"/>
    <w:rsid w:val="760E85D4"/>
    <w:rsid w:val="760ED7AF"/>
    <w:rsid w:val="761A1205"/>
    <w:rsid w:val="761E2F37"/>
    <w:rsid w:val="7626D959"/>
    <w:rsid w:val="762C4B07"/>
    <w:rsid w:val="763CAF31"/>
    <w:rsid w:val="76440734"/>
    <w:rsid w:val="764538C8"/>
    <w:rsid w:val="764740B7"/>
    <w:rsid w:val="764846BE"/>
    <w:rsid w:val="764C3D73"/>
    <w:rsid w:val="764D7A4A"/>
    <w:rsid w:val="764DDFBA"/>
    <w:rsid w:val="765B781B"/>
    <w:rsid w:val="765EC0E5"/>
    <w:rsid w:val="76606911"/>
    <w:rsid w:val="76617BAD"/>
    <w:rsid w:val="7664A9E3"/>
    <w:rsid w:val="76680886"/>
    <w:rsid w:val="766DF34A"/>
    <w:rsid w:val="766E7284"/>
    <w:rsid w:val="766F52D7"/>
    <w:rsid w:val="7673C6FB"/>
    <w:rsid w:val="7676EA95"/>
    <w:rsid w:val="7679E534"/>
    <w:rsid w:val="7682D837"/>
    <w:rsid w:val="76885D4D"/>
    <w:rsid w:val="768C3D33"/>
    <w:rsid w:val="768E4242"/>
    <w:rsid w:val="768FC90A"/>
    <w:rsid w:val="7697FE16"/>
    <w:rsid w:val="76999017"/>
    <w:rsid w:val="76999F41"/>
    <w:rsid w:val="769E05C9"/>
    <w:rsid w:val="76A56CFB"/>
    <w:rsid w:val="76A8D390"/>
    <w:rsid w:val="76A97797"/>
    <w:rsid w:val="76B67BD4"/>
    <w:rsid w:val="76B87DA2"/>
    <w:rsid w:val="76B96374"/>
    <w:rsid w:val="76BDA722"/>
    <w:rsid w:val="76C37BFA"/>
    <w:rsid w:val="76C821E5"/>
    <w:rsid w:val="76C92A34"/>
    <w:rsid w:val="76D2F121"/>
    <w:rsid w:val="76D30743"/>
    <w:rsid w:val="76D3FA20"/>
    <w:rsid w:val="76D65F14"/>
    <w:rsid w:val="76DFCAD6"/>
    <w:rsid w:val="76E307AF"/>
    <w:rsid w:val="76E359DB"/>
    <w:rsid w:val="76EC3C12"/>
    <w:rsid w:val="76F14A10"/>
    <w:rsid w:val="76F1B688"/>
    <w:rsid w:val="76F24BE1"/>
    <w:rsid w:val="76F5A0AC"/>
    <w:rsid w:val="76F62F14"/>
    <w:rsid w:val="76FC1554"/>
    <w:rsid w:val="7704272F"/>
    <w:rsid w:val="7707663A"/>
    <w:rsid w:val="770C421E"/>
    <w:rsid w:val="770D8080"/>
    <w:rsid w:val="770F150F"/>
    <w:rsid w:val="7710834A"/>
    <w:rsid w:val="77116914"/>
    <w:rsid w:val="77148818"/>
    <w:rsid w:val="7715B0B8"/>
    <w:rsid w:val="7718D6CC"/>
    <w:rsid w:val="771E1D03"/>
    <w:rsid w:val="7721FEFE"/>
    <w:rsid w:val="7722F3EB"/>
    <w:rsid w:val="77236252"/>
    <w:rsid w:val="7726427E"/>
    <w:rsid w:val="772751FD"/>
    <w:rsid w:val="77282694"/>
    <w:rsid w:val="772CCD93"/>
    <w:rsid w:val="772E2CC1"/>
    <w:rsid w:val="7735DF26"/>
    <w:rsid w:val="77380E6B"/>
    <w:rsid w:val="773B42F0"/>
    <w:rsid w:val="773DA44E"/>
    <w:rsid w:val="773E1E5B"/>
    <w:rsid w:val="7743666A"/>
    <w:rsid w:val="774D14C5"/>
    <w:rsid w:val="774E2DCF"/>
    <w:rsid w:val="775A3B36"/>
    <w:rsid w:val="775B9E14"/>
    <w:rsid w:val="77642B86"/>
    <w:rsid w:val="776503B3"/>
    <w:rsid w:val="776F8910"/>
    <w:rsid w:val="776FF4E0"/>
    <w:rsid w:val="77747B2D"/>
    <w:rsid w:val="77756A6F"/>
    <w:rsid w:val="777AABAB"/>
    <w:rsid w:val="7780539B"/>
    <w:rsid w:val="7782CFCE"/>
    <w:rsid w:val="77843150"/>
    <w:rsid w:val="77851C4A"/>
    <w:rsid w:val="778D231B"/>
    <w:rsid w:val="7794C178"/>
    <w:rsid w:val="779B98FC"/>
    <w:rsid w:val="779CD281"/>
    <w:rsid w:val="77A4B600"/>
    <w:rsid w:val="77AA45AF"/>
    <w:rsid w:val="77AA9B5D"/>
    <w:rsid w:val="77AA9C68"/>
    <w:rsid w:val="77B7A972"/>
    <w:rsid w:val="77BCEFBD"/>
    <w:rsid w:val="77C1121B"/>
    <w:rsid w:val="77C63979"/>
    <w:rsid w:val="77CAE2BA"/>
    <w:rsid w:val="77CF510E"/>
    <w:rsid w:val="77CF6B0F"/>
    <w:rsid w:val="77D0633D"/>
    <w:rsid w:val="77D19CA6"/>
    <w:rsid w:val="77D2840E"/>
    <w:rsid w:val="77D61A36"/>
    <w:rsid w:val="77D77243"/>
    <w:rsid w:val="77DE0B4E"/>
    <w:rsid w:val="77E3731B"/>
    <w:rsid w:val="77E3FE18"/>
    <w:rsid w:val="77E8437A"/>
    <w:rsid w:val="77EDF137"/>
    <w:rsid w:val="77F51B48"/>
    <w:rsid w:val="77FF6F79"/>
    <w:rsid w:val="77FFBFC2"/>
    <w:rsid w:val="7802D9CB"/>
    <w:rsid w:val="780464C7"/>
    <w:rsid w:val="780492E1"/>
    <w:rsid w:val="78055D8C"/>
    <w:rsid w:val="7807ACFD"/>
    <w:rsid w:val="7807D2CC"/>
    <w:rsid w:val="780E8C16"/>
    <w:rsid w:val="780FF66D"/>
    <w:rsid w:val="7811C3B2"/>
    <w:rsid w:val="7816509F"/>
    <w:rsid w:val="781939E3"/>
    <w:rsid w:val="781975C6"/>
    <w:rsid w:val="781D5AD0"/>
    <w:rsid w:val="7824F265"/>
    <w:rsid w:val="78279AFA"/>
    <w:rsid w:val="7830EA60"/>
    <w:rsid w:val="78337FF2"/>
    <w:rsid w:val="783D1593"/>
    <w:rsid w:val="7844E33A"/>
    <w:rsid w:val="7844E3CB"/>
    <w:rsid w:val="784520BE"/>
    <w:rsid w:val="7845969A"/>
    <w:rsid w:val="78477ACF"/>
    <w:rsid w:val="78529C48"/>
    <w:rsid w:val="785EA5ED"/>
    <w:rsid w:val="7860FD24"/>
    <w:rsid w:val="78671B5C"/>
    <w:rsid w:val="786E51FD"/>
    <w:rsid w:val="78711FE4"/>
    <w:rsid w:val="78718473"/>
    <w:rsid w:val="7872A3F2"/>
    <w:rsid w:val="7875E3AD"/>
    <w:rsid w:val="787C4C66"/>
    <w:rsid w:val="787CCE9C"/>
    <w:rsid w:val="787E0068"/>
    <w:rsid w:val="78826E39"/>
    <w:rsid w:val="7882A293"/>
    <w:rsid w:val="788828D2"/>
    <w:rsid w:val="7888E62E"/>
    <w:rsid w:val="788B6E29"/>
    <w:rsid w:val="788B97DB"/>
    <w:rsid w:val="789169B4"/>
    <w:rsid w:val="789225B5"/>
    <w:rsid w:val="78955835"/>
    <w:rsid w:val="7898D770"/>
    <w:rsid w:val="789BF999"/>
    <w:rsid w:val="789CB9B0"/>
    <w:rsid w:val="789D9960"/>
    <w:rsid w:val="789DF508"/>
    <w:rsid w:val="789FDDBA"/>
    <w:rsid w:val="78A5D4A5"/>
    <w:rsid w:val="78AC5F4E"/>
    <w:rsid w:val="78AF37E7"/>
    <w:rsid w:val="78B09638"/>
    <w:rsid w:val="78B2820D"/>
    <w:rsid w:val="78B37864"/>
    <w:rsid w:val="78B37E2C"/>
    <w:rsid w:val="78B4C235"/>
    <w:rsid w:val="78B66927"/>
    <w:rsid w:val="78B69FEE"/>
    <w:rsid w:val="78BB12F3"/>
    <w:rsid w:val="78BB4FEF"/>
    <w:rsid w:val="78BCF2A2"/>
    <w:rsid w:val="78BEF840"/>
    <w:rsid w:val="78BF9056"/>
    <w:rsid w:val="78C05F7B"/>
    <w:rsid w:val="78C293C6"/>
    <w:rsid w:val="78C96351"/>
    <w:rsid w:val="78D5201C"/>
    <w:rsid w:val="78D8F14F"/>
    <w:rsid w:val="78DB36C2"/>
    <w:rsid w:val="78DE403C"/>
    <w:rsid w:val="78E30912"/>
    <w:rsid w:val="78E85259"/>
    <w:rsid w:val="78E86DCB"/>
    <w:rsid w:val="78EAAA25"/>
    <w:rsid w:val="78ECA9BE"/>
    <w:rsid w:val="78ED02C1"/>
    <w:rsid w:val="78EFBA48"/>
    <w:rsid w:val="78F54A74"/>
    <w:rsid w:val="78FEBE66"/>
    <w:rsid w:val="7901D86D"/>
    <w:rsid w:val="79043875"/>
    <w:rsid w:val="7907A978"/>
    <w:rsid w:val="790D8367"/>
    <w:rsid w:val="791263FD"/>
    <w:rsid w:val="7919E74D"/>
    <w:rsid w:val="791D1D9F"/>
    <w:rsid w:val="791F2E20"/>
    <w:rsid w:val="7923D758"/>
    <w:rsid w:val="79262941"/>
    <w:rsid w:val="7928B4E6"/>
    <w:rsid w:val="792B1EF8"/>
    <w:rsid w:val="792D8004"/>
    <w:rsid w:val="792FBCF6"/>
    <w:rsid w:val="7933620F"/>
    <w:rsid w:val="7936C172"/>
    <w:rsid w:val="7937E7C3"/>
    <w:rsid w:val="793966A5"/>
    <w:rsid w:val="793B26B2"/>
    <w:rsid w:val="79482CB5"/>
    <w:rsid w:val="7949CC0C"/>
    <w:rsid w:val="794A537A"/>
    <w:rsid w:val="794EB77B"/>
    <w:rsid w:val="794FA1F3"/>
    <w:rsid w:val="7954A166"/>
    <w:rsid w:val="79569C45"/>
    <w:rsid w:val="79622B21"/>
    <w:rsid w:val="7966FB1B"/>
    <w:rsid w:val="796EBBE4"/>
    <w:rsid w:val="796FCF10"/>
    <w:rsid w:val="797483C7"/>
    <w:rsid w:val="7974C6DE"/>
    <w:rsid w:val="798A84C4"/>
    <w:rsid w:val="798FBE5C"/>
    <w:rsid w:val="79924045"/>
    <w:rsid w:val="79983BAC"/>
    <w:rsid w:val="799BB014"/>
    <w:rsid w:val="79A5AD88"/>
    <w:rsid w:val="79A910A4"/>
    <w:rsid w:val="79B0E66D"/>
    <w:rsid w:val="79B0F3CF"/>
    <w:rsid w:val="79B701DE"/>
    <w:rsid w:val="79B78423"/>
    <w:rsid w:val="79C47268"/>
    <w:rsid w:val="79CB2475"/>
    <w:rsid w:val="79CC8BB3"/>
    <w:rsid w:val="79CD3B2D"/>
    <w:rsid w:val="79DB5D4C"/>
    <w:rsid w:val="79ECB103"/>
    <w:rsid w:val="79F21629"/>
    <w:rsid w:val="79F5916E"/>
    <w:rsid w:val="79F91C7E"/>
    <w:rsid w:val="79FDC9B4"/>
    <w:rsid w:val="79FDFA94"/>
    <w:rsid w:val="79FF3B0E"/>
    <w:rsid w:val="7A04AFFD"/>
    <w:rsid w:val="7A09EDE1"/>
    <w:rsid w:val="7A0B7E7E"/>
    <w:rsid w:val="7A0EDAC2"/>
    <w:rsid w:val="7A1C32DC"/>
    <w:rsid w:val="7A1C3CC6"/>
    <w:rsid w:val="7A1F7FC0"/>
    <w:rsid w:val="7A204730"/>
    <w:rsid w:val="7A210482"/>
    <w:rsid w:val="7A234A5F"/>
    <w:rsid w:val="7A24ACFB"/>
    <w:rsid w:val="7A2846DD"/>
    <w:rsid w:val="7A347CF7"/>
    <w:rsid w:val="7A351571"/>
    <w:rsid w:val="7A3FD3B0"/>
    <w:rsid w:val="7A3FDDDF"/>
    <w:rsid w:val="7A5207B5"/>
    <w:rsid w:val="7A576DA6"/>
    <w:rsid w:val="7A5DE968"/>
    <w:rsid w:val="7A61E16C"/>
    <w:rsid w:val="7A63FA52"/>
    <w:rsid w:val="7A69007A"/>
    <w:rsid w:val="7A6A8741"/>
    <w:rsid w:val="7A78DDFE"/>
    <w:rsid w:val="7A7A6676"/>
    <w:rsid w:val="7A7AAAA0"/>
    <w:rsid w:val="7A7BD923"/>
    <w:rsid w:val="7A843265"/>
    <w:rsid w:val="7A84505A"/>
    <w:rsid w:val="7A84901E"/>
    <w:rsid w:val="7A8655C4"/>
    <w:rsid w:val="7A8DDAA3"/>
    <w:rsid w:val="7A8DFB56"/>
    <w:rsid w:val="7A8EE53D"/>
    <w:rsid w:val="7A98BE5C"/>
    <w:rsid w:val="7AA98DAB"/>
    <w:rsid w:val="7AAB307B"/>
    <w:rsid w:val="7AB27C42"/>
    <w:rsid w:val="7AB5C5C7"/>
    <w:rsid w:val="7AB9A8F1"/>
    <w:rsid w:val="7ABC0A13"/>
    <w:rsid w:val="7ABE7930"/>
    <w:rsid w:val="7ABF7581"/>
    <w:rsid w:val="7AC6564A"/>
    <w:rsid w:val="7AC9441F"/>
    <w:rsid w:val="7ACA7350"/>
    <w:rsid w:val="7ACC1E23"/>
    <w:rsid w:val="7ACDC598"/>
    <w:rsid w:val="7ACF0E31"/>
    <w:rsid w:val="7ACF3CC9"/>
    <w:rsid w:val="7AD0DBF6"/>
    <w:rsid w:val="7AE926B1"/>
    <w:rsid w:val="7AEB1C00"/>
    <w:rsid w:val="7AEB6F19"/>
    <w:rsid w:val="7AEF01F0"/>
    <w:rsid w:val="7AF455A9"/>
    <w:rsid w:val="7AF56864"/>
    <w:rsid w:val="7AFBBAC5"/>
    <w:rsid w:val="7AFDE8F2"/>
    <w:rsid w:val="7AFFE041"/>
    <w:rsid w:val="7B017DE4"/>
    <w:rsid w:val="7B04BE2D"/>
    <w:rsid w:val="7B04C5F0"/>
    <w:rsid w:val="7B0877D3"/>
    <w:rsid w:val="7B0AC5AB"/>
    <w:rsid w:val="7B0E6D87"/>
    <w:rsid w:val="7B10ABD9"/>
    <w:rsid w:val="7B117B07"/>
    <w:rsid w:val="7B122B1A"/>
    <w:rsid w:val="7B17C4FC"/>
    <w:rsid w:val="7B1B3BBD"/>
    <w:rsid w:val="7B1C15DD"/>
    <w:rsid w:val="7B1E6F18"/>
    <w:rsid w:val="7B20A89C"/>
    <w:rsid w:val="7B273117"/>
    <w:rsid w:val="7B28117E"/>
    <w:rsid w:val="7B2B45C3"/>
    <w:rsid w:val="7B2CFF96"/>
    <w:rsid w:val="7B2D6498"/>
    <w:rsid w:val="7B2D8EFD"/>
    <w:rsid w:val="7B3BF5F7"/>
    <w:rsid w:val="7B3C311D"/>
    <w:rsid w:val="7B3DA39C"/>
    <w:rsid w:val="7B4312B9"/>
    <w:rsid w:val="7B43918A"/>
    <w:rsid w:val="7B462B59"/>
    <w:rsid w:val="7B46A483"/>
    <w:rsid w:val="7B49D9A2"/>
    <w:rsid w:val="7B4B5F7B"/>
    <w:rsid w:val="7B4C12DE"/>
    <w:rsid w:val="7B571B78"/>
    <w:rsid w:val="7B5D1139"/>
    <w:rsid w:val="7B6070DE"/>
    <w:rsid w:val="7B6C7A64"/>
    <w:rsid w:val="7B76BE06"/>
    <w:rsid w:val="7B76D07B"/>
    <w:rsid w:val="7B7B1FE1"/>
    <w:rsid w:val="7B7C6B27"/>
    <w:rsid w:val="7B87512A"/>
    <w:rsid w:val="7B8DAD9D"/>
    <w:rsid w:val="7B95481E"/>
    <w:rsid w:val="7B9C3AF7"/>
    <w:rsid w:val="7BB543DF"/>
    <w:rsid w:val="7BB9D708"/>
    <w:rsid w:val="7BC97BAA"/>
    <w:rsid w:val="7BCCC813"/>
    <w:rsid w:val="7BD4BE17"/>
    <w:rsid w:val="7BD8A8F2"/>
    <w:rsid w:val="7BEA844F"/>
    <w:rsid w:val="7BF1271C"/>
    <w:rsid w:val="7BFEA392"/>
    <w:rsid w:val="7C0CAC23"/>
    <w:rsid w:val="7C1044B6"/>
    <w:rsid w:val="7C10F3C7"/>
    <w:rsid w:val="7C11BAA3"/>
    <w:rsid w:val="7C132B00"/>
    <w:rsid w:val="7C13C2E8"/>
    <w:rsid w:val="7C15764C"/>
    <w:rsid w:val="7C1BC0B2"/>
    <w:rsid w:val="7C20607F"/>
    <w:rsid w:val="7C253B57"/>
    <w:rsid w:val="7C2F34F9"/>
    <w:rsid w:val="7C3147CA"/>
    <w:rsid w:val="7C318BD2"/>
    <w:rsid w:val="7C33854A"/>
    <w:rsid w:val="7C417A93"/>
    <w:rsid w:val="7C4183DC"/>
    <w:rsid w:val="7C4DFFD1"/>
    <w:rsid w:val="7C56C7AD"/>
    <w:rsid w:val="7C5CC018"/>
    <w:rsid w:val="7C65508F"/>
    <w:rsid w:val="7C6BB0B6"/>
    <w:rsid w:val="7C7B148A"/>
    <w:rsid w:val="7C7C4930"/>
    <w:rsid w:val="7C7E2E7B"/>
    <w:rsid w:val="7C889FE3"/>
    <w:rsid w:val="7C8EEAC0"/>
    <w:rsid w:val="7C8FD685"/>
    <w:rsid w:val="7C93AD66"/>
    <w:rsid w:val="7C98E6AE"/>
    <w:rsid w:val="7C9BC412"/>
    <w:rsid w:val="7C9C7B9E"/>
    <w:rsid w:val="7C9E7FB2"/>
    <w:rsid w:val="7CA79D79"/>
    <w:rsid w:val="7CA9E8E2"/>
    <w:rsid w:val="7CAC8AC5"/>
    <w:rsid w:val="7CAD30BC"/>
    <w:rsid w:val="7CB010BE"/>
    <w:rsid w:val="7CB24BAD"/>
    <w:rsid w:val="7CB3A4D2"/>
    <w:rsid w:val="7CB3AC00"/>
    <w:rsid w:val="7CBB62E6"/>
    <w:rsid w:val="7CC0F46A"/>
    <w:rsid w:val="7CCADD24"/>
    <w:rsid w:val="7CD54ECF"/>
    <w:rsid w:val="7CDD4880"/>
    <w:rsid w:val="7CE595D4"/>
    <w:rsid w:val="7CE85E8E"/>
    <w:rsid w:val="7CEBE4BE"/>
    <w:rsid w:val="7CEF7A65"/>
    <w:rsid w:val="7CF2F183"/>
    <w:rsid w:val="7CF47505"/>
    <w:rsid w:val="7CFD5346"/>
    <w:rsid w:val="7D057F1E"/>
    <w:rsid w:val="7D05AA00"/>
    <w:rsid w:val="7D092C5C"/>
    <w:rsid w:val="7D0B2977"/>
    <w:rsid w:val="7D0DA8C2"/>
    <w:rsid w:val="7D0F3937"/>
    <w:rsid w:val="7D128680"/>
    <w:rsid w:val="7D13F11F"/>
    <w:rsid w:val="7D1734AA"/>
    <w:rsid w:val="7D17D285"/>
    <w:rsid w:val="7D2112DF"/>
    <w:rsid w:val="7D214C6B"/>
    <w:rsid w:val="7D2962F1"/>
    <w:rsid w:val="7D2A1B9E"/>
    <w:rsid w:val="7D2BD047"/>
    <w:rsid w:val="7D3432A5"/>
    <w:rsid w:val="7D3D33F9"/>
    <w:rsid w:val="7D41A928"/>
    <w:rsid w:val="7D44E295"/>
    <w:rsid w:val="7D47A030"/>
    <w:rsid w:val="7D48D623"/>
    <w:rsid w:val="7D49C368"/>
    <w:rsid w:val="7D4AE88A"/>
    <w:rsid w:val="7D514EAD"/>
    <w:rsid w:val="7D570A2E"/>
    <w:rsid w:val="7D5A5DC2"/>
    <w:rsid w:val="7D5EB945"/>
    <w:rsid w:val="7D625ED4"/>
    <w:rsid w:val="7D6396A2"/>
    <w:rsid w:val="7D6862D9"/>
    <w:rsid w:val="7D70F708"/>
    <w:rsid w:val="7D752A95"/>
    <w:rsid w:val="7D779029"/>
    <w:rsid w:val="7D7BECE3"/>
    <w:rsid w:val="7D7E10D4"/>
    <w:rsid w:val="7D80F0CE"/>
    <w:rsid w:val="7D84591B"/>
    <w:rsid w:val="7D8620EA"/>
    <w:rsid w:val="7D863AB2"/>
    <w:rsid w:val="7D87FED8"/>
    <w:rsid w:val="7D8A792A"/>
    <w:rsid w:val="7D8AA3BE"/>
    <w:rsid w:val="7D8BB0ED"/>
    <w:rsid w:val="7D8BF2AB"/>
    <w:rsid w:val="7D8E50AC"/>
    <w:rsid w:val="7D911A66"/>
    <w:rsid w:val="7D93CC04"/>
    <w:rsid w:val="7D95C66A"/>
    <w:rsid w:val="7D96B8A2"/>
    <w:rsid w:val="7D9736F5"/>
    <w:rsid w:val="7D973912"/>
    <w:rsid w:val="7D98BAB2"/>
    <w:rsid w:val="7D991D20"/>
    <w:rsid w:val="7D9A162F"/>
    <w:rsid w:val="7D9BC597"/>
    <w:rsid w:val="7DA1C17B"/>
    <w:rsid w:val="7DA661C0"/>
    <w:rsid w:val="7DA8F45B"/>
    <w:rsid w:val="7DA91670"/>
    <w:rsid w:val="7DADFF40"/>
    <w:rsid w:val="7DAF84BE"/>
    <w:rsid w:val="7DB473BC"/>
    <w:rsid w:val="7DB543E9"/>
    <w:rsid w:val="7DB66794"/>
    <w:rsid w:val="7DBCEC66"/>
    <w:rsid w:val="7DC2D22F"/>
    <w:rsid w:val="7DC947E9"/>
    <w:rsid w:val="7DCB2339"/>
    <w:rsid w:val="7DDD5B3C"/>
    <w:rsid w:val="7DE4340E"/>
    <w:rsid w:val="7DE8EF47"/>
    <w:rsid w:val="7DEA537A"/>
    <w:rsid w:val="7DF441F4"/>
    <w:rsid w:val="7DF54C38"/>
    <w:rsid w:val="7DF6358E"/>
    <w:rsid w:val="7DFBADE9"/>
    <w:rsid w:val="7DFBEA04"/>
    <w:rsid w:val="7DFFD46F"/>
    <w:rsid w:val="7E03C699"/>
    <w:rsid w:val="7E072694"/>
    <w:rsid w:val="7E0726D0"/>
    <w:rsid w:val="7E0A6042"/>
    <w:rsid w:val="7E1033C0"/>
    <w:rsid w:val="7E16AE53"/>
    <w:rsid w:val="7E1D9CC3"/>
    <w:rsid w:val="7E1F955F"/>
    <w:rsid w:val="7E1FAF49"/>
    <w:rsid w:val="7E2F633C"/>
    <w:rsid w:val="7E313DEF"/>
    <w:rsid w:val="7E33A785"/>
    <w:rsid w:val="7E39D9C4"/>
    <w:rsid w:val="7E3C0E18"/>
    <w:rsid w:val="7E3EB000"/>
    <w:rsid w:val="7E3EFF13"/>
    <w:rsid w:val="7E412FD7"/>
    <w:rsid w:val="7E43A50F"/>
    <w:rsid w:val="7E4716C3"/>
    <w:rsid w:val="7E4781CC"/>
    <w:rsid w:val="7E5D2726"/>
    <w:rsid w:val="7E68030F"/>
    <w:rsid w:val="7E6B3B69"/>
    <w:rsid w:val="7E6FD34A"/>
    <w:rsid w:val="7E6FD9A1"/>
    <w:rsid w:val="7E71F626"/>
    <w:rsid w:val="7E72B8A4"/>
    <w:rsid w:val="7E751E6D"/>
    <w:rsid w:val="7E79656D"/>
    <w:rsid w:val="7E79CBF2"/>
    <w:rsid w:val="7E7AD04B"/>
    <w:rsid w:val="7E8ABB5E"/>
    <w:rsid w:val="7E93DBD8"/>
    <w:rsid w:val="7E94B5E2"/>
    <w:rsid w:val="7E967BFD"/>
    <w:rsid w:val="7E9798C5"/>
    <w:rsid w:val="7EA2B79A"/>
    <w:rsid w:val="7EA760B7"/>
    <w:rsid w:val="7EAF7B62"/>
    <w:rsid w:val="7EB24B55"/>
    <w:rsid w:val="7EB46683"/>
    <w:rsid w:val="7EB5940E"/>
    <w:rsid w:val="7EB81734"/>
    <w:rsid w:val="7EBA3078"/>
    <w:rsid w:val="7EBB1914"/>
    <w:rsid w:val="7EBD3538"/>
    <w:rsid w:val="7EBF36E2"/>
    <w:rsid w:val="7EC2AA1B"/>
    <w:rsid w:val="7EC37E26"/>
    <w:rsid w:val="7EC3B659"/>
    <w:rsid w:val="7ECC3465"/>
    <w:rsid w:val="7ECF4369"/>
    <w:rsid w:val="7ECFAB69"/>
    <w:rsid w:val="7ED3FD81"/>
    <w:rsid w:val="7EDA8794"/>
    <w:rsid w:val="7EDB9D7A"/>
    <w:rsid w:val="7EE06DA3"/>
    <w:rsid w:val="7EE1EBC5"/>
    <w:rsid w:val="7EE41828"/>
    <w:rsid w:val="7EEC0C35"/>
    <w:rsid w:val="7EEE900F"/>
    <w:rsid w:val="7EEF2F22"/>
    <w:rsid w:val="7EF3DD8B"/>
    <w:rsid w:val="7EF5827D"/>
    <w:rsid w:val="7EF97B09"/>
    <w:rsid w:val="7EF9DD9F"/>
    <w:rsid w:val="7EFB8059"/>
    <w:rsid w:val="7F145216"/>
    <w:rsid w:val="7F1B3080"/>
    <w:rsid w:val="7F1FF831"/>
    <w:rsid w:val="7F2087CF"/>
    <w:rsid w:val="7F25F18F"/>
    <w:rsid w:val="7F3162B4"/>
    <w:rsid w:val="7F3A5109"/>
    <w:rsid w:val="7F3C20D8"/>
    <w:rsid w:val="7F3C350A"/>
    <w:rsid w:val="7F427EAD"/>
    <w:rsid w:val="7F50AA3D"/>
    <w:rsid w:val="7F51F0FC"/>
    <w:rsid w:val="7F522CC9"/>
    <w:rsid w:val="7F55921A"/>
    <w:rsid w:val="7F579270"/>
    <w:rsid w:val="7F61CAE8"/>
    <w:rsid w:val="7F62F7CB"/>
    <w:rsid w:val="7F62FDF5"/>
    <w:rsid w:val="7F639A23"/>
    <w:rsid w:val="7F641F8D"/>
    <w:rsid w:val="7F6B4A51"/>
    <w:rsid w:val="7F6B7A58"/>
    <w:rsid w:val="7F6BE857"/>
    <w:rsid w:val="7F6C6ED8"/>
    <w:rsid w:val="7F6D35E2"/>
    <w:rsid w:val="7F781DD2"/>
    <w:rsid w:val="7F7969BD"/>
    <w:rsid w:val="7F822537"/>
    <w:rsid w:val="7F832C2D"/>
    <w:rsid w:val="7F886F46"/>
    <w:rsid w:val="7F8BB335"/>
    <w:rsid w:val="7F8C5D6A"/>
    <w:rsid w:val="7F8EBB6F"/>
    <w:rsid w:val="7F91BC5A"/>
    <w:rsid w:val="7F935E4F"/>
    <w:rsid w:val="7F95D340"/>
    <w:rsid w:val="7F989C03"/>
    <w:rsid w:val="7F9BC569"/>
    <w:rsid w:val="7F9F62A2"/>
    <w:rsid w:val="7F9FC50F"/>
    <w:rsid w:val="7FA62953"/>
    <w:rsid w:val="7FA8AF6C"/>
    <w:rsid w:val="7FAA3660"/>
    <w:rsid w:val="7FAB4E02"/>
    <w:rsid w:val="7FAE128A"/>
    <w:rsid w:val="7FB4BDD6"/>
    <w:rsid w:val="7FBE4274"/>
    <w:rsid w:val="7FCD50B3"/>
    <w:rsid w:val="7FD07ABC"/>
    <w:rsid w:val="7FE08244"/>
    <w:rsid w:val="7FE34CFC"/>
    <w:rsid w:val="7FE7B478"/>
    <w:rsid w:val="7FF5FA22"/>
    <w:rsid w:val="7FF8C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82804C"/>
  <w15:docId w15:val="{C7CEE385-7B39-429C-B340-9EB12473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478"/>
    <w:pPr>
      <w:spacing w:before="120" w:after="120" w:line="360" w:lineRule="auto"/>
    </w:pPr>
    <w:rPr>
      <w:rFonts w:ascii="Times New Roman" w:hAnsi="Times New Roman"/>
      <w:sz w:val="24"/>
    </w:rPr>
  </w:style>
  <w:style w:type="paragraph" w:styleId="Heading1">
    <w:name w:val="heading 1"/>
    <w:basedOn w:val="Normal"/>
    <w:next w:val="Text1"/>
    <w:link w:val="Heading1Char"/>
    <w:uiPriority w:val="9"/>
    <w:qFormat/>
    <w:rsid w:val="00516D21"/>
    <w:pPr>
      <w:keepNext/>
      <w:numPr>
        <w:numId w:val="145"/>
      </w:numPr>
      <w:spacing w:before="360" w:line="240" w:lineRule="auto"/>
      <w:jc w:val="both"/>
      <w:outlineLvl w:val="0"/>
    </w:pPr>
    <w:rPr>
      <w:rFonts w:eastAsia="Times New Roman"/>
      <w:b/>
      <w:smallCaps/>
    </w:rPr>
  </w:style>
  <w:style w:type="paragraph" w:styleId="Heading2">
    <w:name w:val="heading 2"/>
    <w:basedOn w:val="Normal"/>
    <w:next w:val="Text1"/>
    <w:link w:val="Heading2Char"/>
    <w:uiPriority w:val="9"/>
    <w:semiHidden/>
    <w:unhideWhenUsed/>
    <w:qFormat/>
    <w:rsid w:val="00516D21"/>
    <w:pPr>
      <w:keepNext/>
      <w:numPr>
        <w:ilvl w:val="1"/>
        <w:numId w:val="145"/>
      </w:numPr>
      <w:spacing w:line="240" w:lineRule="auto"/>
      <w:jc w:val="both"/>
      <w:outlineLvl w:val="1"/>
    </w:pPr>
    <w:rPr>
      <w:rFonts w:eastAsia="Times New Roman"/>
      <w:b/>
    </w:rPr>
  </w:style>
  <w:style w:type="paragraph" w:styleId="Heading3">
    <w:name w:val="heading 3"/>
    <w:basedOn w:val="Normal"/>
    <w:next w:val="Text1"/>
    <w:link w:val="Heading3Char"/>
    <w:uiPriority w:val="9"/>
    <w:semiHidden/>
    <w:unhideWhenUsed/>
    <w:qFormat/>
    <w:rsid w:val="00516D21"/>
    <w:pPr>
      <w:keepNext/>
      <w:numPr>
        <w:ilvl w:val="2"/>
        <w:numId w:val="145"/>
      </w:numPr>
      <w:spacing w:line="240" w:lineRule="auto"/>
      <w:jc w:val="both"/>
      <w:outlineLvl w:val="2"/>
    </w:pPr>
    <w:rPr>
      <w:rFonts w:eastAsia="Times New Roman"/>
      <w:i/>
    </w:rPr>
  </w:style>
  <w:style w:type="paragraph" w:styleId="Heading4">
    <w:name w:val="heading 4"/>
    <w:basedOn w:val="Normal"/>
    <w:next w:val="Text1"/>
    <w:link w:val="Heading4Char"/>
    <w:uiPriority w:val="9"/>
    <w:semiHidden/>
    <w:unhideWhenUsed/>
    <w:qFormat/>
    <w:rsid w:val="00516D21"/>
    <w:pPr>
      <w:keepNext/>
      <w:numPr>
        <w:ilvl w:val="3"/>
        <w:numId w:val="145"/>
      </w:numPr>
      <w:spacing w:line="240" w:lineRule="auto"/>
      <w:jc w:val="both"/>
      <w:outlineLvl w:val="3"/>
    </w:pPr>
    <w:rPr>
      <w:rFonts w:eastAsia="Times New Roman"/>
    </w:rPr>
  </w:style>
  <w:style w:type="paragraph" w:styleId="Heading5">
    <w:name w:val="heading 5"/>
    <w:basedOn w:val="Normal"/>
    <w:next w:val="Normal"/>
    <w:link w:val="Heading5Char"/>
    <w:rsid w:val="00516D21"/>
    <w:pPr>
      <w:keepNext/>
      <w:keepLines/>
      <w:spacing w:before="220" w:after="40" w:line="240" w:lineRule="auto"/>
      <w:jc w:val="both"/>
      <w:outlineLvl w:val="4"/>
    </w:pPr>
    <w:rPr>
      <w:rFonts w:eastAsia="Times New Roman"/>
      <w:b/>
      <w:sz w:val="22"/>
    </w:rPr>
  </w:style>
  <w:style w:type="paragraph" w:styleId="Heading6">
    <w:name w:val="heading 6"/>
    <w:basedOn w:val="Normal"/>
    <w:next w:val="Normal"/>
    <w:link w:val="Heading6Char"/>
    <w:rsid w:val="00516D21"/>
    <w:pPr>
      <w:keepNext/>
      <w:keepLines/>
      <w:spacing w:before="200" w:after="40" w:line="240" w:lineRule="auto"/>
      <w:jc w:val="both"/>
      <w:outlineLvl w:val="5"/>
    </w:pPr>
    <w:rPr>
      <w:rFonts w:eastAsia="Times New Roman"/>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C3F"/>
    <w:pPr>
      <w:tabs>
        <w:tab w:val="right" w:pos="9638"/>
      </w:tabs>
    </w:pPr>
  </w:style>
  <w:style w:type="character" w:customStyle="1" w:styleId="HeaderChar">
    <w:name w:val="Header Char"/>
    <w:basedOn w:val="DefaultParagraphFont"/>
    <w:link w:val="Header"/>
    <w:uiPriority w:val="99"/>
    <w:rsid w:val="008A5C3F"/>
    <w:rPr>
      <w:rFonts w:ascii="Times New Roman" w:hAnsi="Times New Roman"/>
      <w:sz w:val="24"/>
      <w:bdr w:val="none" w:sz="0" w:space="0" w:color="auto"/>
      <w:shd w:val="clear" w:color="auto" w:fill="auto"/>
    </w:rPr>
  </w:style>
  <w:style w:type="paragraph" w:styleId="Footer">
    <w:name w:val="footer"/>
    <w:basedOn w:val="Normal"/>
    <w:link w:val="FooterChar"/>
    <w:uiPriority w:val="99"/>
    <w:unhideWhenUsed/>
    <w:rsid w:val="008A5C3F"/>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8A5C3F"/>
    <w:rPr>
      <w:rFonts w:ascii="Times New Roman" w:hAnsi="Times New Roman"/>
      <w:sz w:val="24"/>
      <w:bdr w:val="none" w:sz="0" w:space="0" w:color="auto"/>
      <w:shd w:val="clear" w:color="auto" w:fill="auto"/>
    </w:rPr>
  </w:style>
  <w:style w:type="paragraph" w:styleId="FootnoteText">
    <w:name w:val="footnote text"/>
    <w:basedOn w:val="Normal"/>
    <w:link w:val="FootnoteTextChar"/>
    <w:uiPriority w:val="99"/>
    <w:unhideWhenUsed/>
    <w:rsid w:val="008A5C3F"/>
    <w:pPr>
      <w:spacing w:before="0" w:after="0" w:line="240" w:lineRule="auto"/>
      <w:ind w:left="720" w:hanging="720"/>
    </w:pPr>
  </w:style>
  <w:style w:type="character" w:customStyle="1" w:styleId="FootnoteTextChar">
    <w:name w:val="Footnote Text Char"/>
    <w:basedOn w:val="DefaultParagraphFont"/>
    <w:link w:val="FootnoteText"/>
    <w:uiPriority w:val="99"/>
    <w:rsid w:val="008A5C3F"/>
    <w:rPr>
      <w:rFonts w:ascii="Times New Roman" w:hAnsi="Times New Roman"/>
      <w:sz w:val="24"/>
      <w:bdr w:val="none" w:sz="0" w:space="0" w:color="auto"/>
      <w:shd w:val="clear" w:color="auto" w:fill="auto"/>
    </w:rPr>
  </w:style>
  <w:style w:type="paragraph" w:customStyle="1" w:styleId="HeaderLandscape">
    <w:name w:val="HeaderLandscape"/>
    <w:basedOn w:val="Normal"/>
    <w:rsid w:val="008A5C3F"/>
    <w:pPr>
      <w:tabs>
        <w:tab w:val="right" w:pos="14570"/>
      </w:tabs>
    </w:pPr>
  </w:style>
  <w:style w:type="paragraph" w:customStyle="1" w:styleId="FooterLandscape">
    <w:name w:val="FooterLandscape"/>
    <w:basedOn w:val="Normal"/>
    <w:rsid w:val="008A5C3F"/>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8A5C3F"/>
    <w:rPr>
      <w:b/>
      <w:bdr w:val="none" w:sz="0" w:space="0" w:color="auto"/>
      <w:shd w:val="clear" w:color="auto" w:fill="auto"/>
      <w:vertAlign w:val="superscript"/>
    </w:rPr>
  </w:style>
  <w:style w:type="paragraph" w:customStyle="1" w:styleId="HeaderCouncil">
    <w:name w:val="Header Council"/>
    <w:basedOn w:val="Normal"/>
    <w:link w:val="HeaderCouncilChar"/>
    <w:rsid w:val="008A5C3F"/>
    <w:pPr>
      <w:spacing w:before="0" w:after="0" w:line="240" w:lineRule="auto"/>
    </w:pPr>
    <w:rPr>
      <w:sz w:val="2"/>
    </w:rPr>
  </w:style>
  <w:style w:type="paragraph" w:customStyle="1" w:styleId="FooterCouncil">
    <w:name w:val="Footer Council"/>
    <w:basedOn w:val="Normal"/>
    <w:link w:val="FooterCouncilChar"/>
    <w:rsid w:val="008A5C3F"/>
    <w:pPr>
      <w:spacing w:before="0" w:after="0" w:line="240" w:lineRule="auto"/>
    </w:pPr>
    <w:rPr>
      <w:sz w:val="2"/>
    </w:rPr>
  </w:style>
  <w:style w:type="paragraph" w:customStyle="1" w:styleId="TechnicalBlock">
    <w:name w:val="Technical Block"/>
    <w:basedOn w:val="Normal"/>
    <w:next w:val="Normal"/>
    <w:link w:val="TechnicalBlockChar"/>
    <w:rsid w:val="00FA0F04"/>
    <w:pPr>
      <w:spacing w:before="0" w:after="240" w:line="240" w:lineRule="auto"/>
      <w:jc w:val="center"/>
    </w:pPr>
    <w:rPr>
      <w:rFonts w:eastAsiaTheme="minorHAnsi"/>
    </w:rPr>
  </w:style>
  <w:style w:type="character" w:customStyle="1" w:styleId="Marker">
    <w:name w:val="Marker"/>
    <w:basedOn w:val="DefaultParagraphFont"/>
    <w:rsid w:val="008A5C3F"/>
    <w:rPr>
      <w:color w:val="0000FF"/>
      <w:bdr w:val="none" w:sz="0" w:space="0" w:color="auto"/>
      <w:shd w:val="clear" w:color="auto" w:fill="auto"/>
    </w:rPr>
  </w:style>
  <w:style w:type="character" w:customStyle="1" w:styleId="Marker1">
    <w:name w:val="Marker1"/>
    <w:basedOn w:val="DefaultParagraphFont"/>
    <w:rsid w:val="008A5C3F"/>
    <w:rPr>
      <w:color w:val="008000"/>
      <w:bdr w:val="none" w:sz="0" w:space="0" w:color="auto"/>
      <w:shd w:val="clear" w:color="auto" w:fill="auto"/>
    </w:rPr>
  </w:style>
  <w:style w:type="paragraph" w:customStyle="1" w:styleId="FinalLine">
    <w:name w:val="Final Line"/>
    <w:basedOn w:val="Normal"/>
    <w:next w:val="Normal"/>
    <w:rsid w:val="008A5C3F"/>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8A5C3F"/>
    <w:pPr>
      <w:pBdr>
        <w:bottom w:val="single" w:sz="4" w:space="0" w:color="000000"/>
      </w:pBdr>
      <w:spacing w:before="360"/>
      <w:ind w:left="5868" w:right="5868"/>
      <w:jc w:val="center"/>
    </w:pPr>
    <w:rPr>
      <w:b/>
    </w:rPr>
  </w:style>
  <w:style w:type="paragraph" w:customStyle="1" w:styleId="EntLogo">
    <w:name w:val="EntLogo"/>
    <w:basedOn w:val="Normal"/>
    <w:rsid w:val="008A5C3F"/>
    <w:pPr>
      <w:tabs>
        <w:tab w:val="right" w:pos="9639"/>
      </w:tabs>
      <w:spacing w:before="0" w:after="0"/>
    </w:pPr>
    <w:rPr>
      <w:b/>
    </w:rPr>
  </w:style>
  <w:style w:type="paragraph" w:customStyle="1" w:styleId="EntEmet">
    <w:name w:val="EntEmet"/>
    <w:basedOn w:val="Normal"/>
    <w:rsid w:val="008A5C3F"/>
    <w:pPr>
      <w:spacing w:before="40" w:after="0" w:line="240" w:lineRule="auto"/>
    </w:pPr>
  </w:style>
  <w:style w:type="paragraph" w:customStyle="1" w:styleId="EntInstit">
    <w:name w:val="EntInstit"/>
    <w:basedOn w:val="Normal"/>
    <w:rsid w:val="008A5C3F"/>
    <w:pPr>
      <w:spacing w:before="0" w:after="0" w:line="240" w:lineRule="auto"/>
      <w:jc w:val="right"/>
    </w:pPr>
    <w:rPr>
      <w:b/>
    </w:rPr>
  </w:style>
  <w:style w:type="paragraph" w:customStyle="1" w:styleId="EntRefer">
    <w:name w:val="EntRefer"/>
    <w:basedOn w:val="Normal"/>
    <w:rsid w:val="008A5C3F"/>
    <w:pPr>
      <w:spacing w:before="0" w:after="0" w:line="240" w:lineRule="auto"/>
    </w:pPr>
    <w:rPr>
      <w:b/>
    </w:rPr>
  </w:style>
  <w:style w:type="paragraph" w:customStyle="1" w:styleId="Genredudocument">
    <w:name w:val="Genre du document"/>
    <w:basedOn w:val="EntRefer"/>
    <w:next w:val="EntRefer"/>
    <w:rsid w:val="008A5C3F"/>
    <w:pPr>
      <w:spacing w:before="240"/>
    </w:pPr>
  </w:style>
  <w:style w:type="paragraph" w:customStyle="1" w:styleId="Languagesconcerned">
    <w:name w:val="Languages concerned"/>
    <w:basedOn w:val="Normal"/>
    <w:next w:val="Procedureapplicable"/>
    <w:rsid w:val="008A5C3F"/>
    <w:pPr>
      <w:spacing w:before="240"/>
    </w:pPr>
  </w:style>
  <w:style w:type="paragraph" w:customStyle="1" w:styleId="Procedureapplicable">
    <w:name w:val="Procedure applicable"/>
    <w:basedOn w:val="Normal"/>
    <w:next w:val="Proceduretype"/>
    <w:rsid w:val="008A5C3F"/>
    <w:pPr>
      <w:spacing w:before="240"/>
    </w:pPr>
  </w:style>
  <w:style w:type="paragraph" w:customStyle="1" w:styleId="Proceduretype">
    <w:name w:val="Procedure type"/>
    <w:basedOn w:val="Normal"/>
    <w:next w:val="Normal"/>
    <w:rsid w:val="008A5C3F"/>
    <w:pPr>
      <w:spacing w:before="240" w:after="0"/>
    </w:pPr>
  </w:style>
  <w:style w:type="paragraph" w:customStyle="1" w:styleId="Agreement">
    <w:name w:val="Agreement"/>
    <w:basedOn w:val="Normal"/>
    <w:next w:val="Normal"/>
    <w:rsid w:val="008A5C3F"/>
    <w:pPr>
      <w:spacing w:before="0"/>
    </w:pPr>
  </w:style>
  <w:style w:type="paragraph" w:customStyle="1" w:styleId="Timelimit">
    <w:name w:val="Time limit"/>
    <w:basedOn w:val="Normal"/>
    <w:next w:val="Normal"/>
    <w:rsid w:val="008A5C3F"/>
    <w:pPr>
      <w:spacing w:before="240"/>
    </w:pPr>
  </w:style>
  <w:style w:type="paragraph" w:customStyle="1" w:styleId="Remarks">
    <w:name w:val="Remarks"/>
    <w:basedOn w:val="Normal"/>
    <w:rsid w:val="008A5C3F"/>
    <w:pPr>
      <w:spacing w:before="240"/>
    </w:pPr>
  </w:style>
  <w:style w:type="paragraph" w:customStyle="1" w:styleId="Correctionnewlanguages">
    <w:name w:val="Correction new languages"/>
    <w:basedOn w:val="Normal"/>
    <w:next w:val="Normal"/>
    <w:rsid w:val="008A5C3F"/>
    <w:pPr>
      <w:spacing w:before="240"/>
    </w:pPr>
  </w:style>
  <w:style w:type="paragraph" w:customStyle="1" w:styleId="Anyobservations">
    <w:name w:val="Any observations"/>
    <w:basedOn w:val="Normal"/>
    <w:next w:val="Normal"/>
    <w:rsid w:val="008A5C3F"/>
    <w:pPr>
      <w:spacing w:before="240"/>
    </w:pPr>
    <w:rPr>
      <w:b/>
    </w:rPr>
  </w:style>
  <w:style w:type="paragraph" w:customStyle="1" w:styleId="Annextitle">
    <w:name w:val="Annex title"/>
    <w:basedOn w:val="Normal"/>
    <w:next w:val="Corrigendumtitle"/>
    <w:rsid w:val="008A5C3F"/>
    <w:pPr>
      <w:spacing w:before="0" w:after="0"/>
      <w:jc w:val="right"/>
    </w:pPr>
    <w:rPr>
      <w:b/>
      <w:u w:val="single"/>
    </w:rPr>
  </w:style>
  <w:style w:type="paragraph" w:customStyle="1" w:styleId="Corrigendumtitle">
    <w:name w:val="Corrigendum title"/>
    <w:basedOn w:val="Normal"/>
    <w:next w:val="Corrigendumto"/>
    <w:rsid w:val="008A5C3F"/>
    <w:pPr>
      <w:spacing w:before="240"/>
      <w:jc w:val="center"/>
    </w:pPr>
    <w:rPr>
      <w:b/>
    </w:rPr>
  </w:style>
  <w:style w:type="paragraph" w:customStyle="1" w:styleId="Corrigendumto">
    <w:name w:val="Corrigendum to"/>
    <w:basedOn w:val="Normal"/>
    <w:next w:val="Referencedocument"/>
    <w:rsid w:val="008A5C3F"/>
    <w:pPr>
      <w:spacing w:after="240"/>
      <w:jc w:val="center"/>
    </w:pPr>
    <w:rPr>
      <w:b/>
    </w:rPr>
  </w:style>
  <w:style w:type="paragraph" w:customStyle="1" w:styleId="Referencedocument">
    <w:name w:val="Reference document"/>
    <w:basedOn w:val="Normal"/>
    <w:rsid w:val="008A5C3F"/>
    <w:pPr>
      <w:spacing w:before="0" w:after="0"/>
      <w:jc w:val="center"/>
    </w:pPr>
  </w:style>
  <w:style w:type="paragraph" w:customStyle="1" w:styleId="Correctionpage">
    <w:name w:val="Correction page"/>
    <w:basedOn w:val="Normal"/>
    <w:next w:val="Correctionfortitle"/>
    <w:rsid w:val="008A5C3F"/>
    <w:pPr>
      <w:keepNext/>
      <w:spacing w:before="240"/>
    </w:pPr>
  </w:style>
  <w:style w:type="paragraph" w:customStyle="1" w:styleId="Correctionfortitle">
    <w:name w:val="Correction for title"/>
    <w:basedOn w:val="Normal"/>
    <w:next w:val="Correctionfortext"/>
    <w:rsid w:val="008A5C3F"/>
    <w:pPr>
      <w:keepNext/>
      <w:spacing w:after="240"/>
    </w:pPr>
    <w:rPr>
      <w:i/>
    </w:rPr>
  </w:style>
  <w:style w:type="paragraph" w:customStyle="1" w:styleId="Correctionfortext">
    <w:name w:val="Correction for text"/>
    <w:basedOn w:val="Normal"/>
    <w:rsid w:val="008A5C3F"/>
    <w:pPr>
      <w:spacing w:before="0" w:after="0"/>
    </w:pPr>
  </w:style>
  <w:style w:type="paragraph" w:customStyle="1" w:styleId="Correctionreadtitle">
    <w:name w:val="Correction read title"/>
    <w:basedOn w:val="Normal"/>
    <w:next w:val="Correctionreadtext"/>
    <w:rsid w:val="008A5C3F"/>
    <w:pPr>
      <w:keepNext/>
      <w:spacing w:after="240"/>
    </w:pPr>
    <w:rPr>
      <w:i/>
    </w:rPr>
  </w:style>
  <w:style w:type="paragraph" w:customStyle="1" w:styleId="Correctionreadtext">
    <w:name w:val="Correction read text"/>
    <w:basedOn w:val="Normal"/>
    <w:rsid w:val="008A5C3F"/>
    <w:pPr>
      <w:spacing w:before="0" w:after="0"/>
    </w:pPr>
  </w:style>
  <w:style w:type="paragraph" w:customStyle="1" w:styleId="Phraseofsignature">
    <w:name w:val="Phrase of signature"/>
    <w:basedOn w:val="Normal"/>
    <w:next w:val="Correctionpage"/>
    <w:rsid w:val="008A5C3F"/>
    <w:pPr>
      <w:spacing w:before="240"/>
    </w:pPr>
  </w:style>
  <w:style w:type="paragraph" w:customStyle="1" w:styleId="HeaderCouncilLarge">
    <w:name w:val="Header Council Large"/>
    <w:basedOn w:val="Normal"/>
    <w:link w:val="HeaderCouncilLargeChar"/>
    <w:rsid w:val="00121F22"/>
    <w:pPr>
      <w:spacing w:before="0" w:after="440"/>
      <w:ind w:left="-1134" w:right="-1134"/>
    </w:pPr>
    <w:rPr>
      <w:rFonts w:eastAsiaTheme="minorHAnsi"/>
      <w:sz w:val="2"/>
    </w:rPr>
  </w:style>
  <w:style w:type="character" w:customStyle="1" w:styleId="TechnicalBlockChar">
    <w:name w:val="Technical Block Char"/>
    <w:basedOn w:val="DefaultParagraphFont"/>
    <w:link w:val="TechnicalBlock"/>
    <w:rsid w:val="00121F22"/>
    <w:rPr>
      <w:rFonts w:ascii="Times New Roman" w:eastAsiaTheme="minorHAnsi" w:hAnsi="Times New Roman"/>
      <w:sz w:val="24"/>
    </w:rPr>
  </w:style>
  <w:style w:type="character" w:customStyle="1" w:styleId="HeaderCouncilLargeChar">
    <w:name w:val="Header Council Large Char"/>
    <w:basedOn w:val="TechnicalBlockChar"/>
    <w:link w:val="HeaderCouncilLarge"/>
    <w:rsid w:val="00121F22"/>
    <w:rPr>
      <w:rFonts w:ascii="Times New Roman" w:eastAsiaTheme="minorHAnsi" w:hAnsi="Times New Roman"/>
      <w:sz w:val="2"/>
    </w:rPr>
  </w:style>
  <w:style w:type="paragraph" w:customStyle="1" w:styleId="FooterText">
    <w:name w:val="Footer Text"/>
    <w:basedOn w:val="Normal"/>
    <w:rsid w:val="00121F22"/>
    <w:pPr>
      <w:spacing w:before="0" w:after="0" w:line="240" w:lineRule="auto"/>
    </w:pPr>
    <w:rPr>
      <w:rFonts w:eastAsia="Times New Roman"/>
    </w:rPr>
  </w:style>
  <w:style w:type="character" w:styleId="PlaceholderText">
    <w:name w:val="Placeholder Text"/>
    <w:basedOn w:val="DefaultParagraphFont"/>
    <w:uiPriority w:val="99"/>
    <w:semiHidden/>
    <w:rsid w:val="00121F22"/>
    <w:rPr>
      <w:color w:val="808080"/>
    </w:rPr>
  </w:style>
  <w:style w:type="character" w:customStyle="1" w:styleId="Heading1Char">
    <w:name w:val="Heading 1 Char"/>
    <w:basedOn w:val="DefaultParagraphFont"/>
    <w:link w:val="Heading1"/>
    <w:uiPriority w:val="9"/>
    <w:rsid w:val="00516D21"/>
    <w:rPr>
      <w:rFonts w:ascii="Times New Roman" w:eastAsia="Times New Roman" w:hAnsi="Times New Roman"/>
      <w:b/>
      <w:smallCaps/>
      <w:sz w:val="24"/>
    </w:rPr>
  </w:style>
  <w:style w:type="character" w:customStyle="1" w:styleId="Heading2Char">
    <w:name w:val="Heading 2 Char"/>
    <w:basedOn w:val="DefaultParagraphFont"/>
    <w:link w:val="Heading2"/>
    <w:uiPriority w:val="9"/>
    <w:semiHidden/>
    <w:rsid w:val="00516D21"/>
    <w:rPr>
      <w:rFonts w:ascii="Times New Roman" w:eastAsia="Times New Roman" w:hAnsi="Times New Roman"/>
      <w:b/>
      <w:sz w:val="24"/>
    </w:rPr>
  </w:style>
  <w:style w:type="character" w:customStyle="1" w:styleId="Heading3Char">
    <w:name w:val="Heading 3 Char"/>
    <w:basedOn w:val="DefaultParagraphFont"/>
    <w:link w:val="Heading3"/>
    <w:uiPriority w:val="9"/>
    <w:semiHidden/>
    <w:rsid w:val="00516D21"/>
    <w:rPr>
      <w:rFonts w:ascii="Times New Roman" w:eastAsia="Times New Roman" w:hAnsi="Times New Roman"/>
      <w:i/>
      <w:sz w:val="24"/>
    </w:rPr>
  </w:style>
  <w:style w:type="character" w:customStyle="1" w:styleId="Heading4Char">
    <w:name w:val="Heading 4 Char"/>
    <w:basedOn w:val="DefaultParagraphFont"/>
    <w:link w:val="Heading4"/>
    <w:uiPriority w:val="9"/>
    <w:semiHidden/>
    <w:rsid w:val="00516D21"/>
    <w:rPr>
      <w:rFonts w:ascii="Times New Roman" w:eastAsia="Times New Roman" w:hAnsi="Times New Roman"/>
      <w:sz w:val="24"/>
    </w:rPr>
  </w:style>
  <w:style w:type="character" w:customStyle="1" w:styleId="Heading5Char">
    <w:name w:val="Heading 5 Char"/>
    <w:basedOn w:val="DefaultParagraphFont"/>
    <w:link w:val="Heading5"/>
    <w:rsid w:val="00516D21"/>
    <w:rPr>
      <w:rFonts w:ascii="Times New Roman" w:eastAsia="Times New Roman" w:hAnsi="Times New Roman"/>
      <w:b/>
      <w:sz w:val="22"/>
    </w:rPr>
  </w:style>
  <w:style w:type="character" w:customStyle="1" w:styleId="Heading6Char">
    <w:name w:val="Heading 6 Char"/>
    <w:basedOn w:val="DefaultParagraphFont"/>
    <w:link w:val="Heading6"/>
    <w:rsid w:val="00516D21"/>
    <w:rPr>
      <w:rFonts w:ascii="Times New Roman" w:eastAsia="Times New Roman" w:hAnsi="Times New Roman"/>
      <w:b/>
    </w:rPr>
  </w:style>
  <w:style w:type="character" w:styleId="CommentReference">
    <w:name w:val="annotation reference"/>
    <w:uiPriority w:val="99"/>
    <w:unhideWhenUsed/>
    <w:rsid w:val="00516D21"/>
    <w:rPr>
      <w:sz w:val="16"/>
    </w:rPr>
  </w:style>
  <w:style w:type="paragraph" w:styleId="CommentText">
    <w:name w:val="annotation text"/>
    <w:basedOn w:val="Normal"/>
    <w:link w:val="CommentTextChar"/>
    <w:uiPriority w:val="99"/>
    <w:unhideWhenUsed/>
    <w:rsid w:val="00516D21"/>
    <w:pPr>
      <w:spacing w:line="240" w:lineRule="auto"/>
      <w:jc w:val="both"/>
    </w:pPr>
    <w:rPr>
      <w:sz w:val="20"/>
    </w:rPr>
  </w:style>
  <w:style w:type="character" w:customStyle="1" w:styleId="CommentTextChar">
    <w:name w:val="Comment Text Char"/>
    <w:basedOn w:val="DefaultParagraphFont"/>
    <w:link w:val="CommentText"/>
    <w:uiPriority w:val="99"/>
    <w:rsid w:val="00516D21"/>
    <w:rPr>
      <w:rFonts w:ascii="Times New Roman" w:hAnsi="Times New Roman"/>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tabulky"/>
    <w:basedOn w:val="Normal"/>
    <w:link w:val="ListParagraphChar"/>
    <w:uiPriority w:val="34"/>
    <w:qFormat/>
    <w:rsid w:val="00516D21"/>
    <w:pPr>
      <w:spacing w:after="160" w:line="259" w:lineRule="auto"/>
      <w:ind w:left="720"/>
      <w:contextualSpacing/>
    </w:pPr>
    <w:rPr>
      <w:rFonts w:ascii="Calibri" w:hAnsi="Calibri"/>
      <w:sz w:val="22"/>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516D21"/>
    <w:rPr>
      <w:sz w:val="22"/>
    </w:rPr>
  </w:style>
  <w:style w:type="character" w:styleId="IntenseEmphasis">
    <w:name w:val="Intense Emphasis"/>
    <w:uiPriority w:val="21"/>
    <w:qFormat/>
    <w:rsid w:val="00516D21"/>
    <w:rPr>
      <w:i/>
      <w:color w:val="4F81BD"/>
    </w:rPr>
  </w:style>
  <w:style w:type="paragraph" w:styleId="BalloonText">
    <w:name w:val="Balloon Text"/>
    <w:basedOn w:val="Normal"/>
    <w:link w:val="BalloonTextChar"/>
    <w:uiPriority w:val="99"/>
    <w:semiHidden/>
    <w:unhideWhenUsed/>
    <w:rsid w:val="00516D21"/>
    <w:pPr>
      <w:spacing w:after="0" w:line="240" w:lineRule="auto"/>
      <w:jc w:val="both"/>
    </w:pPr>
    <w:rPr>
      <w:rFonts w:ascii="Segoe UI" w:hAnsi="Segoe UI" w:cs="Segoe UI"/>
      <w:sz w:val="18"/>
    </w:rPr>
  </w:style>
  <w:style w:type="character" w:customStyle="1" w:styleId="BalloonTextChar">
    <w:name w:val="Balloon Text Char"/>
    <w:basedOn w:val="DefaultParagraphFont"/>
    <w:link w:val="BalloonText"/>
    <w:uiPriority w:val="99"/>
    <w:semiHidden/>
    <w:rsid w:val="00516D21"/>
    <w:rPr>
      <w:rFonts w:ascii="Segoe UI" w:hAnsi="Segoe UI" w:cs="Segoe UI"/>
      <w:sz w:val="18"/>
    </w:rPr>
  </w:style>
  <w:style w:type="paragraph" w:styleId="ListBullet">
    <w:name w:val="List Bullet"/>
    <w:basedOn w:val="Normal"/>
    <w:uiPriority w:val="99"/>
    <w:semiHidden/>
    <w:unhideWhenUsed/>
    <w:rsid w:val="00516D21"/>
    <w:pPr>
      <w:numPr>
        <w:numId w:val="131"/>
      </w:numPr>
      <w:spacing w:line="240" w:lineRule="auto"/>
      <w:contextualSpacing/>
      <w:jc w:val="both"/>
    </w:pPr>
  </w:style>
  <w:style w:type="paragraph" w:styleId="ListBullet2">
    <w:name w:val="List Bullet 2"/>
    <w:basedOn w:val="Normal"/>
    <w:uiPriority w:val="99"/>
    <w:semiHidden/>
    <w:unhideWhenUsed/>
    <w:rsid w:val="00516D21"/>
    <w:pPr>
      <w:numPr>
        <w:numId w:val="132"/>
      </w:numPr>
      <w:spacing w:line="240" w:lineRule="auto"/>
      <w:contextualSpacing/>
      <w:jc w:val="both"/>
    </w:pPr>
  </w:style>
  <w:style w:type="paragraph" w:styleId="ListBullet3">
    <w:name w:val="List Bullet 3"/>
    <w:basedOn w:val="Normal"/>
    <w:uiPriority w:val="99"/>
    <w:semiHidden/>
    <w:unhideWhenUsed/>
    <w:rsid w:val="00516D21"/>
    <w:pPr>
      <w:numPr>
        <w:numId w:val="133"/>
      </w:numPr>
      <w:spacing w:line="240" w:lineRule="auto"/>
      <w:contextualSpacing/>
      <w:jc w:val="both"/>
    </w:pPr>
  </w:style>
  <w:style w:type="paragraph" w:styleId="ListBullet4">
    <w:name w:val="List Bullet 4"/>
    <w:basedOn w:val="Normal"/>
    <w:uiPriority w:val="99"/>
    <w:semiHidden/>
    <w:unhideWhenUsed/>
    <w:rsid w:val="00516D21"/>
    <w:pPr>
      <w:numPr>
        <w:numId w:val="134"/>
      </w:numPr>
      <w:spacing w:line="240" w:lineRule="auto"/>
      <w:contextualSpacing/>
      <w:jc w:val="both"/>
    </w:pPr>
  </w:style>
  <w:style w:type="paragraph" w:styleId="CommentSubject">
    <w:name w:val="annotation subject"/>
    <w:basedOn w:val="CommentText"/>
    <w:next w:val="CommentText"/>
    <w:link w:val="CommentSubjectChar"/>
    <w:uiPriority w:val="99"/>
    <w:semiHidden/>
    <w:unhideWhenUsed/>
    <w:rsid w:val="00516D21"/>
    <w:rPr>
      <w:b/>
    </w:rPr>
  </w:style>
  <w:style w:type="character" w:customStyle="1" w:styleId="CommentSubjectChar">
    <w:name w:val="Comment Subject Char"/>
    <w:basedOn w:val="CommentTextChar"/>
    <w:link w:val="CommentSubject"/>
    <w:uiPriority w:val="99"/>
    <w:semiHidden/>
    <w:rsid w:val="00516D21"/>
    <w:rPr>
      <w:rFonts w:ascii="Times New Roman" w:hAnsi="Times New Roman"/>
      <w:b/>
    </w:rPr>
  </w:style>
  <w:style w:type="paragraph" w:styleId="Revision">
    <w:name w:val="Revision"/>
    <w:hidden/>
    <w:uiPriority w:val="99"/>
    <w:semiHidden/>
    <w:rsid w:val="00516D21"/>
    <w:rPr>
      <w:rFonts w:ascii="Times New Roman" w:hAnsi="Times New Roman"/>
      <w:sz w:val="24"/>
    </w:rPr>
  </w:style>
  <w:style w:type="paragraph" w:styleId="Caption">
    <w:name w:val="caption"/>
    <w:basedOn w:val="Normal"/>
    <w:next w:val="Normal"/>
    <w:uiPriority w:val="35"/>
    <w:semiHidden/>
    <w:unhideWhenUsed/>
    <w:qFormat/>
    <w:rsid w:val="00516D21"/>
    <w:pPr>
      <w:spacing w:line="240" w:lineRule="auto"/>
      <w:jc w:val="both"/>
    </w:pPr>
    <w:rPr>
      <w:i/>
      <w:color w:val="1F497D"/>
      <w:sz w:val="18"/>
    </w:rPr>
  </w:style>
  <w:style w:type="paragraph" w:styleId="TableofFigures">
    <w:name w:val="table of figures"/>
    <w:basedOn w:val="Normal"/>
    <w:next w:val="Normal"/>
    <w:uiPriority w:val="99"/>
    <w:semiHidden/>
    <w:unhideWhenUsed/>
    <w:rsid w:val="00516D21"/>
    <w:pPr>
      <w:spacing w:after="0" w:line="240" w:lineRule="auto"/>
      <w:jc w:val="both"/>
    </w:pPr>
  </w:style>
  <w:style w:type="paragraph" w:styleId="ListNumber">
    <w:name w:val="List Number"/>
    <w:basedOn w:val="Normal"/>
    <w:uiPriority w:val="99"/>
    <w:semiHidden/>
    <w:unhideWhenUsed/>
    <w:rsid w:val="00516D21"/>
    <w:pPr>
      <w:numPr>
        <w:numId w:val="136"/>
      </w:numPr>
      <w:spacing w:line="240" w:lineRule="auto"/>
      <w:contextualSpacing/>
      <w:jc w:val="both"/>
    </w:pPr>
  </w:style>
  <w:style w:type="paragraph" w:styleId="ListNumber2">
    <w:name w:val="List Number 2"/>
    <w:basedOn w:val="Normal"/>
    <w:uiPriority w:val="99"/>
    <w:semiHidden/>
    <w:unhideWhenUsed/>
    <w:rsid w:val="00516D21"/>
    <w:pPr>
      <w:numPr>
        <w:numId w:val="137"/>
      </w:numPr>
      <w:spacing w:line="240" w:lineRule="auto"/>
      <w:contextualSpacing/>
      <w:jc w:val="both"/>
    </w:pPr>
  </w:style>
  <w:style w:type="paragraph" w:styleId="ListNumber3">
    <w:name w:val="List Number 3"/>
    <w:basedOn w:val="Normal"/>
    <w:uiPriority w:val="99"/>
    <w:semiHidden/>
    <w:unhideWhenUsed/>
    <w:rsid w:val="00516D21"/>
    <w:pPr>
      <w:numPr>
        <w:numId w:val="138"/>
      </w:numPr>
      <w:spacing w:line="240" w:lineRule="auto"/>
      <w:contextualSpacing/>
      <w:jc w:val="both"/>
    </w:pPr>
  </w:style>
  <w:style w:type="paragraph" w:styleId="ListNumber4">
    <w:name w:val="List Number 4"/>
    <w:basedOn w:val="Normal"/>
    <w:uiPriority w:val="99"/>
    <w:semiHidden/>
    <w:unhideWhenUsed/>
    <w:rsid w:val="00516D21"/>
    <w:pPr>
      <w:numPr>
        <w:numId w:val="139"/>
      </w:numPr>
      <w:spacing w:line="240" w:lineRule="auto"/>
      <w:contextualSpacing/>
      <w:jc w:val="both"/>
    </w:pPr>
  </w:style>
  <w:style w:type="character" w:styleId="Hyperlink">
    <w:name w:val="Hyperlink"/>
    <w:uiPriority w:val="99"/>
    <w:unhideWhenUsed/>
    <w:rsid w:val="00516D21"/>
    <w:rPr>
      <w:color w:val="0000FF"/>
      <w:u w:val="single"/>
    </w:rPr>
  </w:style>
  <w:style w:type="paragraph" w:styleId="TOCHeading">
    <w:name w:val="TOC Heading"/>
    <w:basedOn w:val="Normal"/>
    <w:next w:val="Normal"/>
    <w:uiPriority w:val="39"/>
    <w:semiHidden/>
    <w:unhideWhenUsed/>
    <w:qFormat/>
    <w:rsid w:val="00516D21"/>
    <w:pPr>
      <w:spacing w:after="240" w:line="240" w:lineRule="auto"/>
      <w:jc w:val="center"/>
    </w:pPr>
    <w:rPr>
      <w:b/>
      <w:sz w:val="28"/>
    </w:rPr>
  </w:style>
  <w:style w:type="paragraph" w:styleId="TOC1">
    <w:name w:val="toc 1"/>
    <w:basedOn w:val="Normal"/>
    <w:next w:val="Normal"/>
    <w:uiPriority w:val="39"/>
    <w:semiHidden/>
    <w:unhideWhenUsed/>
    <w:rsid w:val="00516D21"/>
    <w:pPr>
      <w:tabs>
        <w:tab w:val="right" w:leader="dot" w:pos="9071"/>
      </w:tabs>
      <w:spacing w:before="60" w:line="240" w:lineRule="auto"/>
      <w:ind w:left="850" w:hanging="850"/>
    </w:pPr>
  </w:style>
  <w:style w:type="paragraph" w:styleId="TOC2">
    <w:name w:val="toc 2"/>
    <w:basedOn w:val="Normal"/>
    <w:next w:val="Normal"/>
    <w:uiPriority w:val="39"/>
    <w:semiHidden/>
    <w:unhideWhenUsed/>
    <w:rsid w:val="00516D21"/>
    <w:pPr>
      <w:tabs>
        <w:tab w:val="right" w:leader="dot" w:pos="9071"/>
      </w:tabs>
      <w:spacing w:before="60" w:line="240" w:lineRule="auto"/>
      <w:ind w:left="850" w:hanging="850"/>
    </w:pPr>
  </w:style>
  <w:style w:type="paragraph" w:styleId="TOC3">
    <w:name w:val="toc 3"/>
    <w:basedOn w:val="Normal"/>
    <w:next w:val="Normal"/>
    <w:uiPriority w:val="39"/>
    <w:semiHidden/>
    <w:unhideWhenUsed/>
    <w:rsid w:val="00516D21"/>
    <w:pPr>
      <w:tabs>
        <w:tab w:val="right" w:leader="dot" w:pos="9071"/>
      </w:tabs>
      <w:spacing w:before="60" w:line="240" w:lineRule="auto"/>
      <w:ind w:left="850" w:hanging="850"/>
    </w:pPr>
  </w:style>
  <w:style w:type="paragraph" w:styleId="TOC4">
    <w:name w:val="toc 4"/>
    <w:basedOn w:val="Normal"/>
    <w:next w:val="Normal"/>
    <w:uiPriority w:val="39"/>
    <w:semiHidden/>
    <w:unhideWhenUsed/>
    <w:rsid w:val="00516D21"/>
    <w:pPr>
      <w:tabs>
        <w:tab w:val="right" w:leader="dot" w:pos="9071"/>
      </w:tabs>
      <w:spacing w:before="60" w:line="240" w:lineRule="auto"/>
      <w:ind w:left="850" w:hanging="850"/>
    </w:pPr>
  </w:style>
  <w:style w:type="paragraph" w:styleId="TOC5">
    <w:name w:val="toc 5"/>
    <w:basedOn w:val="Normal"/>
    <w:next w:val="Normal"/>
    <w:uiPriority w:val="39"/>
    <w:semiHidden/>
    <w:unhideWhenUsed/>
    <w:rsid w:val="00516D21"/>
    <w:pPr>
      <w:tabs>
        <w:tab w:val="right" w:leader="dot" w:pos="9071"/>
      </w:tabs>
      <w:spacing w:before="300" w:line="240" w:lineRule="auto"/>
    </w:pPr>
  </w:style>
  <w:style w:type="paragraph" w:styleId="TOC6">
    <w:name w:val="toc 6"/>
    <w:basedOn w:val="Normal"/>
    <w:next w:val="Normal"/>
    <w:uiPriority w:val="39"/>
    <w:semiHidden/>
    <w:unhideWhenUsed/>
    <w:rsid w:val="00516D21"/>
    <w:pPr>
      <w:tabs>
        <w:tab w:val="right" w:leader="dot" w:pos="9071"/>
      </w:tabs>
      <w:spacing w:before="240" w:line="240" w:lineRule="auto"/>
    </w:pPr>
  </w:style>
  <w:style w:type="paragraph" w:styleId="TOC7">
    <w:name w:val="toc 7"/>
    <w:basedOn w:val="Normal"/>
    <w:next w:val="Normal"/>
    <w:uiPriority w:val="39"/>
    <w:semiHidden/>
    <w:unhideWhenUsed/>
    <w:rsid w:val="00516D21"/>
    <w:pPr>
      <w:tabs>
        <w:tab w:val="right" w:leader="dot" w:pos="9071"/>
      </w:tabs>
      <w:spacing w:before="180" w:line="240" w:lineRule="auto"/>
    </w:pPr>
  </w:style>
  <w:style w:type="paragraph" w:styleId="TOC8">
    <w:name w:val="toc 8"/>
    <w:basedOn w:val="Normal"/>
    <w:next w:val="Normal"/>
    <w:uiPriority w:val="39"/>
    <w:semiHidden/>
    <w:unhideWhenUsed/>
    <w:rsid w:val="00516D21"/>
    <w:pPr>
      <w:tabs>
        <w:tab w:val="right" w:leader="dot" w:pos="9071"/>
      </w:tabs>
      <w:spacing w:line="240" w:lineRule="auto"/>
    </w:pPr>
  </w:style>
  <w:style w:type="paragraph" w:styleId="TOC9">
    <w:name w:val="toc 9"/>
    <w:basedOn w:val="Normal"/>
    <w:next w:val="Normal"/>
    <w:uiPriority w:val="39"/>
    <w:semiHidden/>
    <w:unhideWhenUsed/>
    <w:rsid w:val="00516D21"/>
    <w:pPr>
      <w:tabs>
        <w:tab w:val="right" w:leader="dot" w:pos="9071"/>
      </w:tabs>
      <w:spacing w:line="240" w:lineRule="auto"/>
      <w:jc w:val="both"/>
    </w:pPr>
  </w:style>
  <w:style w:type="paragraph" w:customStyle="1" w:styleId="HeaderSensitivity">
    <w:name w:val="Header Sensitivity"/>
    <w:basedOn w:val="Normal"/>
    <w:rsid w:val="00516D21"/>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rPr>
  </w:style>
  <w:style w:type="paragraph" w:customStyle="1" w:styleId="HeaderSensitivityRight">
    <w:name w:val="Header Sensitivity Right"/>
    <w:basedOn w:val="Normal"/>
    <w:rsid w:val="00516D21"/>
    <w:pPr>
      <w:spacing w:before="0" w:line="240" w:lineRule="auto"/>
      <w:jc w:val="right"/>
    </w:pPr>
    <w:rPr>
      <w:sz w:val="28"/>
    </w:rPr>
  </w:style>
  <w:style w:type="paragraph" w:customStyle="1" w:styleId="FooterSensitivity">
    <w:name w:val="Footer Sensitivity"/>
    <w:basedOn w:val="Normal"/>
    <w:rsid w:val="00516D2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paragraph" w:customStyle="1" w:styleId="Text1">
    <w:name w:val="Text 1"/>
    <w:basedOn w:val="Normal"/>
    <w:rsid w:val="00516D21"/>
    <w:pPr>
      <w:spacing w:line="240" w:lineRule="auto"/>
      <w:ind w:left="850"/>
      <w:jc w:val="both"/>
    </w:pPr>
  </w:style>
  <w:style w:type="paragraph" w:customStyle="1" w:styleId="Text2">
    <w:name w:val="Text 2"/>
    <w:basedOn w:val="Normal"/>
    <w:rsid w:val="00516D21"/>
    <w:pPr>
      <w:spacing w:line="240" w:lineRule="auto"/>
      <w:ind w:left="1417"/>
      <w:jc w:val="both"/>
    </w:pPr>
  </w:style>
  <w:style w:type="paragraph" w:customStyle="1" w:styleId="Text3">
    <w:name w:val="Text 3"/>
    <w:basedOn w:val="Normal"/>
    <w:rsid w:val="00516D21"/>
    <w:pPr>
      <w:spacing w:line="240" w:lineRule="auto"/>
      <w:ind w:left="1984"/>
      <w:jc w:val="both"/>
    </w:pPr>
  </w:style>
  <w:style w:type="paragraph" w:customStyle="1" w:styleId="Text4">
    <w:name w:val="Text 4"/>
    <w:basedOn w:val="Normal"/>
    <w:rsid w:val="00516D21"/>
    <w:pPr>
      <w:spacing w:line="240" w:lineRule="auto"/>
      <w:ind w:left="2551"/>
      <w:jc w:val="both"/>
    </w:pPr>
  </w:style>
  <w:style w:type="paragraph" w:customStyle="1" w:styleId="NormalCentered">
    <w:name w:val="Normal Centered"/>
    <w:basedOn w:val="Normal"/>
    <w:rsid w:val="00516D21"/>
    <w:pPr>
      <w:spacing w:line="240" w:lineRule="auto"/>
      <w:jc w:val="center"/>
    </w:pPr>
  </w:style>
  <w:style w:type="paragraph" w:customStyle="1" w:styleId="NormalLeft">
    <w:name w:val="Normal Left"/>
    <w:basedOn w:val="Normal"/>
    <w:rsid w:val="00516D21"/>
    <w:pPr>
      <w:spacing w:line="240" w:lineRule="auto"/>
    </w:pPr>
  </w:style>
  <w:style w:type="paragraph" w:customStyle="1" w:styleId="NormalRight">
    <w:name w:val="Normal Right"/>
    <w:basedOn w:val="Normal"/>
    <w:rsid w:val="00516D21"/>
    <w:pPr>
      <w:spacing w:line="240" w:lineRule="auto"/>
      <w:jc w:val="right"/>
    </w:pPr>
  </w:style>
  <w:style w:type="paragraph" w:customStyle="1" w:styleId="QuotedText">
    <w:name w:val="Quoted Text"/>
    <w:basedOn w:val="Normal"/>
    <w:rsid w:val="00516D21"/>
    <w:pPr>
      <w:spacing w:line="240" w:lineRule="auto"/>
      <w:ind w:left="1417"/>
      <w:jc w:val="both"/>
    </w:pPr>
  </w:style>
  <w:style w:type="paragraph" w:customStyle="1" w:styleId="Point0">
    <w:name w:val="Point 0"/>
    <w:basedOn w:val="Normal"/>
    <w:rsid w:val="00516D21"/>
    <w:pPr>
      <w:spacing w:line="240" w:lineRule="auto"/>
      <w:ind w:left="850" w:hanging="850"/>
      <w:jc w:val="both"/>
    </w:pPr>
  </w:style>
  <w:style w:type="paragraph" w:customStyle="1" w:styleId="Point1">
    <w:name w:val="Point 1"/>
    <w:basedOn w:val="Normal"/>
    <w:rsid w:val="00516D21"/>
    <w:pPr>
      <w:spacing w:line="240" w:lineRule="auto"/>
      <w:ind w:left="1417" w:hanging="567"/>
      <w:jc w:val="both"/>
    </w:pPr>
  </w:style>
  <w:style w:type="paragraph" w:customStyle="1" w:styleId="Point2">
    <w:name w:val="Point 2"/>
    <w:basedOn w:val="Normal"/>
    <w:rsid w:val="00516D21"/>
    <w:pPr>
      <w:spacing w:line="240" w:lineRule="auto"/>
      <w:ind w:left="1984" w:hanging="567"/>
      <w:jc w:val="both"/>
    </w:pPr>
  </w:style>
  <w:style w:type="paragraph" w:customStyle="1" w:styleId="Point3">
    <w:name w:val="Point 3"/>
    <w:basedOn w:val="Normal"/>
    <w:rsid w:val="00516D21"/>
    <w:pPr>
      <w:spacing w:line="240" w:lineRule="auto"/>
      <w:ind w:left="2551" w:hanging="567"/>
      <w:jc w:val="both"/>
    </w:pPr>
  </w:style>
  <w:style w:type="paragraph" w:customStyle="1" w:styleId="Point4">
    <w:name w:val="Point 4"/>
    <w:basedOn w:val="Normal"/>
    <w:rsid w:val="00516D21"/>
    <w:pPr>
      <w:spacing w:line="240" w:lineRule="auto"/>
      <w:ind w:left="3118" w:hanging="567"/>
      <w:jc w:val="both"/>
    </w:pPr>
  </w:style>
  <w:style w:type="paragraph" w:customStyle="1" w:styleId="Tiret0">
    <w:name w:val="Tiret 0"/>
    <w:basedOn w:val="Point0"/>
    <w:rsid w:val="00516D21"/>
    <w:pPr>
      <w:numPr>
        <w:numId w:val="140"/>
      </w:numPr>
    </w:pPr>
  </w:style>
  <w:style w:type="paragraph" w:customStyle="1" w:styleId="Tiret1">
    <w:name w:val="Tiret 1"/>
    <w:basedOn w:val="Point1"/>
    <w:rsid w:val="00516D21"/>
    <w:pPr>
      <w:numPr>
        <w:numId w:val="141"/>
      </w:numPr>
    </w:pPr>
  </w:style>
  <w:style w:type="paragraph" w:customStyle="1" w:styleId="Tiret2">
    <w:name w:val="Tiret 2"/>
    <w:basedOn w:val="Point2"/>
    <w:rsid w:val="00516D21"/>
    <w:pPr>
      <w:numPr>
        <w:numId w:val="142"/>
      </w:numPr>
    </w:pPr>
  </w:style>
  <w:style w:type="paragraph" w:customStyle="1" w:styleId="Tiret3">
    <w:name w:val="Tiret 3"/>
    <w:basedOn w:val="Point3"/>
    <w:rsid w:val="00516D21"/>
    <w:pPr>
      <w:numPr>
        <w:numId w:val="143"/>
      </w:numPr>
    </w:pPr>
  </w:style>
  <w:style w:type="paragraph" w:customStyle="1" w:styleId="Tiret4">
    <w:name w:val="Tiret 4"/>
    <w:basedOn w:val="Point4"/>
    <w:rsid w:val="00516D21"/>
    <w:pPr>
      <w:numPr>
        <w:numId w:val="144"/>
      </w:numPr>
    </w:pPr>
  </w:style>
  <w:style w:type="paragraph" w:customStyle="1" w:styleId="PointDouble0">
    <w:name w:val="PointDouble 0"/>
    <w:basedOn w:val="Normal"/>
    <w:rsid w:val="00516D21"/>
    <w:pPr>
      <w:tabs>
        <w:tab w:val="left" w:pos="850"/>
      </w:tabs>
      <w:spacing w:line="240" w:lineRule="auto"/>
      <w:ind w:left="1417" w:hanging="1417"/>
      <w:jc w:val="both"/>
    </w:pPr>
  </w:style>
  <w:style w:type="paragraph" w:customStyle="1" w:styleId="PointDouble1">
    <w:name w:val="PointDouble 1"/>
    <w:basedOn w:val="Normal"/>
    <w:rsid w:val="00516D21"/>
    <w:pPr>
      <w:tabs>
        <w:tab w:val="left" w:pos="1417"/>
      </w:tabs>
      <w:spacing w:line="240" w:lineRule="auto"/>
      <w:ind w:left="1984" w:hanging="1134"/>
      <w:jc w:val="both"/>
    </w:pPr>
  </w:style>
  <w:style w:type="paragraph" w:customStyle="1" w:styleId="PointDouble2">
    <w:name w:val="PointDouble 2"/>
    <w:basedOn w:val="Normal"/>
    <w:rsid w:val="00516D21"/>
    <w:pPr>
      <w:tabs>
        <w:tab w:val="left" w:pos="1984"/>
      </w:tabs>
      <w:spacing w:line="240" w:lineRule="auto"/>
      <w:ind w:left="2551" w:hanging="1134"/>
      <w:jc w:val="both"/>
    </w:pPr>
  </w:style>
  <w:style w:type="paragraph" w:customStyle="1" w:styleId="PointDouble3">
    <w:name w:val="PointDouble 3"/>
    <w:basedOn w:val="Normal"/>
    <w:rsid w:val="00516D21"/>
    <w:pPr>
      <w:tabs>
        <w:tab w:val="left" w:pos="2551"/>
      </w:tabs>
      <w:spacing w:line="240" w:lineRule="auto"/>
      <w:ind w:left="3118" w:hanging="1134"/>
      <w:jc w:val="both"/>
    </w:pPr>
  </w:style>
  <w:style w:type="paragraph" w:customStyle="1" w:styleId="PointDouble4">
    <w:name w:val="PointDouble 4"/>
    <w:basedOn w:val="Normal"/>
    <w:rsid w:val="00516D21"/>
    <w:pPr>
      <w:tabs>
        <w:tab w:val="left" w:pos="3118"/>
      </w:tabs>
      <w:spacing w:line="240" w:lineRule="auto"/>
      <w:ind w:left="3685" w:hanging="1134"/>
      <w:jc w:val="both"/>
    </w:pPr>
  </w:style>
  <w:style w:type="paragraph" w:customStyle="1" w:styleId="PointTriple0">
    <w:name w:val="PointTriple 0"/>
    <w:basedOn w:val="Normal"/>
    <w:rsid w:val="00516D21"/>
    <w:pPr>
      <w:tabs>
        <w:tab w:val="left" w:pos="850"/>
        <w:tab w:val="left" w:pos="1417"/>
      </w:tabs>
      <w:spacing w:line="240" w:lineRule="auto"/>
      <w:ind w:left="1984" w:hanging="1984"/>
      <w:jc w:val="both"/>
    </w:pPr>
  </w:style>
  <w:style w:type="paragraph" w:customStyle="1" w:styleId="PointTriple1">
    <w:name w:val="PointTriple 1"/>
    <w:basedOn w:val="Normal"/>
    <w:rsid w:val="00516D21"/>
    <w:pPr>
      <w:tabs>
        <w:tab w:val="left" w:pos="1417"/>
        <w:tab w:val="left" w:pos="1984"/>
      </w:tabs>
      <w:spacing w:line="240" w:lineRule="auto"/>
      <w:ind w:left="2551" w:hanging="1701"/>
      <w:jc w:val="both"/>
    </w:pPr>
  </w:style>
  <w:style w:type="paragraph" w:customStyle="1" w:styleId="PointTriple2">
    <w:name w:val="PointTriple 2"/>
    <w:basedOn w:val="Normal"/>
    <w:rsid w:val="00516D21"/>
    <w:pPr>
      <w:tabs>
        <w:tab w:val="left" w:pos="1984"/>
        <w:tab w:val="left" w:pos="2551"/>
      </w:tabs>
      <w:spacing w:line="240" w:lineRule="auto"/>
      <w:ind w:left="3118" w:hanging="1701"/>
      <w:jc w:val="both"/>
    </w:pPr>
  </w:style>
  <w:style w:type="paragraph" w:customStyle="1" w:styleId="PointTriple3">
    <w:name w:val="PointTriple 3"/>
    <w:basedOn w:val="Normal"/>
    <w:rsid w:val="00516D21"/>
    <w:pPr>
      <w:tabs>
        <w:tab w:val="left" w:pos="2551"/>
        <w:tab w:val="left" w:pos="3118"/>
      </w:tabs>
      <w:spacing w:line="240" w:lineRule="auto"/>
      <w:ind w:left="3685" w:hanging="1701"/>
      <w:jc w:val="both"/>
    </w:pPr>
  </w:style>
  <w:style w:type="paragraph" w:customStyle="1" w:styleId="PointTriple4">
    <w:name w:val="PointTriple 4"/>
    <w:basedOn w:val="Normal"/>
    <w:rsid w:val="00516D21"/>
    <w:pPr>
      <w:tabs>
        <w:tab w:val="left" w:pos="3118"/>
        <w:tab w:val="left" w:pos="3685"/>
      </w:tabs>
      <w:spacing w:line="240" w:lineRule="auto"/>
      <w:ind w:left="4252" w:hanging="1701"/>
      <w:jc w:val="both"/>
    </w:pPr>
  </w:style>
  <w:style w:type="paragraph" w:customStyle="1" w:styleId="NumPar1">
    <w:name w:val="NumPar 1"/>
    <w:basedOn w:val="Normal"/>
    <w:next w:val="Text1"/>
    <w:rsid w:val="00516D21"/>
    <w:pPr>
      <w:numPr>
        <w:numId w:val="135"/>
      </w:numPr>
      <w:spacing w:line="240" w:lineRule="auto"/>
      <w:jc w:val="both"/>
    </w:pPr>
  </w:style>
  <w:style w:type="paragraph" w:customStyle="1" w:styleId="NumPar2">
    <w:name w:val="NumPar 2"/>
    <w:basedOn w:val="Normal"/>
    <w:next w:val="Text1"/>
    <w:rsid w:val="00516D21"/>
    <w:pPr>
      <w:numPr>
        <w:ilvl w:val="1"/>
        <w:numId w:val="135"/>
      </w:numPr>
      <w:spacing w:line="240" w:lineRule="auto"/>
      <w:jc w:val="both"/>
    </w:pPr>
  </w:style>
  <w:style w:type="paragraph" w:customStyle="1" w:styleId="NumPar3">
    <w:name w:val="NumPar 3"/>
    <w:basedOn w:val="Normal"/>
    <w:next w:val="Text1"/>
    <w:rsid w:val="00516D21"/>
    <w:pPr>
      <w:numPr>
        <w:ilvl w:val="2"/>
        <w:numId w:val="135"/>
      </w:numPr>
      <w:spacing w:line="240" w:lineRule="auto"/>
      <w:jc w:val="both"/>
    </w:pPr>
  </w:style>
  <w:style w:type="paragraph" w:customStyle="1" w:styleId="NumPar4">
    <w:name w:val="NumPar 4"/>
    <w:basedOn w:val="Normal"/>
    <w:next w:val="Text1"/>
    <w:rsid w:val="00516D21"/>
    <w:pPr>
      <w:numPr>
        <w:ilvl w:val="3"/>
        <w:numId w:val="135"/>
      </w:numPr>
      <w:spacing w:line="240" w:lineRule="auto"/>
      <w:jc w:val="both"/>
    </w:pPr>
  </w:style>
  <w:style w:type="paragraph" w:customStyle="1" w:styleId="ManualNumPar1">
    <w:name w:val="Manual NumPar 1"/>
    <w:basedOn w:val="Normal"/>
    <w:next w:val="Text1"/>
    <w:rsid w:val="00516D21"/>
    <w:pPr>
      <w:spacing w:line="240" w:lineRule="auto"/>
      <w:ind w:left="850" w:hanging="850"/>
      <w:jc w:val="both"/>
    </w:pPr>
  </w:style>
  <w:style w:type="paragraph" w:customStyle="1" w:styleId="ManualNumPar2">
    <w:name w:val="Manual NumPar 2"/>
    <w:basedOn w:val="Normal"/>
    <w:next w:val="Text1"/>
    <w:rsid w:val="00516D21"/>
    <w:pPr>
      <w:spacing w:line="240" w:lineRule="auto"/>
      <w:ind w:left="850" w:hanging="850"/>
      <w:jc w:val="both"/>
    </w:pPr>
  </w:style>
  <w:style w:type="paragraph" w:customStyle="1" w:styleId="ManualNumPar3">
    <w:name w:val="Manual NumPar 3"/>
    <w:basedOn w:val="Normal"/>
    <w:next w:val="Text1"/>
    <w:rsid w:val="00516D21"/>
    <w:pPr>
      <w:spacing w:line="240" w:lineRule="auto"/>
      <w:ind w:left="850" w:hanging="850"/>
      <w:jc w:val="both"/>
    </w:pPr>
  </w:style>
  <w:style w:type="paragraph" w:customStyle="1" w:styleId="ManualNumPar4">
    <w:name w:val="Manual NumPar 4"/>
    <w:basedOn w:val="Normal"/>
    <w:next w:val="Text1"/>
    <w:rsid w:val="00516D21"/>
    <w:pPr>
      <w:spacing w:line="240" w:lineRule="auto"/>
      <w:ind w:left="850" w:hanging="850"/>
      <w:jc w:val="both"/>
    </w:pPr>
  </w:style>
  <w:style w:type="paragraph" w:customStyle="1" w:styleId="QuotedNumPar">
    <w:name w:val="Quoted NumPar"/>
    <w:basedOn w:val="Normal"/>
    <w:rsid w:val="00516D21"/>
    <w:pPr>
      <w:spacing w:line="240" w:lineRule="auto"/>
      <w:ind w:left="1417" w:hanging="567"/>
      <w:jc w:val="both"/>
    </w:pPr>
  </w:style>
  <w:style w:type="paragraph" w:customStyle="1" w:styleId="ManualHeading1">
    <w:name w:val="Manual Heading 1"/>
    <w:basedOn w:val="Normal"/>
    <w:next w:val="Text1"/>
    <w:rsid w:val="00516D21"/>
    <w:pPr>
      <w:keepNext/>
      <w:tabs>
        <w:tab w:val="left" w:pos="850"/>
      </w:tabs>
      <w:spacing w:before="360" w:line="240" w:lineRule="auto"/>
      <w:ind w:left="850" w:hanging="850"/>
      <w:jc w:val="both"/>
      <w:outlineLvl w:val="0"/>
    </w:pPr>
    <w:rPr>
      <w:b/>
      <w:smallCaps/>
    </w:rPr>
  </w:style>
  <w:style w:type="paragraph" w:customStyle="1" w:styleId="ManualHeading2">
    <w:name w:val="Manual Heading 2"/>
    <w:basedOn w:val="Normal"/>
    <w:next w:val="Text1"/>
    <w:rsid w:val="00516D21"/>
    <w:pPr>
      <w:keepNext/>
      <w:tabs>
        <w:tab w:val="left" w:pos="850"/>
      </w:tabs>
      <w:spacing w:line="240" w:lineRule="auto"/>
      <w:ind w:left="850" w:hanging="850"/>
      <w:jc w:val="both"/>
      <w:outlineLvl w:val="1"/>
    </w:pPr>
    <w:rPr>
      <w:b/>
    </w:rPr>
  </w:style>
  <w:style w:type="paragraph" w:customStyle="1" w:styleId="ManualHeading3">
    <w:name w:val="Manual Heading 3"/>
    <w:basedOn w:val="Normal"/>
    <w:next w:val="Text1"/>
    <w:rsid w:val="00516D21"/>
    <w:pPr>
      <w:keepNext/>
      <w:tabs>
        <w:tab w:val="left" w:pos="850"/>
      </w:tabs>
      <w:spacing w:line="240" w:lineRule="auto"/>
      <w:ind w:left="850" w:hanging="850"/>
      <w:jc w:val="both"/>
      <w:outlineLvl w:val="2"/>
    </w:pPr>
    <w:rPr>
      <w:i/>
    </w:rPr>
  </w:style>
  <w:style w:type="paragraph" w:customStyle="1" w:styleId="ManualHeading4">
    <w:name w:val="Manual Heading 4"/>
    <w:basedOn w:val="Normal"/>
    <w:next w:val="Text1"/>
    <w:rsid w:val="00516D21"/>
    <w:pPr>
      <w:keepNext/>
      <w:tabs>
        <w:tab w:val="left" w:pos="850"/>
      </w:tabs>
      <w:spacing w:line="240" w:lineRule="auto"/>
      <w:ind w:left="850" w:hanging="850"/>
      <w:jc w:val="both"/>
      <w:outlineLvl w:val="3"/>
    </w:pPr>
  </w:style>
  <w:style w:type="paragraph" w:customStyle="1" w:styleId="ChapterTitle">
    <w:name w:val="ChapterTitle"/>
    <w:basedOn w:val="Normal"/>
    <w:next w:val="Normal"/>
    <w:rsid w:val="00516D21"/>
    <w:pPr>
      <w:keepNext/>
      <w:spacing w:after="360" w:line="240" w:lineRule="auto"/>
      <w:jc w:val="center"/>
    </w:pPr>
    <w:rPr>
      <w:b/>
      <w:sz w:val="32"/>
    </w:rPr>
  </w:style>
  <w:style w:type="paragraph" w:customStyle="1" w:styleId="PartTitle">
    <w:name w:val="PartTitle"/>
    <w:basedOn w:val="Normal"/>
    <w:next w:val="ChapterTitle"/>
    <w:rsid w:val="00516D21"/>
    <w:pPr>
      <w:keepNext/>
      <w:pageBreakBefore/>
      <w:spacing w:after="360" w:line="240" w:lineRule="auto"/>
      <w:jc w:val="center"/>
    </w:pPr>
    <w:rPr>
      <w:b/>
      <w:sz w:val="36"/>
    </w:rPr>
  </w:style>
  <w:style w:type="paragraph" w:customStyle="1" w:styleId="SectionTitle">
    <w:name w:val="SectionTitle"/>
    <w:basedOn w:val="Normal"/>
    <w:next w:val="Heading1"/>
    <w:rsid w:val="00516D21"/>
    <w:pPr>
      <w:keepNext/>
      <w:spacing w:after="360" w:line="240" w:lineRule="auto"/>
      <w:jc w:val="center"/>
    </w:pPr>
    <w:rPr>
      <w:b/>
      <w:smallCaps/>
      <w:sz w:val="28"/>
    </w:rPr>
  </w:style>
  <w:style w:type="paragraph" w:customStyle="1" w:styleId="TableTitle">
    <w:name w:val="Table Title"/>
    <w:basedOn w:val="Normal"/>
    <w:next w:val="Normal"/>
    <w:rsid w:val="00516D21"/>
    <w:pPr>
      <w:spacing w:line="240" w:lineRule="auto"/>
      <w:jc w:val="center"/>
    </w:pPr>
    <w:rPr>
      <w:b/>
    </w:rPr>
  </w:style>
  <w:style w:type="character" w:customStyle="1" w:styleId="Marker2">
    <w:name w:val="Marker2"/>
    <w:rsid w:val="00516D21"/>
    <w:rPr>
      <w:color w:val="FF0000"/>
      <w:shd w:val="clear" w:color="auto" w:fill="auto"/>
    </w:rPr>
  </w:style>
  <w:style w:type="paragraph" w:customStyle="1" w:styleId="Point0number">
    <w:name w:val="Point 0 (number)"/>
    <w:basedOn w:val="Normal"/>
    <w:rsid w:val="00516D21"/>
    <w:pPr>
      <w:tabs>
        <w:tab w:val="num" w:pos="850"/>
      </w:tabs>
      <w:spacing w:line="240" w:lineRule="auto"/>
      <w:ind w:left="850" w:hanging="850"/>
      <w:jc w:val="both"/>
    </w:pPr>
  </w:style>
  <w:style w:type="paragraph" w:customStyle="1" w:styleId="Point1number">
    <w:name w:val="Point 1 (number)"/>
    <w:basedOn w:val="Normal"/>
    <w:rsid w:val="00516D21"/>
    <w:pPr>
      <w:numPr>
        <w:ilvl w:val="2"/>
        <w:numId w:val="146"/>
      </w:numPr>
      <w:spacing w:line="240" w:lineRule="auto"/>
      <w:jc w:val="both"/>
    </w:pPr>
  </w:style>
  <w:style w:type="paragraph" w:customStyle="1" w:styleId="Point2number">
    <w:name w:val="Point 2 (number)"/>
    <w:basedOn w:val="Normal"/>
    <w:rsid w:val="00516D21"/>
    <w:pPr>
      <w:numPr>
        <w:ilvl w:val="4"/>
        <w:numId w:val="146"/>
      </w:numPr>
      <w:spacing w:line="240" w:lineRule="auto"/>
      <w:jc w:val="both"/>
    </w:pPr>
  </w:style>
  <w:style w:type="paragraph" w:customStyle="1" w:styleId="Point3number">
    <w:name w:val="Point 3 (number)"/>
    <w:basedOn w:val="Normal"/>
    <w:rsid w:val="00516D21"/>
    <w:pPr>
      <w:numPr>
        <w:ilvl w:val="6"/>
        <w:numId w:val="146"/>
      </w:numPr>
      <w:spacing w:line="240" w:lineRule="auto"/>
      <w:jc w:val="both"/>
    </w:pPr>
  </w:style>
  <w:style w:type="paragraph" w:customStyle="1" w:styleId="Point0letter">
    <w:name w:val="Point 0 (letter)"/>
    <w:basedOn w:val="Normal"/>
    <w:rsid w:val="00516D21"/>
    <w:pPr>
      <w:numPr>
        <w:ilvl w:val="1"/>
        <w:numId w:val="146"/>
      </w:numPr>
      <w:spacing w:line="240" w:lineRule="auto"/>
      <w:jc w:val="both"/>
    </w:pPr>
  </w:style>
  <w:style w:type="paragraph" w:customStyle="1" w:styleId="Point1letter">
    <w:name w:val="Point 1 (letter)"/>
    <w:basedOn w:val="Normal"/>
    <w:rsid w:val="00516D21"/>
    <w:pPr>
      <w:numPr>
        <w:ilvl w:val="3"/>
        <w:numId w:val="146"/>
      </w:numPr>
      <w:spacing w:line="240" w:lineRule="auto"/>
      <w:jc w:val="both"/>
    </w:pPr>
  </w:style>
  <w:style w:type="paragraph" w:customStyle="1" w:styleId="Point2letter">
    <w:name w:val="Point 2 (letter)"/>
    <w:basedOn w:val="Normal"/>
    <w:rsid w:val="00516D21"/>
    <w:pPr>
      <w:numPr>
        <w:ilvl w:val="5"/>
        <w:numId w:val="146"/>
      </w:numPr>
      <w:spacing w:line="240" w:lineRule="auto"/>
      <w:jc w:val="both"/>
    </w:pPr>
  </w:style>
  <w:style w:type="paragraph" w:customStyle="1" w:styleId="Point3letter">
    <w:name w:val="Point 3 (letter)"/>
    <w:basedOn w:val="Normal"/>
    <w:rsid w:val="00516D21"/>
    <w:pPr>
      <w:numPr>
        <w:ilvl w:val="7"/>
        <w:numId w:val="146"/>
      </w:numPr>
      <w:spacing w:line="240" w:lineRule="auto"/>
      <w:jc w:val="both"/>
    </w:pPr>
  </w:style>
  <w:style w:type="paragraph" w:customStyle="1" w:styleId="Point4letter">
    <w:name w:val="Point 4 (letter)"/>
    <w:basedOn w:val="Normal"/>
    <w:rsid w:val="00516D21"/>
    <w:pPr>
      <w:numPr>
        <w:ilvl w:val="8"/>
        <w:numId w:val="146"/>
      </w:numPr>
      <w:spacing w:line="240" w:lineRule="auto"/>
      <w:jc w:val="both"/>
    </w:pPr>
  </w:style>
  <w:style w:type="paragraph" w:customStyle="1" w:styleId="Bullet0">
    <w:name w:val="Bullet 0"/>
    <w:basedOn w:val="Normal"/>
    <w:rsid w:val="00516D21"/>
    <w:pPr>
      <w:numPr>
        <w:numId w:val="147"/>
      </w:numPr>
      <w:spacing w:line="240" w:lineRule="auto"/>
      <w:jc w:val="both"/>
    </w:pPr>
  </w:style>
  <w:style w:type="paragraph" w:customStyle="1" w:styleId="Bullet1">
    <w:name w:val="Bullet 1"/>
    <w:basedOn w:val="Normal"/>
    <w:rsid w:val="00516D21"/>
    <w:pPr>
      <w:numPr>
        <w:numId w:val="148"/>
      </w:numPr>
      <w:spacing w:line="240" w:lineRule="auto"/>
      <w:jc w:val="both"/>
    </w:pPr>
  </w:style>
  <w:style w:type="paragraph" w:customStyle="1" w:styleId="Bullet2">
    <w:name w:val="Bullet 2"/>
    <w:basedOn w:val="Normal"/>
    <w:rsid w:val="00516D21"/>
    <w:pPr>
      <w:numPr>
        <w:numId w:val="149"/>
      </w:numPr>
      <w:spacing w:line="240" w:lineRule="auto"/>
      <w:jc w:val="both"/>
    </w:pPr>
  </w:style>
  <w:style w:type="paragraph" w:customStyle="1" w:styleId="Bullet3">
    <w:name w:val="Bullet 3"/>
    <w:basedOn w:val="Normal"/>
    <w:rsid w:val="00516D21"/>
    <w:pPr>
      <w:numPr>
        <w:numId w:val="150"/>
      </w:numPr>
      <w:spacing w:line="240" w:lineRule="auto"/>
      <w:jc w:val="both"/>
    </w:pPr>
  </w:style>
  <w:style w:type="paragraph" w:customStyle="1" w:styleId="Bullet4">
    <w:name w:val="Bullet 4"/>
    <w:basedOn w:val="Normal"/>
    <w:rsid w:val="00516D21"/>
    <w:pPr>
      <w:numPr>
        <w:numId w:val="151"/>
      </w:numPr>
      <w:spacing w:line="240" w:lineRule="auto"/>
      <w:jc w:val="both"/>
    </w:pPr>
  </w:style>
  <w:style w:type="paragraph" w:customStyle="1" w:styleId="Langue">
    <w:name w:val="Langue"/>
    <w:basedOn w:val="Normal"/>
    <w:next w:val="Rfrenceinterne"/>
    <w:rsid w:val="00516D21"/>
    <w:pPr>
      <w:framePr w:wrap="around" w:vAnchor="page" w:hAnchor="text" w:xAlign="center" w:y="14741"/>
      <w:spacing w:after="600" w:line="240" w:lineRule="auto"/>
      <w:jc w:val="center"/>
    </w:pPr>
    <w:rPr>
      <w:b/>
      <w:caps/>
    </w:rPr>
  </w:style>
  <w:style w:type="paragraph" w:customStyle="1" w:styleId="Nomdelinstitution">
    <w:name w:val="Nom de l'institution"/>
    <w:basedOn w:val="Normal"/>
    <w:next w:val="Emission"/>
    <w:rsid w:val="00516D21"/>
    <w:pPr>
      <w:spacing w:after="0" w:line="240" w:lineRule="auto"/>
    </w:pPr>
    <w:rPr>
      <w:rFonts w:ascii="Arial" w:hAnsi="Arial" w:cs="Arial"/>
    </w:rPr>
  </w:style>
  <w:style w:type="paragraph" w:customStyle="1" w:styleId="Emission">
    <w:name w:val="Emission"/>
    <w:basedOn w:val="Normal"/>
    <w:next w:val="Rfrenceinstitutionnelle"/>
    <w:rsid w:val="00516D21"/>
    <w:pPr>
      <w:spacing w:after="0" w:line="240" w:lineRule="auto"/>
      <w:ind w:left="5103"/>
    </w:pPr>
  </w:style>
  <w:style w:type="paragraph" w:customStyle="1" w:styleId="Rfrenceinstitutionnelle">
    <w:name w:val="Référence institutionnelle"/>
    <w:basedOn w:val="Normal"/>
    <w:next w:val="Confidentialit"/>
    <w:rsid w:val="00516D21"/>
    <w:pPr>
      <w:spacing w:after="240" w:line="240" w:lineRule="auto"/>
      <w:ind w:left="5103"/>
    </w:pPr>
  </w:style>
  <w:style w:type="paragraph" w:customStyle="1" w:styleId="Pagedecouverture">
    <w:name w:val="Page de couverture"/>
    <w:basedOn w:val="Normal"/>
    <w:next w:val="Normal"/>
    <w:rsid w:val="00516D21"/>
    <w:pPr>
      <w:spacing w:after="0" w:line="240" w:lineRule="auto"/>
      <w:jc w:val="both"/>
    </w:pPr>
  </w:style>
  <w:style w:type="paragraph" w:customStyle="1" w:styleId="Declassification">
    <w:name w:val="Declassification"/>
    <w:basedOn w:val="Normal"/>
    <w:next w:val="Normal"/>
    <w:rsid w:val="00516D21"/>
    <w:pPr>
      <w:spacing w:after="0" w:line="240" w:lineRule="auto"/>
      <w:jc w:val="both"/>
    </w:pPr>
  </w:style>
  <w:style w:type="paragraph" w:customStyle="1" w:styleId="Disclaimer">
    <w:name w:val="Disclaimer"/>
    <w:basedOn w:val="Normal"/>
    <w:rsid w:val="00516D2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line="240" w:lineRule="auto"/>
      <w:jc w:val="both"/>
    </w:pPr>
  </w:style>
  <w:style w:type="paragraph" w:customStyle="1" w:styleId="SecurityMarking">
    <w:name w:val="SecurityMarking"/>
    <w:basedOn w:val="Normal"/>
    <w:rsid w:val="00516D21"/>
    <w:pPr>
      <w:spacing w:before="0" w:after="0" w:line="276" w:lineRule="auto"/>
      <w:ind w:left="5103"/>
    </w:pPr>
    <w:rPr>
      <w:rFonts w:eastAsiaTheme="minorHAnsi"/>
      <w:sz w:val="28"/>
    </w:rPr>
  </w:style>
  <w:style w:type="paragraph" w:customStyle="1" w:styleId="DateMarking">
    <w:name w:val="DateMarking"/>
    <w:basedOn w:val="Normal"/>
    <w:rsid w:val="00516D21"/>
    <w:pPr>
      <w:spacing w:before="0" w:after="0" w:line="276" w:lineRule="auto"/>
      <w:ind w:left="5103"/>
    </w:pPr>
    <w:rPr>
      <w:rFonts w:eastAsiaTheme="minorHAnsi"/>
      <w:i/>
      <w:sz w:val="28"/>
    </w:rPr>
  </w:style>
  <w:style w:type="paragraph" w:customStyle="1" w:styleId="ReleasableTo">
    <w:name w:val="ReleasableTo"/>
    <w:basedOn w:val="Normal"/>
    <w:rsid w:val="00516D21"/>
    <w:pPr>
      <w:spacing w:before="0" w:after="0" w:line="276" w:lineRule="auto"/>
      <w:ind w:left="5103"/>
    </w:pPr>
    <w:rPr>
      <w:rFonts w:eastAsiaTheme="minorHAnsi"/>
      <w:i/>
      <w:sz w:val="28"/>
    </w:rPr>
  </w:style>
  <w:style w:type="paragraph" w:customStyle="1" w:styleId="Annexetitreexpos">
    <w:name w:val="Annexe titre (exposé)"/>
    <w:basedOn w:val="Normal"/>
    <w:next w:val="Normal"/>
    <w:rsid w:val="00516D21"/>
    <w:pPr>
      <w:spacing w:line="240" w:lineRule="auto"/>
      <w:jc w:val="center"/>
    </w:pPr>
    <w:rPr>
      <w:b/>
      <w:u w:val="single"/>
    </w:rPr>
  </w:style>
  <w:style w:type="paragraph" w:customStyle="1" w:styleId="Annexetitre">
    <w:name w:val="Annexe titre"/>
    <w:basedOn w:val="Normal"/>
    <w:next w:val="Normal"/>
    <w:rsid w:val="00516D21"/>
    <w:pPr>
      <w:spacing w:line="240" w:lineRule="auto"/>
      <w:jc w:val="center"/>
    </w:pPr>
    <w:rPr>
      <w:b/>
      <w:u w:val="single"/>
    </w:rPr>
  </w:style>
  <w:style w:type="paragraph" w:customStyle="1" w:styleId="Annexetitrefichefinancire">
    <w:name w:val="Annexe titre (fiche financière)"/>
    <w:basedOn w:val="Normal"/>
    <w:next w:val="Normal"/>
    <w:rsid w:val="00516D21"/>
    <w:pPr>
      <w:spacing w:line="240" w:lineRule="auto"/>
      <w:jc w:val="center"/>
    </w:pPr>
    <w:rPr>
      <w:b/>
      <w:u w:val="single"/>
    </w:rPr>
  </w:style>
  <w:style w:type="paragraph" w:customStyle="1" w:styleId="Applicationdirecte">
    <w:name w:val="Application directe"/>
    <w:basedOn w:val="Normal"/>
    <w:next w:val="Fait"/>
    <w:rsid w:val="00516D21"/>
    <w:pPr>
      <w:spacing w:before="480" w:line="240" w:lineRule="auto"/>
      <w:jc w:val="both"/>
    </w:pPr>
  </w:style>
  <w:style w:type="paragraph" w:customStyle="1" w:styleId="Avertissementtitre">
    <w:name w:val="Avertissement titre"/>
    <w:basedOn w:val="Normal"/>
    <w:next w:val="Normal"/>
    <w:rsid w:val="00516D21"/>
    <w:pPr>
      <w:keepNext/>
      <w:spacing w:before="480" w:line="240" w:lineRule="auto"/>
      <w:jc w:val="both"/>
    </w:pPr>
    <w:rPr>
      <w:u w:val="single"/>
    </w:rPr>
  </w:style>
  <w:style w:type="paragraph" w:customStyle="1" w:styleId="Confidence">
    <w:name w:val="Confidence"/>
    <w:basedOn w:val="Normal"/>
    <w:next w:val="Normal"/>
    <w:rsid w:val="00516D21"/>
    <w:pPr>
      <w:spacing w:before="360" w:line="240" w:lineRule="auto"/>
      <w:jc w:val="center"/>
    </w:pPr>
  </w:style>
  <w:style w:type="paragraph" w:customStyle="1" w:styleId="Confidentialit">
    <w:name w:val="Confidentialité"/>
    <w:basedOn w:val="Normal"/>
    <w:next w:val="TypedudocumentPagedecouverture"/>
    <w:rsid w:val="00516D21"/>
    <w:pPr>
      <w:spacing w:before="240" w:after="240" w:line="240" w:lineRule="auto"/>
      <w:ind w:left="5103"/>
    </w:pPr>
    <w:rPr>
      <w:i/>
      <w:sz w:val="32"/>
    </w:rPr>
  </w:style>
  <w:style w:type="paragraph" w:customStyle="1" w:styleId="Considrant">
    <w:name w:val="Considérant"/>
    <w:basedOn w:val="Normal"/>
    <w:rsid w:val="00516D21"/>
    <w:pPr>
      <w:tabs>
        <w:tab w:val="num" w:pos="709"/>
      </w:tabs>
      <w:spacing w:line="240" w:lineRule="auto"/>
      <w:ind w:left="709" w:hanging="709"/>
      <w:jc w:val="both"/>
    </w:pPr>
  </w:style>
  <w:style w:type="paragraph" w:customStyle="1" w:styleId="Corrigendum">
    <w:name w:val="Corrigendum"/>
    <w:basedOn w:val="Normal"/>
    <w:next w:val="Normal"/>
    <w:rsid w:val="00516D21"/>
    <w:pPr>
      <w:spacing w:after="240" w:line="240" w:lineRule="auto"/>
    </w:pPr>
  </w:style>
  <w:style w:type="paragraph" w:customStyle="1" w:styleId="Datedadoption">
    <w:name w:val="Date d'adoption"/>
    <w:basedOn w:val="Normal"/>
    <w:next w:val="IntrtEEE"/>
    <w:rsid w:val="00516D21"/>
    <w:pPr>
      <w:spacing w:before="360" w:after="0" w:line="240" w:lineRule="auto"/>
      <w:jc w:val="center"/>
    </w:pPr>
    <w:rPr>
      <w:b/>
    </w:rPr>
  </w:style>
  <w:style w:type="paragraph" w:customStyle="1" w:styleId="Exposdesmotifstitre">
    <w:name w:val="Exposé des motifs titre"/>
    <w:basedOn w:val="Normal"/>
    <w:next w:val="Normal"/>
    <w:rsid w:val="00516D21"/>
    <w:pPr>
      <w:spacing w:line="240" w:lineRule="auto"/>
      <w:jc w:val="center"/>
    </w:pPr>
    <w:rPr>
      <w:b/>
      <w:u w:val="single"/>
    </w:rPr>
  </w:style>
  <w:style w:type="paragraph" w:customStyle="1" w:styleId="Fait">
    <w:name w:val="Fait à"/>
    <w:basedOn w:val="Normal"/>
    <w:next w:val="Institutionquisigne"/>
    <w:rsid w:val="00516D21"/>
    <w:pPr>
      <w:keepNext/>
      <w:spacing w:after="0" w:line="240" w:lineRule="auto"/>
      <w:jc w:val="both"/>
    </w:pPr>
  </w:style>
  <w:style w:type="paragraph" w:customStyle="1" w:styleId="Formuledadoption">
    <w:name w:val="Formule d'adoption"/>
    <w:basedOn w:val="Normal"/>
    <w:next w:val="Titrearticle"/>
    <w:rsid w:val="00516D21"/>
    <w:pPr>
      <w:keepNext/>
      <w:spacing w:line="240" w:lineRule="auto"/>
      <w:jc w:val="both"/>
    </w:pPr>
  </w:style>
  <w:style w:type="paragraph" w:customStyle="1" w:styleId="Institutionquiagit">
    <w:name w:val="Institution qui agit"/>
    <w:basedOn w:val="Normal"/>
    <w:next w:val="Normal"/>
    <w:rsid w:val="00516D21"/>
    <w:pPr>
      <w:keepNext/>
      <w:spacing w:before="600" w:line="240" w:lineRule="auto"/>
      <w:jc w:val="both"/>
    </w:pPr>
  </w:style>
  <w:style w:type="paragraph" w:customStyle="1" w:styleId="Institutionquisigne">
    <w:name w:val="Institution qui signe"/>
    <w:basedOn w:val="Normal"/>
    <w:next w:val="Personnequisigne"/>
    <w:rsid w:val="00516D21"/>
    <w:pPr>
      <w:keepNext/>
      <w:tabs>
        <w:tab w:val="left" w:pos="4252"/>
      </w:tabs>
      <w:spacing w:before="720" w:after="0" w:line="240" w:lineRule="auto"/>
      <w:jc w:val="both"/>
    </w:pPr>
    <w:rPr>
      <w:i/>
    </w:rPr>
  </w:style>
  <w:style w:type="paragraph" w:customStyle="1" w:styleId="ManualConsidrant">
    <w:name w:val="Manual Considérant"/>
    <w:basedOn w:val="Normal"/>
    <w:rsid w:val="00516D21"/>
    <w:pPr>
      <w:spacing w:line="240" w:lineRule="auto"/>
      <w:ind w:left="709" w:hanging="709"/>
      <w:jc w:val="both"/>
    </w:pPr>
  </w:style>
  <w:style w:type="paragraph" w:customStyle="1" w:styleId="Personnequisigne">
    <w:name w:val="Personne qui signe"/>
    <w:basedOn w:val="Normal"/>
    <w:next w:val="Institutionquisigne"/>
    <w:rsid w:val="00516D21"/>
    <w:pPr>
      <w:tabs>
        <w:tab w:val="left" w:pos="4252"/>
      </w:tabs>
      <w:spacing w:after="0" w:line="240" w:lineRule="auto"/>
    </w:pPr>
    <w:rPr>
      <w:i/>
    </w:rPr>
  </w:style>
  <w:style w:type="paragraph" w:customStyle="1" w:styleId="Rfrenceinterinstitutionnelle">
    <w:name w:val="Référence interinstitutionnelle"/>
    <w:basedOn w:val="Normal"/>
    <w:next w:val="Statut"/>
    <w:rsid w:val="00516D21"/>
    <w:pPr>
      <w:spacing w:after="0" w:line="240" w:lineRule="auto"/>
      <w:ind w:left="5103"/>
    </w:pPr>
  </w:style>
  <w:style w:type="paragraph" w:customStyle="1" w:styleId="Rfrenceinterne">
    <w:name w:val="Référence interne"/>
    <w:basedOn w:val="Normal"/>
    <w:next w:val="Rfrenceinterinstitutionnelle"/>
    <w:rsid w:val="00516D21"/>
    <w:pPr>
      <w:spacing w:after="0" w:line="240" w:lineRule="auto"/>
      <w:ind w:left="5103"/>
    </w:pPr>
  </w:style>
  <w:style w:type="paragraph" w:customStyle="1" w:styleId="Statut">
    <w:name w:val="Statut"/>
    <w:basedOn w:val="Normal"/>
    <w:next w:val="Typedudocument"/>
    <w:rsid w:val="00516D21"/>
    <w:pPr>
      <w:spacing w:after="240" w:line="240" w:lineRule="auto"/>
      <w:jc w:val="center"/>
    </w:pPr>
  </w:style>
  <w:style w:type="paragraph" w:customStyle="1" w:styleId="Titrearticle">
    <w:name w:val="Titre article"/>
    <w:basedOn w:val="Normal"/>
    <w:next w:val="Normal"/>
    <w:rsid w:val="00516D21"/>
    <w:pPr>
      <w:keepNext/>
      <w:spacing w:before="360" w:line="240" w:lineRule="auto"/>
      <w:jc w:val="center"/>
    </w:pPr>
    <w:rPr>
      <w:i/>
    </w:rPr>
  </w:style>
  <w:style w:type="paragraph" w:customStyle="1" w:styleId="Typedudocument">
    <w:name w:val="Type du document"/>
    <w:basedOn w:val="Normal"/>
    <w:next w:val="Accompagnant"/>
    <w:rsid w:val="00516D21"/>
    <w:pPr>
      <w:spacing w:before="360" w:after="180" w:line="240" w:lineRule="auto"/>
      <w:jc w:val="center"/>
    </w:pPr>
    <w:rPr>
      <w:b/>
    </w:rPr>
  </w:style>
  <w:style w:type="character" w:customStyle="1" w:styleId="Added">
    <w:name w:val="Added"/>
    <w:rsid w:val="00516D21"/>
    <w:rPr>
      <w:b/>
      <w:u w:val="single"/>
      <w:shd w:val="clear" w:color="auto" w:fill="auto"/>
    </w:rPr>
  </w:style>
  <w:style w:type="character" w:customStyle="1" w:styleId="Deleted">
    <w:name w:val="Deleted"/>
    <w:rsid w:val="00516D21"/>
    <w:rPr>
      <w:strike/>
      <w:dstrike w:val="0"/>
      <w:shd w:val="clear" w:color="auto" w:fill="auto"/>
    </w:rPr>
  </w:style>
  <w:style w:type="paragraph" w:customStyle="1" w:styleId="Address">
    <w:name w:val="Address"/>
    <w:basedOn w:val="Normal"/>
    <w:next w:val="Normal"/>
    <w:rsid w:val="00516D21"/>
    <w:pPr>
      <w:keepLines/>
      <w:ind w:left="3402"/>
    </w:pPr>
  </w:style>
  <w:style w:type="paragraph" w:customStyle="1" w:styleId="Objetexterne">
    <w:name w:val="Objet externe"/>
    <w:basedOn w:val="Normal"/>
    <w:next w:val="Normal"/>
    <w:rsid w:val="00516D21"/>
    <w:pPr>
      <w:spacing w:line="240" w:lineRule="auto"/>
      <w:jc w:val="both"/>
    </w:pPr>
    <w:rPr>
      <w:i/>
      <w:caps/>
    </w:rPr>
  </w:style>
  <w:style w:type="paragraph" w:customStyle="1" w:styleId="Supertitre">
    <w:name w:val="Supertitre"/>
    <w:basedOn w:val="Normal"/>
    <w:next w:val="Normal"/>
    <w:rsid w:val="00516D21"/>
    <w:pPr>
      <w:spacing w:after="600" w:line="240" w:lineRule="auto"/>
      <w:jc w:val="center"/>
    </w:pPr>
    <w:rPr>
      <w:b/>
    </w:rPr>
  </w:style>
  <w:style w:type="paragraph" w:customStyle="1" w:styleId="Languesfaisantfoi">
    <w:name w:val="Langues faisant foi"/>
    <w:basedOn w:val="Normal"/>
    <w:next w:val="Normal"/>
    <w:rsid w:val="00516D21"/>
    <w:pPr>
      <w:spacing w:before="360" w:after="0" w:line="240" w:lineRule="auto"/>
      <w:jc w:val="center"/>
    </w:pPr>
  </w:style>
  <w:style w:type="paragraph" w:customStyle="1" w:styleId="Rfrencecroise">
    <w:name w:val="Référence croisée"/>
    <w:basedOn w:val="Normal"/>
    <w:rsid w:val="00516D21"/>
    <w:pPr>
      <w:spacing w:after="0" w:line="240" w:lineRule="auto"/>
      <w:jc w:val="center"/>
    </w:pPr>
  </w:style>
  <w:style w:type="paragraph" w:customStyle="1" w:styleId="Fichefinanciretitre">
    <w:name w:val="Fiche financière titre"/>
    <w:basedOn w:val="Normal"/>
    <w:next w:val="Normal"/>
    <w:rsid w:val="00516D21"/>
    <w:pPr>
      <w:spacing w:line="240" w:lineRule="auto"/>
      <w:jc w:val="center"/>
    </w:pPr>
    <w:rPr>
      <w:b/>
      <w:u w:val="single"/>
    </w:rPr>
  </w:style>
  <w:style w:type="paragraph" w:customStyle="1" w:styleId="DatedadoptionPagedecouverture">
    <w:name w:val="Date d'adoption (Page de couverture)"/>
    <w:basedOn w:val="Datedadoption"/>
    <w:next w:val="IntrtEEEPagedecouverture"/>
    <w:rsid w:val="00516D21"/>
  </w:style>
  <w:style w:type="paragraph" w:customStyle="1" w:styleId="RfrenceinterinstitutionnellePagedecouverture">
    <w:name w:val="Référence interinstitutionnelle (Page de couverture)"/>
    <w:basedOn w:val="Rfrenceinterinstitutionnelle"/>
    <w:next w:val="Confidentialit"/>
    <w:rsid w:val="00516D21"/>
  </w:style>
  <w:style w:type="paragraph" w:customStyle="1" w:styleId="StatutPagedecouverture">
    <w:name w:val="Statut (Page de couverture)"/>
    <w:basedOn w:val="Statut"/>
    <w:next w:val="TypedudocumentPagedecouverture"/>
    <w:rsid w:val="00516D21"/>
  </w:style>
  <w:style w:type="paragraph" w:customStyle="1" w:styleId="TypedudocumentPagedecouverture">
    <w:name w:val="Type du document (Page de couverture)"/>
    <w:basedOn w:val="Typedudocument"/>
    <w:next w:val="AccompagnantPagedecouverture"/>
    <w:rsid w:val="00516D21"/>
  </w:style>
  <w:style w:type="paragraph" w:customStyle="1" w:styleId="Volume">
    <w:name w:val="Volume"/>
    <w:basedOn w:val="Normal"/>
    <w:next w:val="Confidentialit"/>
    <w:rsid w:val="00516D21"/>
    <w:pPr>
      <w:spacing w:after="240" w:line="240" w:lineRule="auto"/>
      <w:ind w:left="5103"/>
    </w:pPr>
  </w:style>
  <w:style w:type="paragraph" w:customStyle="1" w:styleId="IntrtEEE">
    <w:name w:val="Intérêt EEE"/>
    <w:basedOn w:val="Languesfaisantfoi"/>
    <w:next w:val="Normal"/>
    <w:rsid w:val="00516D21"/>
    <w:pPr>
      <w:spacing w:after="240"/>
    </w:pPr>
  </w:style>
  <w:style w:type="paragraph" w:customStyle="1" w:styleId="Accompagnant">
    <w:name w:val="Accompagnant"/>
    <w:basedOn w:val="Normal"/>
    <w:next w:val="Typeacteprincipal"/>
    <w:rsid w:val="00516D21"/>
    <w:pPr>
      <w:spacing w:before="180" w:after="240" w:line="240" w:lineRule="auto"/>
      <w:jc w:val="center"/>
    </w:pPr>
    <w:rPr>
      <w:b/>
    </w:rPr>
  </w:style>
  <w:style w:type="paragraph" w:customStyle="1" w:styleId="Typeacteprincipal">
    <w:name w:val="Type acte principal"/>
    <w:basedOn w:val="Normal"/>
    <w:next w:val="Objetacteprincipal"/>
    <w:rsid w:val="00516D21"/>
    <w:pPr>
      <w:spacing w:after="240" w:line="240" w:lineRule="auto"/>
      <w:jc w:val="center"/>
    </w:pPr>
    <w:rPr>
      <w:b/>
    </w:rPr>
  </w:style>
  <w:style w:type="paragraph" w:customStyle="1" w:styleId="Objetacteprincipal">
    <w:name w:val="Objet acte principal"/>
    <w:basedOn w:val="Normal"/>
    <w:next w:val="Titrearticle"/>
    <w:rsid w:val="00516D21"/>
    <w:pPr>
      <w:spacing w:after="360" w:line="240" w:lineRule="auto"/>
      <w:jc w:val="center"/>
    </w:pPr>
    <w:rPr>
      <w:b/>
    </w:rPr>
  </w:style>
  <w:style w:type="paragraph" w:customStyle="1" w:styleId="IntrtEEEPagedecouverture">
    <w:name w:val="Intérêt EEE (Page de couverture)"/>
    <w:basedOn w:val="IntrtEEE"/>
    <w:next w:val="Rfrencecroise"/>
    <w:rsid w:val="00516D21"/>
  </w:style>
  <w:style w:type="paragraph" w:customStyle="1" w:styleId="AccompagnantPagedecouverture">
    <w:name w:val="Accompagnant (Page de couverture)"/>
    <w:basedOn w:val="Accompagnant"/>
    <w:next w:val="TypeacteprincipalPagedecouverture"/>
    <w:rsid w:val="00516D21"/>
  </w:style>
  <w:style w:type="paragraph" w:customStyle="1" w:styleId="TypeacteprincipalPagedecouverture">
    <w:name w:val="Type acte principal (Page de couverture)"/>
    <w:basedOn w:val="Typeacteprincipal"/>
    <w:next w:val="ObjetacteprincipalPagedecouverture"/>
    <w:rsid w:val="00516D21"/>
  </w:style>
  <w:style w:type="paragraph" w:customStyle="1" w:styleId="ObjetacteprincipalPagedecouverture">
    <w:name w:val="Objet acte principal (Page de couverture)"/>
    <w:basedOn w:val="Objetacteprincipal"/>
    <w:next w:val="Rfrencecroise"/>
    <w:rsid w:val="00516D21"/>
  </w:style>
  <w:style w:type="paragraph" w:customStyle="1" w:styleId="LanguesfaisantfoiPagedecouverture">
    <w:name w:val="Langues faisant foi (Page de couverture)"/>
    <w:basedOn w:val="Normal"/>
    <w:next w:val="Normal"/>
    <w:rsid w:val="00516D21"/>
    <w:pPr>
      <w:spacing w:before="360" w:after="0" w:line="240" w:lineRule="auto"/>
      <w:jc w:val="center"/>
    </w:pPr>
  </w:style>
  <w:style w:type="character" w:styleId="FollowedHyperlink">
    <w:name w:val="FollowedHyperlink"/>
    <w:uiPriority w:val="99"/>
    <w:semiHidden/>
    <w:unhideWhenUsed/>
    <w:rsid w:val="00516D21"/>
    <w:rPr>
      <w:color w:val="954F72"/>
      <w:u w:val="single"/>
    </w:rPr>
  </w:style>
  <w:style w:type="paragraph" w:customStyle="1" w:styleId="msonormal0">
    <w:name w:val="msonormal"/>
    <w:basedOn w:val="Normal"/>
    <w:rsid w:val="00516D21"/>
    <w:pPr>
      <w:spacing w:before="100" w:beforeAutospacing="1" w:after="100" w:afterAutospacing="1" w:line="240" w:lineRule="auto"/>
    </w:pPr>
    <w:rPr>
      <w:rFonts w:eastAsia="Times New Roman"/>
    </w:rPr>
  </w:style>
  <w:style w:type="paragraph" w:customStyle="1" w:styleId="xl68">
    <w:name w:val="xl68"/>
    <w:basedOn w:val="Normal"/>
    <w:rsid w:val="00516D21"/>
    <w:pPr>
      <w:pBdr>
        <w:top w:val="single" w:sz="4" w:space="0" w:color="auto"/>
        <w:left w:val="single" w:sz="4" w:space="0" w:color="auto"/>
        <w:bottom w:val="single" w:sz="4" w:space="0" w:color="auto"/>
        <w:right w:val="single" w:sz="4" w:space="0" w:color="auto"/>
      </w:pBdr>
      <w:shd w:val="clear" w:color="B4C7E7" w:fill="BDD7EE"/>
      <w:spacing w:before="100" w:beforeAutospacing="1" w:after="100" w:afterAutospacing="1" w:line="240" w:lineRule="auto"/>
      <w:textAlignment w:val="center"/>
    </w:pPr>
    <w:rPr>
      <w:rFonts w:eastAsia="Times New Roman"/>
      <w:b/>
    </w:rPr>
  </w:style>
  <w:style w:type="paragraph" w:customStyle="1" w:styleId="xl69">
    <w:name w:val="xl69"/>
    <w:basedOn w:val="Normal"/>
    <w:rsid w:val="00516D21"/>
    <w:pPr>
      <w:spacing w:before="100" w:beforeAutospacing="1" w:after="100" w:afterAutospacing="1" w:line="240" w:lineRule="auto"/>
    </w:pPr>
    <w:rPr>
      <w:rFonts w:eastAsia="Times New Roman"/>
      <w:color w:val="000000"/>
    </w:rPr>
  </w:style>
  <w:style w:type="paragraph" w:customStyle="1" w:styleId="xl70">
    <w:name w:val="xl70"/>
    <w:basedOn w:val="Normal"/>
    <w:rsid w:val="00516D21"/>
    <w:pPr>
      <w:pBdr>
        <w:top w:val="single" w:sz="4" w:space="0" w:color="auto"/>
        <w:left w:val="single" w:sz="4" w:space="0" w:color="auto"/>
        <w:bottom w:val="single" w:sz="4" w:space="0" w:color="auto"/>
        <w:right w:val="single" w:sz="4" w:space="0" w:color="auto"/>
      </w:pBdr>
      <w:shd w:val="clear" w:color="B4C7E7" w:fill="BDD7EE"/>
      <w:spacing w:before="100" w:beforeAutospacing="1" w:after="100" w:afterAutospacing="1" w:line="240" w:lineRule="auto"/>
      <w:jc w:val="center"/>
      <w:textAlignment w:val="center"/>
    </w:pPr>
    <w:rPr>
      <w:rFonts w:eastAsia="Times New Roman"/>
      <w:b/>
    </w:rPr>
  </w:style>
  <w:style w:type="paragraph" w:customStyle="1" w:styleId="xl71">
    <w:name w:val="xl71"/>
    <w:basedOn w:val="Normal"/>
    <w:rsid w:val="00516D21"/>
    <w:pPr>
      <w:pBdr>
        <w:top w:val="single" w:sz="4" w:space="0" w:color="auto"/>
        <w:left w:val="single" w:sz="4" w:space="0" w:color="auto"/>
        <w:bottom w:val="single" w:sz="4" w:space="0" w:color="auto"/>
        <w:right w:val="single" w:sz="4" w:space="0" w:color="auto"/>
      </w:pBdr>
      <w:shd w:val="clear" w:color="B4C7E7" w:fill="BDD7EE"/>
      <w:spacing w:before="100" w:beforeAutospacing="1" w:after="100" w:afterAutospacing="1" w:line="240" w:lineRule="auto"/>
      <w:jc w:val="center"/>
      <w:textAlignment w:val="center"/>
    </w:pPr>
    <w:rPr>
      <w:rFonts w:eastAsia="Times New Roman"/>
      <w:b/>
    </w:rPr>
  </w:style>
  <w:style w:type="paragraph" w:customStyle="1" w:styleId="xl72">
    <w:name w:val="xl72"/>
    <w:basedOn w:val="Normal"/>
    <w:rsid w:val="00516D21"/>
    <w:pPr>
      <w:pBdr>
        <w:top w:val="single" w:sz="4" w:space="0" w:color="auto"/>
        <w:left w:val="single" w:sz="4" w:space="0" w:color="auto"/>
        <w:right w:val="single" w:sz="4" w:space="0" w:color="auto"/>
      </w:pBdr>
      <w:shd w:val="clear" w:color="B4C7E7" w:fill="BDD7EE"/>
      <w:spacing w:before="100" w:beforeAutospacing="1" w:after="100" w:afterAutospacing="1" w:line="240" w:lineRule="auto"/>
      <w:jc w:val="center"/>
      <w:textAlignment w:val="center"/>
    </w:pPr>
    <w:rPr>
      <w:rFonts w:eastAsia="Times New Roman"/>
      <w:b/>
    </w:rPr>
  </w:style>
  <w:style w:type="paragraph" w:customStyle="1" w:styleId="xl73">
    <w:name w:val="xl73"/>
    <w:basedOn w:val="Normal"/>
    <w:rsid w:val="00516D21"/>
    <w:pPr>
      <w:pBdr>
        <w:top w:val="single" w:sz="4" w:space="0" w:color="auto"/>
        <w:right w:val="single" w:sz="4" w:space="0" w:color="auto"/>
      </w:pBdr>
      <w:shd w:val="clear" w:color="B4C7E7" w:fill="BDD7EE"/>
      <w:spacing w:before="100" w:beforeAutospacing="1" w:after="100" w:afterAutospacing="1" w:line="240" w:lineRule="auto"/>
      <w:jc w:val="center"/>
      <w:textAlignment w:val="center"/>
    </w:pPr>
    <w:rPr>
      <w:rFonts w:eastAsia="Times New Roman"/>
      <w:b/>
    </w:rPr>
  </w:style>
  <w:style w:type="paragraph" w:customStyle="1" w:styleId="xl74">
    <w:name w:val="xl74"/>
    <w:basedOn w:val="Normal"/>
    <w:rsid w:val="00516D21"/>
    <w:pPr>
      <w:pBdr>
        <w:top w:val="single" w:sz="4" w:space="0" w:color="auto"/>
        <w:left w:val="single" w:sz="4" w:space="0" w:color="auto"/>
        <w:bottom w:val="single" w:sz="4" w:space="0" w:color="auto"/>
        <w:right w:val="single" w:sz="4" w:space="0" w:color="auto"/>
      </w:pBdr>
      <w:shd w:val="clear" w:color="CCFFCC" w:fill="C6EFCE"/>
      <w:spacing w:before="100" w:beforeAutospacing="1" w:after="100" w:afterAutospacing="1" w:line="240" w:lineRule="auto"/>
    </w:pPr>
    <w:rPr>
      <w:rFonts w:eastAsia="Times New Roman"/>
      <w:color w:val="006100"/>
    </w:rPr>
  </w:style>
  <w:style w:type="paragraph" w:customStyle="1" w:styleId="xl75">
    <w:name w:val="xl75"/>
    <w:basedOn w:val="Normal"/>
    <w:rsid w:val="00516D21"/>
    <w:pPr>
      <w:pBdr>
        <w:top w:val="single" w:sz="4" w:space="0" w:color="auto"/>
        <w:left w:val="single" w:sz="4" w:space="0" w:color="auto"/>
        <w:bottom w:val="single" w:sz="4" w:space="0" w:color="auto"/>
      </w:pBdr>
      <w:shd w:val="clear" w:color="B4C7E7" w:fill="BDD7EE"/>
      <w:spacing w:before="100" w:beforeAutospacing="1" w:after="100" w:afterAutospacing="1" w:line="240" w:lineRule="auto"/>
      <w:jc w:val="center"/>
      <w:textAlignment w:val="center"/>
    </w:pPr>
    <w:rPr>
      <w:rFonts w:eastAsia="Times New Roman"/>
      <w:b/>
    </w:rPr>
  </w:style>
  <w:style w:type="paragraph" w:customStyle="1" w:styleId="xl76">
    <w:name w:val="xl76"/>
    <w:basedOn w:val="Normal"/>
    <w:rsid w:val="00516D21"/>
    <w:pPr>
      <w:pBdr>
        <w:top w:val="single" w:sz="4" w:space="0" w:color="auto"/>
        <w:bottom w:val="single" w:sz="4" w:space="0" w:color="auto"/>
      </w:pBdr>
      <w:shd w:val="clear" w:color="B4C7E7" w:fill="BDD7EE"/>
      <w:spacing w:before="100" w:beforeAutospacing="1" w:after="100" w:afterAutospacing="1" w:line="240" w:lineRule="auto"/>
      <w:jc w:val="center"/>
      <w:textAlignment w:val="center"/>
    </w:pPr>
    <w:rPr>
      <w:rFonts w:eastAsia="Times New Roman"/>
      <w:b/>
    </w:rPr>
  </w:style>
  <w:style w:type="paragraph" w:customStyle="1" w:styleId="xl77">
    <w:name w:val="xl77"/>
    <w:basedOn w:val="Normal"/>
    <w:rsid w:val="00516D21"/>
    <w:pPr>
      <w:pBdr>
        <w:top w:val="single" w:sz="4" w:space="0" w:color="auto"/>
        <w:bottom w:val="single" w:sz="4" w:space="0" w:color="auto"/>
        <w:right w:val="single" w:sz="4" w:space="0" w:color="auto"/>
      </w:pBdr>
      <w:shd w:val="clear" w:color="B4C7E7" w:fill="BDD7EE"/>
      <w:spacing w:before="100" w:beforeAutospacing="1" w:after="100" w:afterAutospacing="1" w:line="240" w:lineRule="auto"/>
      <w:jc w:val="center"/>
      <w:textAlignment w:val="center"/>
    </w:pPr>
    <w:rPr>
      <w:rFonts w:eastAsia="Times New Roman"/>
      <w:b/>
    </w:rPr>
  </w:style>
  <w:style w:type="paragraph" w:customStyle="1" w:styleId="xl78">
    <w:name w:val="xl78"/>
    <w:basedOn w:val="Normal"/>
    <w:rsid w:val="00516D21"/>
    <w:pPr>
      <w:spacing w:before="100" w:beforeAutospacing="1" w:after="100" w:afterAutospacing="1" w:line="240" w:lineRule="auto"/>
    </w:pPr>
    <w:rPr>
      <w:rFonts w:eastAsia="Times New Roman"/>
      <w:color w:val="000000"/>
    </w:rPr>
  </w:style>
  <w:style w:type="paragraph" w:customStyle="1" w:styleId="xl79">
    <w:name w:val="xl79"/>
    <w:basedOn w:val="Normal"/>
    <w:rsid w:val="00516D21"/>
    <w:pPr>
      <w:pBdr>
        <w:left w:val="single" w:sz="4" w:space="0" w:color="auto"/>
        <w:bottom w:val="single" w:sz="4" w:space="0" w:color="auto"/>
        <w:right w:val="single" w:sz="4" w:space="0" w:color="auto"/>
      </w:pBdr>
      <w:shd w:val="clear" w:color="CCFFCC" w:fill="C6EFCE"/>
      <w:spacing w:before="100" w:beforeAutospacing="1" w:after="100" w:afterAutospacing="1" w:line="240" w:lineRule="auto"/>
      <w:jc w:val="center"/>
    </w:pPr>
    <w:rPr>
      <w:rFonts w:eastAsia="Times New Roman"/>
      <w:color w:val="006100"/>
    </w:rPr>
  </w:style>
  <w:style w:type="paragraph" w:customStyle="1" w:styleId="xl80">
    <w:name w:val="xl80"/>
    <w:basedOn w:val="Normal"/>
    <w:rsid w:val="00516D21"/>
    <w:pPr>
      <w:pBdr>
        <w:left w:val="single" w:sz="4" w:space="0" w:color="auto"/>
        <w:bottom w:val="single" w:sz="4" w:space="0" w:color="auto"/>
        <w:right w:val="single" w:sz="4" w:space="0" w:color="auto"/>
      </w:pBdr>
      <w:shd w:val="clear" w:color="CCFFCC" w:fill="C6EFCE"/>
      <w:spacing w:before="100" w:beforeAutospacing="1" w:after="100" w:afterAutospacing="1" w:line="240" w:lineRule="auto"/>
    </w:pPr>
    <w:rPr>
      <w:rFonts w:eastAsia="Times New Roman"/>
      <w:color w:val="006100"/>
    </w:rPr>
  </w:style>
  <w:style w:type="paragraph" w:customStyle="1" w:styleId="xl81">
    <w:name w:val="xl81"/>
    <w:basedOn w:val="Normal"/>
    <w:rsid w:val="00516D21"/>
    <w:pPr>
      <w:pBdr>
        <w:top w:val="single" w:sz="4" w:space="0" w:color="auto"/>
        <w:left w:val="single" w:sz="4" w:space="0" w:color="auto"/>
        <w:bottom w:val="single" w:sz="4" w:space="0" w:color="auto"/>
        <w:right w:val="single" w:sz="4" w:space="0" w:color="auto"/>
      </w:pBdr>
      <w:shd w:val="clear" w:color="CCFFCC" w:fill="C6EFCE"/>
      <w:spacing w:before="100" w:beforeAutospacing="1" w:after="100" w:afterAutospacing="1" w:line="240" w:lineRule="auto"/>
    </w:pPr>
    <w:rPr>
      <w:rFonts w:eastAsia="Times New Roman"/>
      <w:color w:val="006100"/>
    </w:rPr>
  </w:style>
  <w:style w:type="paragraph" w:customStyle="1" w:styleId="xl82">
    <w:name w:val="xl82"/>
    <w:basedOn w:val="Normal"/>
    <w:rsid w:val="00516D21"/>
    <w:pPr>
      <w:pBdr>
        <w:left w:val="single" w:sz="4" w:space="0" w:color="auto"/>
        <w:bottom w:val="single" w:sz="4" w:space="0" w:color="auto"/>
        <w:right w:val="single" w:sz="4" w:space="0" w:color="auto"/>
      </w:pBdr>
      <w:shd w:val="clear" w:color="CCFFCC" w:fill="C6EFCE"/>
      <w:spacing w:before="100" w:beforeAutospacing="1" w:after="100" w:afterAutospacing="1" w:line="240" w:lineRule="auto"/>
      <w:textAlignment w:val="top"/>
    </w:pPr>
    <w:rPr>
      <w:rFonts w:eastAsia="Times New Roman"/>
      <w:color w:val="006100"/>
    </w:rPr>
  </w:style>
  <w:style w:type="paragraph" w:customStyle="1" w:styleId="xl83">
    <w:name w:val="xl83"/>
    <w:basedOn w:val="Normal"/>
    <w:rsid w:val="00516D21"/>
    <w:pPr>
      <w:pBdr>
        <w:top w:val="single" w:sz="4" w:space="0" w:color="auto"/>
        <w:left w:val="single" w:sz="4" w:space="0" w:color="auto"/>
        <w:bottom w:val="single" w:sz="4" w:space="0" w:color="auto"/>
        <w:right w:val="single" w:sz="4" w:space="0" w:color="auto"/>
      </w:pBdr>
      <w:shd w:val="clear" w:color="CCFFCC" w:fill="C6EFCE"/>
      <w:spacing w:before="100" w:beforeAutospacing="1" w:after="100" w:afterAutospacing="1" w:line="240" w:lineRule="auto"/>
      <w:jc w:val="center"/>
    </w:pPr>
    <w:rPr>
      <w:rFonts w:eastAsia="Times New Roman"/>
      <w:color w:val="006100"/>
    </w:rPr>
  </w:style>
  <w:style w:type="paragraph" w:customStyle="1" w:styleId="xl84">
    <w:name w:val="xl84"/>
    <w:basedOn w:val="Normal"/>
    <w:rsid w:val="00516D21"/>
    <w:pPr>
      <w:pBdr>
        <w:top w:val="single" w:sz="4" w:space="0" w:color="auto"/>
        <w:left w:val="single" w:sz="4" w:space="0" w:color="auto"/>
        <w:right w:val="single" w:sz="4" w:space="0" w:color="auto"/>
      </w:pBdr>
      <w:shd w:val="clear" w:color="CCFFCC" w:fill="C6EFCE"/>
      <w:spacing w:before="100" w:beforeAutospacing="1" w:after="100" w:afterAutospacing="1" w:line="240" w:lineRule="auto"/>
      <w:textAlignment w:val="top"/>
    </w:pPr>
    <w:rPr>
      <w:rFonts w:eastAsia="Times New Roman"/>
      <w:color w:val="006100"/>
    </w:rPr>
  </w:style>
  <w:style w:type="paragraph" w:customStyle="1" w:styleId="xl85">
    <w:name w:val="xl85"/>
    <w:basedOn w:val="Normal"/>
    <w:rsid w:val="00516D21"/>
    <w:pPr>
      <w:pBdr>
        <w:top w:val="single" w:sz="4" w:space="0" w:color="auto"/>
        <w:left w:val="single" w:sz="4" w:space="0" w:color="auto"/>
        <w:bottom w:val="single" w:sz="4" w:space="0" w:color="auto"/>
        <w:right w:val="single" w:sz="4" w:space="0" w:color="auto"/>
      </w:pBdr>
      <w:shd w:val="clear" w:color="CCFFCC" w:fill="C6EFCE"/>
      <w:spacing w:before="100" w:beforeAutospacing="1" w:after="100" w:afterAutospacing="1" w:line="240" w:lineRule="auto"/>
      <w:textAlignment w:val="top"/>
    </w:pPr>
    <w:rPr>
      <w:rFonts w:eastAsia="Times New Roman"/>
      <w:color w:val="006100"/>
    </w:rPr>
  </w:style>
  <w:style w:type="paragraph" w:customStyle="1" w:styleId="xl86">
    <w:name w:val="xl86"/>
    <w:basedOn w:val="Normal"/>
    <w:rsid w:val="00516D21"/>
    <w:pPr>
      <w:spacing w:before="100" w:beforeAutospacing="1" w:after="100" w:afterAutospacing="1" w:line="240" w:lineRule="auto"/>
      <w:jc w:val="center"/>
    </w:pPr>
    <w:rPr>
      <w:rFonts w:eastAsia="Times New Roman"/>
      <w:color w:val="000000"/>
    </w:rPr>
  </w:style>
  <w:style w:type="paragraph" w:customStyle="1" w:styleId="xl87">
    <w:name w:val="xl87"/>
    <w:basedOn w:val="Normal"/>
    <w:rsid w:val="00516D21"/>
    <w:pPr>
      <w:pBdr>
        <w:top w:val="single" w:sz="4" w:space="0" w:color="auto"/>
        <w:bottom w:val="single" w:sz="4" w:space="0" w:color="auto"/>
        <w:right w:val="single" w:sz="4" w:space="0" w:color="auto"/>
      </w:pBdr>
      <w:shd w:val="clear" w:color="B4C7E7" w:fill="BDD7EE"/>
      <w:spacing w:before="100" w:beforeAutospacing="1" w:after="100" w:afterAutospacing="1" w:line="240" w:lineRule="auto"/>
      <w:textAlignment w:val="center"/>
    </w:pPr>
    <w:rPr>
      <w:rFonts w:eastAsia="Times New Roman"/>
      <w:b/>
    </w:rPr>
  </w:style>
  <w:style w:type="paragraph" w:customStyle="1" w:styleId="xl88">
    <w:name w:val="xl88"/>
    <w:basedOn w:val="Normal"/>
    <w:rsid w:val="00516D21"/>
    <w:pPr>
      <w:spacing w:before="100" w:beforeAutospacing="1" w:after="100" w:afterAutospacing="1" w:line="240" w:lineRule="auto"/>
      <w:jc w:val="center"/>
    </w:pPr>
    <w:rPr>
      <w:rFonts w:eastAsia="Times New Roman"/>
      <w:color w:val="000000"/>
    </w:rPr>
  </w:style>
  <w:style w:type="character" w:customStyle="1" w:styleId="normaltextrun">
    <w:name w:val="normaltextrun"/>
    <w:basedOn w:val="DefaultParagraphFont"/>
    <w:uiPriority w:val="1"/>
    <w:rsid w:val="00516D21"/>
  </w:style>
  <w:style w:type="paragraph" w:customStyle="1" w:styleId="paragraph">
    <w:name w:val="paragraph"/>
    <w:basedOn w:val="Normal"/>
    <w:rsid w:val="00516D21"/>
    <w:pPr>
      <w:spacing w:before="100" w:beforeAutospacing="1" w:after="100" w:afterAutospacing="1" w:line="240" w:lineRule="auto"/>
    </w:pPr>
    <w:rPr>
      <w:rFonts w:eastAsia="Times New Roman"/>
    </w:rPr>
  </w:style>
  <w:style w:type="character" w:customStyle="1" w:styleId="eop">
    <w:name w:val="eop"/>
    <w:basedOn w:val="DefaultParagraphFont"/>
    <w:rsid w:val="00516D21"/>
  </w:style>
  <w:style w:type="character" w:customStyle="1" w:styleId="tabchar">
    <w:name w:val="tabchar"/>
    <w:basedOn w:val="DefaultParagraphFont"/>
    <w:rsid w:val="00516D21"/>
  </w:style>
  <w:style w:type="paragraph" w:styleId="NormalWeb">
    <w:name w:val="Normal (Web)"/>
    <w:basedOn w:val="Normal"/>
    <w:uiPriority w:val="99"/>
    <w:unhideWhenUsed/>
    <w:rsid w:val="00516D21"/>
    <w:pPr>
      <w:spacing w:line="240" w:lineRule="auto"/>
      <w:jc w:val="both"/>
    </w:pPr>
  </w:style>
  <w:style w:type="paragraph" w:styleId="HTMLPreformatted">
    <w:name w:val="HTML Preformatted"/>
    <w:basedOn w:val="Normal"/>
    <w:link w:val="HTMLPreformattedChar"/>
    <w:uiPriority w:val="99"/>
    <w:semiHidden/>
    <w:unhideWhenUsed/>
    <w:rsid w:val="0051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516D21"/>
    <w:rPr>
      <w:rFonts w:ascii="Courier New" w:eastAsia="Times New Roman" w:hAnsi="Courier New" w:cs="Courier New"/>
    </w:rPr>
  </w:style>
  <w:style w:type="table" w:styleId="TableGrid">
    <w:name w:val="Table Grid"/>
    <w:aliases w:val="SGS Table Basic 1,CV table"/>
    <w:basedOn w:val="TableNormal"/>
    <w:uiPriority w:val="39"/>
    <w:rsid w:val="00516D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CoverPage">
    <w:name w:val="Footer Cover Page"/>
    <w:basedOn w:val="Normal"/>
    <w:link w:val="FooterCoverPageChar"/>
    <w:rsid w:val="00516D21"/>
    <w:pPr>
      <w:keepNext/>
      <w:tabs>
        <w:tab w:val="center" w:pos="4535"/>
        <w:tab w:val="right" w:pos="9071"/>
        <w:tab w:val="right" w:pos="9921"/>
      </w:tabs>
      <w:spacing w:before="360" w:after="0" w:line="240" w:lineRule="auto"/>
      <w:ind w:left="-850" w:right="-850"/>
      <w:outlineLvl w:val="0"/>
    </w:pPr>
  </w:style>
  <w:style w:type="character" w:customStyle="1" w:styleId="FooterCoverPageChar">
    <w:name w:val="Footer Cover Page Char"/>
    <w:link w:val="FooterCoverPage"/>
    <w:rsid w:val="00516D21"/>
    <w:rPr>
      <w:rFonts w:ascii="Times New Roman" w:hAnsi="Times New Roman"/>
      <w:sz w:val="24"/>
    </w:rPr>
  </w:style>
  <w:style w:type="paragraph" w:customStyle="1" w:styleId="HeaderCoverPage">
    <w:name w:val="Header Cover Page"/>
    <w:basedOn w:val="Normal"/>
    <w:link w:val="HeaderCoverPageChar"/>
    <w:rsid w:val="00516D21"/>
    <w:pPr>
      <w:keepNext/>
      <w:tabs>
        <w:tab w:val="center" w:pos="4535"/>
        <w:tab w:val="right" w:pos="9071"/>
      </w:tabs>
      <w:spacing w:before="0" w:line="240" w:lineRule="auto"/>
      <w:jc w:val="both"/>
      <w:outlineLvl w:val="0"/>
    </w:pPr>
  </w:style>
  <w:style w:type="character" w:customStyle="1" w:styleId="HeaderCoverPageChar">
    <w:name w:val="Header Cover Page Char"/>
    <w:link w:val="HeaderCoverPage"/>
    <w:rsid w:val="00516D21"/>
    <w:rPr>
      <w:rFonts w:ascii="Times New Roman" w:hAnsi="Times New Roman"/>
      <w:sz w:val="24"/>
    </w:rPr>
  </w:style>
  <w:style w:type="paragraph" w:styleId="Title">
    <w:name w:val="Title"/>
    <w:basedOn w:val="Normal"/>
    <w:next w:val="Normal"/>
    <w:link w:val="TitleChar"/>
    <w:rsid w:val="00516D21"/>
    <w:pPr>
      <w:keepNext/>
      <w:keepLines/>
      <w:spacing w:before="480" w:line="240" w:lineRule="auto"/>
      <w:jc w:val="both"/>
    </w:pPr>
    <w:rPr>
      <w:rFonts w:eastAsia="Times New Roman"/>
      <w:b/>
      <w:sz w:val="72"/>
    </w:rPr>
  </w:style>
  <w:style w:type="character" w:customStyle="1" w:styleId="TitleChar">
    <w:name w:val="Title Char"/>
    <w:basedOn w:val="DefaultParagraphFont"/>
    <w:link w:val="Title"/>
    <w:rsid w:val="00516D21"/>
    <w:rPr>
      <w:rFonts w:ascii="Times New Roman" w:eastAsia="Times New Roman" w:hAnsi="Times New Roman"/>
      <w:b/>
      <w:sz w:val="72"/>
    </w:rPr>
  </w:style>
  <w:style w:type="paragraph" w:styleId="Subtitle">
    <w:name w:val="Subtitle"/>
    <w:basedOn w:val="Normal"/>
    <w:next w:val="Normal"/>
    <w:link w:val="SubtitleChar"/>
    <w:rsid w:val="00516D21"/>
    <w:pPr>
      <w:keepNext/>
      <w:keepLines/>
      <w:spacing w:before="360" w:after="80" w:line="240" w:lineRule="auto"/>
      <w:jc w:val="both"/>
    </w:pPr>
    <w:rPr>
      <w:rFonts w:ascii="Georgia" w:eastAsia="Georgia" w:hAnsi="Georgia" w:cs="Georgia"/>
      <w:i/>
      <w:color w:val="666666"/>
      <w:sz w:val="48"/>
    </w:rPr>
  </w:style>
  <w:style w:type="character" w:customStyle="1" w:styleId="SubtitleChar">
    <w:name w:val="Subtitle Char"/>
    <w:basedOn w:val="DefaultParagraphFont"/>
    <w:link w:val="Subtitle"/>
    <w:rsid w:val="00516D21"/>
    <w:rPr>
      <w:rFonts w:ascii="Georgia" w:eastAsia="Georgia" w:hAnsi="Georgia" w:cs="Georgia"/>
      <w:i/>
      <w:color w:val="666666"/>
      <w:sz w:val="48"/>
    </w:rPr>
  </w:style>
  <w:style w:type="paragraph" w:customStyle="1" w:styleId="K-TextInfo">
    <w:name w:val="K-Text_Info"/>
    <w:basedOn w:val="Normal"/>
    <w:link w:val="K-TextInfoChar"/>
    <w:qFormat/>
    <w:rsid w:val="00516D21"/>
    <w:pPr>
      <w:autoSpaceDE w:val="0"/>
      <w:autoSpaceDN w:val="0"/>
      <w:adjustRightInd w:val="0"/>
      <w:spacing w:line="240" w:lineRule="auto"/>
      <w:jc w:val="both"/>
    </w:pPr>
    <w:rPr>
      <w:i/>
      <w:color w:val="548DD4"/>
      <w:sz w:val="23"/>
    </w:rPr>
  </w:style>
  <w:style w:type="character" w:customStyle="1" w:styleId="K-TextInfoChar">
    <w:name w:val="K-Text_Info Char"/>
    <w:link w:val="K-TextInfo"/>
    <w:rsid w:val="00516D21"/>
    <w:rPr>
      <w:rFonts w:ascii="Times New Roman" w:hAnsi="Times New Roman"/>
      <w:i/>
      <w:color w:val="548DD4"/>
      <w:sz w:val="23"/>
    </w:rPr>
  </w:style>
  <w:style w:type="table" w:customStyle="1" w:styleId="1">
    <w:name w:val="1"/>
    <w:basedOn w:val="TableNormal"/>
    <w:rsid w:val="00516D21"/>
    <w:pPr>
      <w:spacing w:before="120"/>
      <w:jc w:val="both"/>
    </w:pPr>
    <w:rPr>
      <w:rFonts w:ascii="Times New Roman" w:eastAsia="Times New Roman" w:hAnsi="Times New Roman"/>
      <w:sz w:val="24"/>
    </w:rPr>
    <w:tblPr>
      <w:tblStyleRowBandSize w:val="1"/>
      <w:tblStyleColBandSize w:val="1"/>
      <w:tblCellMar>
        <w:left w:w="115" w:type="dxa"/>
        <w:right w:w="115" w:type="dxa"/>
      </w:tblCellMar>
    </w:tblPr>
  </w:style>
  <w:style w:type="character" w:styleId="Emphasis">
    <w:name w:val="Emphasis"/>
    <w:uiPriority w:val="20"/>
    <w:qFormat/>
    <w:rsid w:val="00516D21"/>
    <w:rPr>
      <w:i/>
    </w:rPr>
  </w:style>
  <w:style w:type="character" w:customStyle="1" w:styleId="scxw43392095">
    <w:name w:val="scxw43392095"/>
    <w:rsid w:val="00516D21"/>
  </w:style>
  <w:style w:type="paragraph" w:customStyle="1" w:styleId="EntText">
    <w:name w:val="EntText"/>
    <w:basedOn w:val="Normal"/>
    <w:rsid w:val="00516D21"/>
    <w:rPr>
      <w:rFonts w:eastAsiaTheme="minorHAnsi"/>
    </w:rPr>
  </w:style>
  <w:style w:type="paragraph" w:customStyle="1" w:styleId="Lignefinal">
    <w:name w:val="Ligne final"/>
    <w:basedOn w:val="Normal"/>
    <w:next w:val="Normal"/>
    <w:rsid w:val="00516D21"/>
    <w:pPr>
      <w:pBdr>
        <w:bottom w:val="single" w:sz="4" w:space="0" w:color="000000"/>
      </w:pBdr>
      <w:spacing w:before="360"/>
      <w:ind w:left="3400" w:right="3400"/>
      <w:jc w:val="center"/>
    </w:pPr>
    <w:rPr>
      <w:rFonts w:eastAsiaTheme="minorHAnsi"/>
      <w:b/>
    </w:rPr>
  </w:style>
  <w:style w:type="paragraph" w:customStyle="1" w:styleId="pj">
    <w:name w:val="p.j."/>
    <w:basedOn w:val="Normal"/>
    <w:link w:val="pjChar"/>
    <w:rsid w:val="00516D21"/>
    <w:pPr>
      <w:spacing w:before="1200" w:line="240" w:lineRule="auto"/>
      <w:ind w:left="1440" w:hanging="1440"/>
    </w:pPr>
  </w:style>
  <w:style w:type="character" w:customStyle="1" w:styleId="pjChar">
    <w:name w:val="p.j. Char"/>
    <w:basedOn w:val="TechnicalBlockChar"/>
    <w:link w:val="pj"/>
    <w:rsid w:val="00516D21"/>
    <w:rPr>
      <w:rFonts w:ascii="Times New Roman" w:eastAsiaTheme="minorHAnsi" w:hAnsi="Times New Roman"/>
      <w:sz w:val="24"/>
    </w:rPr>
  </w:style>
  <w:style w:type="paragraph" w:customStyle="1" w:styleId="nbbordered">
    <w:name w:val="nb bordered"/>
    <w:basedOn w:val="Normal"/>
    <w:link w:val="nbborderedChar"/>
    <w:rsid w:val="00516D21"/>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b/>
    </w:rPr>
  </w:style>
  <w:style w:type="character" w:customStyle="1" w:styleId="nbborderedChar">
    <w:name w:val="nb bordered Char"/>
    <w:basedOn w:val="TechnicalBlockChar"/>
    <w:link w:val="nbbordered"/>
    <w:rsid w:val="00516D21"/>
    <w:rPr>
      <w:rFonts w:ascii="Times New Roman" w:eastAsiaTheme="minorHAnsi" w:hAnsi="Times New Roman"/>
      <w:b/>
      <w:sz w:val="24"/>
    </w:rPr>
  </w:style>
  <w:style w:type="character" w:customStyle="1" w:styleId="HeaderCouncilChar">
    <w:name w:val="Header Council Char"/>
    <w:basedOn w:val="DefaultParagraphFont"/>
    <w:link w:val="HeaderCouncil"/>
    <w:rsid w:val="00516D21"/>
    <w:rPr>
      <w:rFonts w:ascii="Times New Roman" w:hAnsi="Times New Roman"/>
      <w:sz w:val="2"/>
    </w:rPr>
  </w:style>
  <w:style w:type="character" w:customStyle="1" w:styleId="FooterCouncilChar">
    <w:name w:val="Footer Council Char"/>
    <w:basedOn w:val="DefaultParagraphFont"/>
    <w:link w:val="FooterCouncil"/>
    <w:rsid w:val="00516D21"/>
    <w:rPr>
      <w:rFonts w:ascii="Times New Roman" w:hAnsi="Times New Roman"/>
      <w:sz w:val="2"/>
    </w:rPr>
  </w:style>
  <w:style w:type="character" w:customStyle="1" w:styleId="Mention1">
    <w:name w:val="Mention1"/>
    <w:basedOn w:val="DefaultParagraphFont"/>
    <w:uiPriority w:val="99"/>
    <w:unhideWhenUsed/>
    <w:rsid w:val="00EF1A82"/>
    <w:rPr>
      <w:color w:val="2B579A"/>
      <w:shd w:val="clear" w:color="auto" w:fill="E6E6E6"/>
    </w:rPr>
  </w:style>
  <w:style w:type="paragraph" w:customStyle="1" w:styleId="K-Text">
    <w:name w:val="K-Text"/>
    <w:basedOn w:val="Normal"/>
    <w:link w:val="K-TextChar"/>
    <w:uiPriority w:val="1"/>
    <w:qFormat/>
    <w:rsid w:val="00F97503"/>
    <w:pPr>
      <w:jc w:val="both"/>
    </w:pPr>
    <w:rPr>
      <w:rFonts w:eastAsiaTheme="minorEastAsia"/>
      <w:sz w:val="23"/>
    </w:rPr>
  </w:style>
  <w:style w:type="character" w:customStyle="1" w:styleId="K-TextChar">
    <w:name w:val="K-Text Char"/>
    <w:basedOn w:val="DefaultParagraphFont"/>
    <w:link w:val="K-Text"/>
    <w:uiPriority w:val="1"/>
    <w:rsid w:val="00F97503"/>
    <w:rPr>
      <w:rFonts w:ascii="Times New Roman" w:eastAsiaTheme="minorEastAsia" w:hAnsi="Times New Roman"/>
      <w:sz w:val="23"/>
    </w:rPr>
  </w:style>
  <w:style w:type="paragraph" w:customStyle="1" w:styleId="TableParagraph">
    <w:name w:val="Table Paragraph"/>
    <w:basedOn w:val="Normal"/>
    <w:uiPriority w:val="1"/>
    <w:qFormat/>
    <w:rsid w:val="005E60F6"/>
    <w:pPr>
      <w:widowControl w:val="0"/>
      <w:spacing w:after="0"/>
    </w:pPr>
    <w:rPr>
      <w:rFonts w:eastAsia="Times New Roman"/>
    </w:rPr>
  </w:style>
  <w:style w:type="paragraph" w:customStyle="1" w:styleId="P68B1DB1-K-TextInfo20">
    <w:name w:val="P68B1DB1-K-TextInfo20"/>
    <w:basedOn w:val="Normal"/>
    <w:uiPriority w:val="1"/>
    <w:rsid w:val="00FD5BE1"/>
    <w:pPr>
      <w:jc w:val="both"/>
    </w:pPr>
    <w:rPr>
      <w:rFonts w:asciiTheme="minorHAnsi" w:eastAsiaTheme="minorEastAsia" w:hAnsiTheme="minorHAnsi" w:cstheme="minorBidi"/>
      <w:color w:val="000000" w:themeColor="text1"/>
      <w:sz w:val="22"/>
    </w:rPr>
  </w:style>
  <w:style w:type="paragraph" w:customStyle="1" w:styleId="P68B1DB1-Normln5">
    <w:name w:val="P68B1DB1-Normln5"/>
    <w:basedOn w:val="Normal"/>
    <w:uiPriority w:val="1"/>
    <w:rsid w:val="31DBF541"/>
    <w:pPr>
      <w:spacing w:after="160"/>
    </w:pPr>
    <w:rPr>
      <w:rFonts w:asciiTheme="minorHAnsi" w:eastAsiaTheme="minorEastAsia" w:hAnsiTheme="minorHAnsi" w:cstheme="minorBidi"/>
    </w:rPr>
  </w:style>
  <w:style w:type="paragraph" w:customStyle="1" w:styleId="P68B1DB1-Normln35">
    <w:name w:val="P68B1DB1-Normln35"/>
    <w:basedOn w:val="Normal"/>
    <w:uiPriority w:val="1"/>
    <w:rsid w:val="00543F46"/>
    <w:pPr>
      <w:spacing w:after="160"/>
    </w:pPr>
    <w:rPr>
      <w:rFonts w:asciiTheme="minorHAnsi" w:hAnsiTheme="minorHAnsi" w:cstheme="minorBidi"/>
    </w:rPr>
  </w:style>
  <w:style w:type="character" w:customStyle="1" w:styleId="Mention20">
    <w:name w:val="Mention20"/>
    <w:basedOn w:val="DefaultParagraphFont"/>
    <w:uiPriority w:val="99"/>
    <w:unhideWhenUsed/>
    <w:rsid w:val="00E86212"/>
    <w:rPr>
      <w:color w:val="2B579A"/>
      <w:shd w:val="clear" w:color="auto" w:fill="E1DFDD"/>
    </w:rPr>
  </w:style>
  <w:style w:type="character" w:customStyle="1" w:styleId="Mention2">
    <w:name w:val="Mention2"/>
    <w:basedOn w:val="DefaultParagraphFont"/>
    <w:uiPriority w:val="99"/>
    <w:unhideWhenUsed/>
    <w:rsid w:val="00540802"/>
    <w:rPr>
      <w:color w:val="2B579A"/>
      <w:shd w:val="clear" w:color="auto" w:fill="E1DFDD"/>
    </w:rPr>
  </w:style>
  <w:style w:type="character" w:customStyle="1" w:styleId="Mention200">
    <w:name w:val="Mention200"/>
    <w:basedOn w:val="DefaultParagraphFont"/>
    <w:uiPriority w:val="99"/>
    <w:unhideWhenUsed/>
    <w:rsid w:val="00E86212"/>
    <w:rPr>
      <w:color w:val="2B579A"/>
      <w:shd w:val="clear" w:color="auto" w:fill="E1DFDD"/>
    </w:rPr>
  </w:style>
  <w:style w:type="character" w:customStyle="1" w:styleId="Mention3">
    <w:name w:val="Mention3"/>
    <w:basedOn w:val="DefaultParagraphFont"/>
    <w:uiPriority w:val="99"/>
    <w:unhideWhenUsed/>
    <w:rsid w:val="002A530A"/>
    <w:rPr>
      <w:color w:val="2B579A"/>
      <w:shd w:val="clear" w:color="auto" w:fill="E6E6E6"/>
    </w:rPr>
  </w:style>
  <w:style w:type="paragraph" w:customStyle="1" w:styleId="P68B1DB1-Normal6">
    <w:name w:val="P68B1DB1-Normal6"/>
    <w:basedOn w:val="Normal"/>
    <w:uiPriority w:val="1"/>
    <w:rsid w:val="00E4134E"/>
    <w:rPr>
      <w:rFonts w:ascii="Calibri" w:hAnsi="Calibri" w:cs="Calibri"/>
    </w:rPr>
  </w:style>
  <w:style w:type="paragraph" w:customStyle="1" w:styleId="P68B1DB1-Normln3">
    <w:name w:val="P68B1DB1-Normln3"/>
    <w:basedOn w:val="Normal"/>
    <w:uiPriority w:val="1"/>
    <w:rsid w:val="00E4134E"/>
    <w:rPr>
      <w:rFonts w:ascii="Calibri" w:eastAsia="Roboto Condensed" w:hAnsi="Calibri" w:cs="Calibri"/>
    </w:rPr>
  </w:style>
  <w:style w:type="paragraph" w:customStyle="1" w:styleId="P68B1DB1-Normln32">
    <w:name w:val="P68B1DB1-Normln32"/>
    <w:basedOn w:val="Normal"/>
    <w:uiPriority w:val="1"/>
    <w:rsid w:val="00E4134E"/>
    <w:rPr>
      <w:rFonts w:ascii="Calibri Light" w:eastAsia="Calibri Light" w:hAnsi="Calibri Light" w:cs="Calibri Light"/>
    </w:rPr>
  </w:style>
  <w:style w:type="character" w:customStyle="1" w:styleId="Mention4">
    <w:name w:val="Mention4"/>
    <w:basedOn w:val="DefaultParagraphFont"/>
    <w:uiPriority w:val="99"/>
    <w:unhideWhenUsed/>
    <w:rsid w:val="005A6FB3"/>
    <w:rPr>
      <w:color w:val="2B579A"/>
      <w:shd w:val="clear" w:color="auto" w:fill="E1DFDD"/>
    </w:rPr>
  </w:style>
  <w:style w:type="character" w:customStyle="1" w:styleId="Mention40">
    <w:name w:val="Mention40"/>
    <w:basedOn w:val="DefaultParagraphFont"/>
    <w:uiPriority w:val="99"/>
    <w:unhideWhenUsed/>
    <w:rsid w:val="005A6FB3"/>
    <w:rPr>
      <w:color w:val="2B579A"/>
      <w:shd w:val="clear" w:color="auto" w:fill="E1DFDD"/>
    </w:rPr>
  </w:style>
  <w:style w:type="character" w:customStyle="1" w:styleId="UnresolvedMention1">
    <w:name w:val="Unresolved Mention1"/>
    <w:basedOn w:val="DefaultParagraphFont"/>
    <w:uiPriority w:val="99"/>
    <w:unhideWhenUsed/>
    <w:rsid w:val="00386E06"/>
    <w:rPr>
      <w:color w:val="605E5C"/>
      <w:shd w:val="clear" w:color="auto" w:fill="E1DFDD"/>
    </w:rPr>
  </w:style>
  <w:style w:type="paragraph" w:styleId="NoSpacing">
    <w:name w:val="No Spacing"/>
    <w:uiPriority w:val="1"/>
    <w:qFormat/>
    <w:rsid w:val="00EB06EF"/>
    <w:rPr>
      <w:rFonts w:ascii="Times New Roman" w:hAnsi="Times New Roman"/>
      <w:sz w:val="24"/>
    </w:rPr>
  </w:style>
  <w:style w:type="paragraph" w:customStyle="1" w:styleId="pf0">
    <w:name w:val="pf0"/>
    <w:basedOn w:val="Normal"/>
    <w:rsid w:val="00167EDC"/>
    <w:pPr>
      <w:spacing w:before="100" w:beforeAutospacing="1" w:after="100" w:afterAutospacing="1" w:line="240" w:lineRule="auto"/>
    </w:pPr>
    <w:rPr>
      <w:rFonts w:eastAsia="Times New Roman"/>
    </w:rPr>
  </w:style>
  <w:style w:type="character" w:customStyle="1" w:styleId="cf01">
    <w:name w:val="cf01"/>
    <w:basedOn w:val="DefaultParagraphFont"/>
    <w:rsid w:val="00167EDC"/>
    <w:rPr>
      <w:rFonts w:ascii="Segoe UI" w:hAnsi="Segoe UI" w:cs="Segoe UI" w:hint="default"/>
      <w:sz w:val="18"/>
    </w:rPr>
  </w:style>
  <w:style w:type="character" w:customStyle="1" w:styleId="cf21">
    <w:name w:val="cf21"/>
    <w:basedOn w:val="DefaultParagraphFont"/>
    <w:rsid w:val="00167EDC"/>
    <w:rPr>
      <w:rFonts w:ascii="Segoe UI" w:hAnsi="Segoe UI" w:cs="Segoe UI" w:hint="default"/>
      <w:sz w:val="18"/>
    </w:rPr>
  </w:style>
  <w:style w:type="character" w:customStyle="1" w:styleId="Mention400">
    <w:name w:val="Mention400"/>
    <w:basedOn w:val="DefaultParagraphFont"/>
    <w:uiPriority w:val="99"/>
    <w:unhideWhenUsed/>
    <w:rsid w:val="006138E7"/>
    <w:rPr>
      <w:color w:val="2B579A"/>
      <w:shd w:val="clear" w:color="auto" w:fill="E1DFDD"/>
    </w:rPr>
  </w:style>
  <w:style w:type="character" w:customStyle="1" w:styleId="Mention4000">
    <w:name w:val="Mention4000"/>
    <w:basedOn w:val="DefaultParagraphFont"/>
    <w:uiPriority w:val="99"/>
    <w:unhideWhenUsed/>
    <w:rsid w:val="006138E7"/>
    <w:rPr>
      <w:color w:val="2B579A"/>
      <w:shd w:val="clear" w:color="auto" w:fill="E1DFDD"/>
    </w:rPr>
  </w:style>
  <w:style w:type="character" w:customStyle="1" w:styleId="Mention40000">
    <w:name w:val="Mention40000"/>
    <w:basedOn w:val="DefaultParagraphFont"/>
    <w:uiPriority w:val="99"/>
    <w:unhideWhenUsed/>
    <w:rsid w:val="006138E7"/>
    <w:rPr>
      <w:color w:val="2B579A"/>
      <w:shd w:val="clear" w:color="auto" w:fill="E1DFDD"/>
    </w:rPr>
  </w:style>
  <w:style w:type="paragraph" w:customStyle="1" w:styleId="LegalNumPar">
    <w:name w:val="LegalNumPar"/>
    <w:basedOn w:val="Normal"/>
    <w:rsid w:val="006138E7"/>
    <w:pPr>
      <w:spacing w:before="0" w:after="160" w:line="259" w:lineRule="auto"/>
      <w:ind w:left="476" w:hanging="476"/>
    </w:pPr>
    <w:rPr>
      <w:rFonts w:asciiTheme="minorHAnsi" w:eastAsiaTheme="minorHAnsi" w:hAnsiTheme="minorHAnsi" w:cstheme="minorBidi"/>
      <w:sz w:val="22"/>
    </w:rPr>
  </w:style>
  <w:style w:type="paragraph" w:customStyle="1" w:styleId="LegalNumPar2">
    <w:name w:val="LegalNumPar2"/>
    <w:basedOn w:val="Normal"/>
    <w:rsid w:val="006138E7"/>
    <w:pPr>
      <w:spacing w:before="0" w:after="160" w:line="259" w:lineRule="auto"/>
      <w:ind w:left="953" w:hanging="477"/>
    </w:pPr>
    <w:rPr>
      <w:rFonts w:asciiTheme="minorHAnsi" w:eastAsiaTheme="minorHAnsi" w:hAnsiTheme="minorHAnsi" w:cstheme="minorBidi"/>
      <w:sz w:val="22"/>
    </w:rPr>
  </w:style>
  <w:style w:type="paragraph" w:customStyle="1" w:styleId="LegalNumPar3">
    <w:name w:val="LegalNumPar3"/>
    <w:basedOn w:val="Normal"/>
    <w:rsid w:val="006138E7"/>
    <w:pPr>
      <w:spacing w:before="0" w:after="160" w:line="259" w:lineRule="auto"/>
      <w:ind w:left="1429" w:hanging="476"/>
    </w:pPr>
    <w:rPr>
      <w:rFonts w:asciiTheme="minorHAnsi" w:eastAsiaTheme="minorHAnsi" w:hAnsiTheme="minorHAnsi" w:cstheme="minorBidi"/>
      <w:sz w:val="22"/>
    </w:rPr>
  </w:style>
  <w:style w:type="character" w:customStyle="1" w:styleId="Mention400000">
    <w:name w:val="Mention400000"/>
    <w:basedOn w:val="DefaultParagraphFont"/>
    <w:uiPriority w:val="99"/>
    <w:unhideWhenUsed/>
    <w:rsid w:val="005D5607"/>
    <w:rPr>
      <w:color w:val="2B579A"/>
      <w:shd w:val="clear" w:color="auto" w:fill="E1DFDD"/>
    </w:rPr>
  </w:style>
  <w:style w:type="character" w:customStyle="1" w:styleId="Mention5">
    <w:name w:val="Mention5"/>
    <w:basedOn w:val="DefaultParagraphFont"/>
    <w:uiPriority w:val="99"/>
    <w:unhideWhenUsed/>
    <w:rsid w:val="005D5607"/>
    <w:rPr>
      <w:color w:val="2B579A"/>
      <w:shd w:val="clear" w:color="auto" w:fill="E6E6E6"/>
    </w:rPr>
  </w:style>
  <w:style w:type="character" w:customStyle="1" w:styleId="Mention6">
    <w:name w:val="Mention6"/>
    <w:basedOn w:val="DefaultParagraphFont"/>
    <w:uiPriority w:val="99"/>
    <w:unhideWhenUsed/>
    <w:rsid w:val="00BD32EE"/>
    <w:rPr>
      <w:color w:val="2B579A"/>
      <w:shd w:val="clear" w:color="auto" w:fill="E1DFDD"/>
    </w:rPr>
  </w:style>
  <w:style w:type="character" w:customStyle="1" w:styleId="Mention7">
    <w:name w:val="Mention7"/>
    <w:basedOn w:val="DefaultParagraphFont"/>
    <w:uiPriority w:val="99"/>
    <w:unhideWhenUsed/>
    <w:rsid w:val="00784A06"/>
    <w:rPr>
      <w:color w:val="2B579A"/>
      <w:shd w:val="clear" w:color="auto" w:fill="E1DFDD"/>
    </w:rPr>
  </w:style>
  <w:style w:type="paragraph" w:customStyle="1" w:styleId="P68B1DB1-Normal1">
    <w:name w:val="P68B1DB1-Normal1"/>
    <w:basedOn w:val="Normal"/>
    <w:rPr>
      <w:b/>
      <w:smallCaps/>
      <w:u w:val="single"/>
    </w:rPr>
  </w:style>
  <w:style w:type="paragraph" w:customStyle="1" w:styleId="P68B1DB1-Normal2">
    <w:name w:val="P68B1DB1-Normal2"/>
    <w:basedOn w:val="Normal"/>
    <w:rPr>
      <w:b/>
      <w:smallCaps/>
    </w:rPr>
  </w:style>
  <w:style w:type="paragraph" w:customStyle="1" w:styleId="P68B1DB1-Normal3">
    <w:name w:val="P68B1DB1-Normal3"/>
    <w:basedOn w:val="Normal"/>
    <w:rPr>
      <w:rFonts w:eastAsia="Times New Roman"/>
    </w:rPr>
  </w:style>
  <w:style w:type="paragraph" w:customStyle="1" w:styleId="P68B1DB1-Normal4">
    <w:name w:val="P68B1DB1-Normal4"/>
    <w:basedOn w:val="Normal"/>
    <w:rPr>
      <w:rFonts w:eastAsia="Times New Roman"/>
      <w:color w:val="000000"/>
    </w:rPr>
  </w:style>
  <w:style w:type="paragraph" w:customStyle="1" w:styleId="P68B1DB1-Normal5">
    <w:name w:val="P68B1DB1-Normal5"/>
    <w:basedOn w:val="Normal"/>
    <w:rPr>
      <w:b/>
      <w:u w:val="single"/>
    </w:rPr>
  </w:style>
  <w:style w:type="paragraph" w:customStyle="1" w:styleId="P68B1DB1-Normal7">
    <w:name w:val="P68B1DB1-Normal7"/>
    <w:basedOn w:val="Normal"/>
    <w:rPr>
      <w:b/>
    </w:rPr>
  </w:style>
  <w:style w:type="paragraph" w:customStyle="1" w:styleId="P68B1DB1-Normal8">
    <w:name w:val="P68B1DB1-Normal8"/>
    <w:basedOn w:val="Normal"/>
    <w:rPr>
      <w:b/>
      <w:color w:val="000000"/>
      <w:u w:val="single"/>
    </w:rPr>
  </w:style>
  <w:style w:type="paragraph" w:customStyle="1" w:styleId="P68B1DB1-Normal9">
    <w:name w:val="P68B1DB1-Normal9"/>
    <w:basedOn w:val="Normal"/>
    <w:rPr>
      <w:rFonts w:eastAsia="Times New Roman"/>
      <w:b/>
      <w:sz w:val="18"/>
    </w:rPr>
  </w:style>
  <w:style w:type="paragraph" w:customStyle="1" w:styleId="P68B1DB1-Normal10">
    <w:name w:val="P68B1DB1-Normal10"/>
    <w:basedOn w:val="Normal"/>
    <w:rPr>
      <w:rFonts w:eastAsia="Times New Roman"/>
      <w:sz w:val="18"/>
    </w:rPr>
  </w:style>
  <w:style w:type="paragraph" w:customStyle="1" w:styleId="P68B1DB1-Normal11">
    <w:name w:val="P68B1DB1-Normal11"/>
    <w:basedOn w:val="Normal"/>
    <w:rPr>
      <w:rFonts w:eastAsia="Times New Roman"/>
      <w:color w:val="006100"/>
      <w:sz w:val="18"/>
    </w:rPr>
  </w:style>
  <w:style w:type="paragraph" w:customStyle="1" w:styleId="P68B1DB1-Normal12">
    <w:name w:val="P68B1DB1-Normal12"/>
    <w:basedOn w:val="Normal"/>
    <w:rPr>
      <w:sz w:val="18"/>
    </w:rPr>
  </w:style>
  <w:style w:type="paragraph" w:customStyle="1" w:styleId="P68B1DB1-Normal13">
    <w:name w:val="P68B1DB1-Normal13"/>
    <w:basedOn w:val="Normal"/>
    <w:rPr>
      <w:color w:val="000000"/>
    </w:rPr>
  </w:style>
  <w:style w:type="paragraph" w:customStyle="1" w:styleId="P68B1DB1-Normal14">
    <w:name w:val="P68B1DB1-Normal14"/>
    <w:basedOn w:val="Normal"/>
    <w:rPr>
      <w:b/>
      <w:color w:val="000000"/>
    </w:rPr>
  </w:style>
  <w:style w:type="paragraph" w:customStyle="1" w:styleId="P68B1DB1-Normal15">
    <w:name w:val="P68B1DB1-Normal15"/>
    <w:basedOn w:val="Normal"/>
    <w:rPr>
      <w:rFonts w:eastAsia="Times New Roman"/>
      <w:color w:val="004300"/>
      <w:sz w:val="18"/>
    </w:rPr>
  </w:style>
  <w:style w:type="paragraph" w:customStyle="1" w:styleId="P68B1DB1-Normal16">
    <w:name w:val="P68B1DB1-Normal16"/>
    <w:basedOn w:val="Normal"/>
    <w:rPr>
      <w:color w:val="004300"/>
      <w:sz w:val="18"/>
    </w:rPr>
  </w:style>
  <w:style w:type="paragraph" w:customStyle="1" w:styleId="P68B1DB1-P68B1DB1-Normln3517">
    <w:name w:val="P68B1DB1-P68B1DB1-Normln3517"/>
    <w:basedOn w:val="P68B1DB1-Normln35"/>
    <w:rPr>
      <w:rFonts w:ascii="Times New Roman" w:eastAsia="Times New Roman" w:hAnsi="Times New Roman" w:cs="Times New Roman"/>
      <w:b/>
      <w:color w:val="000000" w:themeColor="text1"/>
    </w:rPr>
  </w:style>
  <w:style w:type="paragraph" w:customStyle="1" w:styleId="P68B1DB1-Normal18">
    <w:name w:val="P68B1DB1-Normal18"/>
    <w:basedOn w:val="Normal"/>
    <w:rPr>
      <w:rFonts w:eastAsia="Times New Roman"/>
      <w:b/>
      <w:color w:val="000000" w:themeColor="text1"/>
    </w:rPr>
  </w:style>
  <w:style w:type="paragraph" w:customStyle="1" w:styleId="P68B1DB1-P68B1DB1-Normln3519">
    <w:name w:val="P68B1DB1-P68B1DB1-Normln3519"/>
    <w:basedOn w:val="P68B1DB1-Normln35"/>
    <w:rPr>
      <w:rFonts w:ascii="Times New Roman" w:eastAsia="Times New Roman" w:hAnsi="Times New Roman" w:cs="Times New Roman"/>
      <w:color w:val="000000" w:themeColor="text1"/>
    </w:rPr>
  </w:style>
  <w:style w:type="paragraph" w:customStyle="1" w:styleId="P68B1DB1-ListParagraph20">
    <w:name w:val="P68B1DB1-ListParagraph20"/>
    <w:basedOn w:val="ListParagraph"/>
    <w:rPr>
      <w:rFonts w:ascii="Times New Roman" w:hAnsi="Times New Roman"/>
      <w:color w:val="004300"/>
      <w:sz w:val="18"/>
    </w:rPr>
  </w:style>
  <w:style w:type="paragraph" w:customStyle="1" w:styleId="P68B1DB1-ListParagraph21">
    <w:name w:val="P68B1DB1-ListParagraph21"/>
    <w:basedOn w:val="ListParagraph"/>
    <w:rPr>
      <w:color w:val="004300"/>
      <w:sz w:val="18"/>
    </w:rPr>
  </w:style>
  <w:style w:type="paragraph" w:customStyle="1" w:styleId="P68B1DB1-Normal22">
    <w:name w:val="P68B1DB1-Normal22"/>
    <w:basedOn w:val="Normal"/>
    <w:rPr>
      <w:color w:val="000000"/>
      <w:shd w:val="clear" w:color="auto" w:fill="FFFFFF"/>
    </w:rPr>
  </w:style>
  <w:style w:type="paragraph" w:customStyle="1" w:styleId="P68B1DB1-ListParagraph23">
    <w:name w:val="P68B1DB1-ListParagraph23"/>
    <w:basedOn w:val="ListParagraph"/>
    <w:rPr>
      <w:rFonts w:ascii="Times New Roman" w:hAnsi="Times New Roman"/>
      <w:sz w:val="24"/>
    </w:rPr>
  </w:style>
  <w:style w:type="paragraph" w:customStyle="1" w:styleId="P68B1DB1-LegalNumPar24">
    <w:name w:val="P68B1DB1-LegalNumPar24"/>
    <w:basedOn w:val="LegalNumPar"/>
    <w:rPr>
      <w:rFonts w:ascii="Times New Roman" w:hAnsi="Times New Roman" w:cs="Times New Roman"/>
      <w:sz w:val="24"/>
    </w:rPr>
  </w:style>
  <w:style w:type="paragraph" w:customStyle="1" w:styleId="P68B1DB1-LegalNumPar225">
    <w:name w:val="P68B1DB1-LegalNumPar225"/>
    <w:basedOn w:val="LegalNumPar2"/>
    <w:rPr>
      <w:rFonts w:ascii="Times New Roman" w:hAnsi="Times New Roman" w:cs="Times New Roman"/>
      <w:sz w:val="24"/>
    </w:rPr>
  </w:style>
  <w:style w:type="paragraph" w:customStyle="1" w:styleId="P68B1DB1-Normal26">
    <w:name w:val="P68B1DB1-Normal26"/>
    <w:basedOn w:val="Normal"/>
    <w:rPr>
      <w:rFonts w:eastAsia="Times New Roman"/>
      <w:b/>
    </w:rPr>
  </w:style>
  <w:style w:type="paragraph" w:customStyle="1" w:styleId="P68B1DB1-Normal27">
    <w:name w:val="P68B1DB1-Normal27"/>
    <w:basedOn w:val="Normal"/>
    <w:rPr>
      <w:b/>
      <w:sz w:val="18"/>
    </w:rPr>
  </w:style>
  <w:style w:type="paragraph" w:customStyle="1" w:styleId="P68B1DB1-Normal28">
    <w:name w:val="P68B1DB1-Normal28"/>
    <w:basedOn w:val="Normal"/>
    <w:rPr>
      <w:color w:val="006100"/>
      <w:sz w:val="18"/>
    </w:rPr>
  </w:style>
  <w:style w:type="paragraph" w:customStyle="1" w:styleId="P68B1DB1-ListParagraph29">
    <w:name w:val="P68B1DB1-ListParagraph29"/>
    <w:basedOn w:val="ListParagraph"/>
    <w:rPr>
      <w:rFonts w:ascii="Times New Roman" w:eastAsia="Times New Roman" w:hAnsi="Times New Roman"/>
      <w:sz w:val="24"/>
    </w:rPr>
  </w:style>
  <w:style w:type="paragraph" w:customStyle="1" w:styleId="P68B1DB1-Normal30">
    <w:name w:val="P68B1DB1-Normal30"/>
    <w:basedOn w:val="Normal"/>
    <w:rPr>
      <w:rFonts w:eastAsia="Times New Roman"/>
      <w:b/>
      <w:color w:val="000000" w:themeColor="text1"/>
      <w:sz w:val="18"/>
    </w:rPr>
  </w:style>
  <w:style w:type="paragraph" w:customStyle="1" w:styleId="P68B1DB1-ListParagraph31">
    <w:name w:val="P68B1DB1-ListParagraph31"/>
    <w:basedOn w:val="ListParagraph"/>
    <w:rPr>
      <w:rFonts w:ascii="Times New Roman" w:eastAsia="Times New Roman" w:hAnsi="Times New Roman"/>
      <w:color w:val="006100"/>
      <w:sz w:val="18"/>
    </w:rPr>
  </w:style>
  <w:style w:type="paragraph" w:customStyle="1" w:styleId="P68B1DB1-Normal32">
    <w:name w:val="P68B1DB1-Normal32"/>
    <w:basedOn w:val="Normal"/>
    <w:rPr>
      <w:rFonts w:eastAsia="Times New Roman"/>
      <w:b/>
      <w:u w:val="single"/>
    </w:rPr>
  </w:style>
  <w:style w:type="paragraph" w:customStyle="1" w:styleId="P68B1DB1-Normal33">
    <w:name w:val="P68B1DB1-Normal33"/>
    <w:basedOn w:val="Normal"/>
    <w:rPr>
      <w:rFonts w:eastAsia="Times New Roman"/>
      <w:b/>
      <w:color w:val="000000" w:themeColor="text1"/>
      <w:u w:val="single"/>
    </w:rPr>
  </w:style>
  <w:style w:type="paragraph" w:customStyle="1" w:styleId="P68B1DB1-Normal34">
    <w:name w:val="P68B1DB1-Normal34"/>
    <w:basedOn w:val="Normal"/>
    <w:rPr>
      <w:rFonts w:ascii="Calibri" w:hAnsi="Calibri"/>
      <w:sz w:val="22"/>
    </w:rPr>
  </w:style>
  <w:style w:type="paragraph" w:customStyle="1" w:styleId="P68B1DB1-Normal35">
    <w:name w:val="P68B1DB1-Normal35"/>
    <w:basedOn w:val="Normal"/>
    <w:rPr>
      <w:color w:val="006100"/>
      <w:sz w:val="18"/>
      <w:u w:val="single"/>
    </w:rPr>
  </w:style>
  <w:style w:type="paragraph" w:customStyle="1" w:styleId="P68B1DB1-Normal36">
    <w:name w:val="P68B1DB1-Normal36"/>
    <w:basedOn w:val="Normal"/>
    <w:rPr>
      <w:rFonts w:eastAsia="Times New Roman"/>
      <w:b/>
      <w:smallCaps/>
    </w:rPr>
  </w:style>
  <w:style w:type="paragraph" w:customStyle="1" w:styleId="P68B1DB1-Normal37">
    <w:name w:val="P68B1DB1-Normal37"/>
    <w:basedOn w:val="Normal"/>
    <w:rPr>
      <w:rFonts w:ascii="Times" w:eastAsia="Times" w:hAnsi="Times" w:cs="Times"/>
      <w:color w:val="000000"/>
    </w:rPr>
  </w:style>
  <w:style w:type="paragraph" w:customStyle="1" w:styleId="P68B1DB1-Normal38">
    <w:name w:val="P68B1DB1-Normal38"/>
    <w:basedOn w:val="Normal"/>
    <w:rPr>
      <w:rFonts w:ascii="Times" w:eastAsia="Times" w:hAnsi="Times" w:cs="Times"/>
    </w:rPr>
  </w:style>
  <w:style w:type="paragraph" w:customStyle="1" w:styleId="P68B1DB1-ListParagraph39">
    <w:name w:val="P68B1DB1-ListParagraph39"/>
    <w:basedOn w:val="ListParagraph"/>
    <w:rPr>
      <w:rFonts w:ascii="Times New Roman" w:eastAsia="Times New Roman" w:hAnsi="Times New Roman"/>
      <w:color w:val="000000" w:themeColor="text1"/>
      <w:sz w:val="24"/>
    </w:rPr>
  </w:style>
  <w:style w:type="paragraph" w:customStyle="1" w:styleId="P68B1DB1-NormalWeb40">
    <w:name w:val="P68B1DB1-NormalWeb40"/>
    <w:basedOn w:val="NormalWeb"/>
    <w:rPr>
      <w:rFonts w:eastAsia="Times New Roman"/>
      <w:color w:val="004300"/>
      <w:sz w:val="18"/>
    </w:rPr>
  </w:style>
  <w:style w:type="paragraph" w:customStyle="1" w:styleId="P68B1DB1-Normal41">
    <w:name w:val="P68B1DB1-Normal41"/>
    <w:basedOn w:val="Normal"/>
    <w:rPr>
      <w:color w:val="006666"/>
      <w:sz w:val="18"/>
    </w:rPr>
  </w:style>
  <w:style w:type="paragraph" w:customStyle="1" w:styleId="P68B1DB1-ListParagraph42">
    <w:name w:val="P68B1DB1-ListParagraph42"/>
    <w:basedOn w:val="ListParagraph"/>
    <w:rPr>
      <w:rFonts w:ascii="Times New Roman" w:hAnsi="Times New Roman"/>
      <w:color w:val="006100"/>
      <w:sz w:val="18"/>
    </w:rPr>
  </w:style>
  <w:style w:type="paragraph" w:customStyle="1" w:styleId="P68B1DB1-ListParagraph43">
    <w:name w:val="P68B1DB1-ListParagraph43"/>
    <w:basedOn w:val="ListParagraph"/>
    <w:rPr>
      <w:color w:val="006100"/>
      <w:sz w:val="18"/>
    </w:rPr>
  </w:style>
  <w:style w:type="paragraph" w:customStyle="1" w:styleId="P68B1DB1-Normal44">
    <w:name w:val="P68B1DB1-Normal44"/>
    <w:basedOn w:val="Normal"/>
    <w:rPr>
      <w:u w:val="single"/>
    </w:rPr>
  </w:style>
  <w:style w:type="paragraph" w:customStyle="1" w:styleId="P68B1DB1-Normal45">
    <w:name w:val="P68B1DB1-Normal45"/>
    <w:basedOn w:val="Normal"/>
    <w:rPr>
      <w:rFonts w:eastAsia="Times New Roman"/>
      <w:i/>
      <w:color w:val="000000" w:themeColor="text1"/>
    </w:rPr>
  </w:style>
  <w:style w:type="paragraph" w:customStyle="1" w:styleId="P68B1DB1-ListParagraph46">
    <w:name w:val="P68B1DB1-ListParagraph46"/>
    <w:basedOn w:val="ListParagraph"/>
    <w:rPr>
      <w:rFonts w:eastAsia="Times New Roman"/>
      <w:color w:val="000000" w:themeColor="text1"/>
    </w:rPr>
  </w:style>
  <w:style w:type="paragraph" w:customStyle="1" w:styleId="P68B1DB1-Normal47">
    <w:name w:val="P68B1DB1-Normal47"/>
    <w:basedOn w:val="Normal"/>
    <w:rPr>
      <w:rFonts w:eastAsia="Times New Roman"/>
      <w:color w:val="385724"/>
      <w:sz w:val="18"/>
    </w:rPr>
  </w:style>
  <w:style w:type="paragraph" w:customStyle="1" w:styleId="P68B1DB1-K-Text48">
    <w:name w:val="P68B1DB1-K-Text48"/>
    <w:basedOn w:val="K-Text"/>
    <w:rPr>
      <w:b/>
      <w:smallCaps/>
    </w:rPr>
  </w:style>
  <w:style w:type="paragraph" w:customStyle="1" w:styleId="P68B1DB1-ListParagraph49">
    <w:name w:val="P68B1DB1-ListParagraph49"/>
    <w:basedOn w:val="ListParagraph"/>
    <w:rPr>
      <w:sz w:val="18"/>
    </w:rPr>
  </w:style>
  <w:style w:type="paragraph" w:customStyle="1" w:styleId="P68B1DB1-P68B1DB1-K-TextInfo2050">
    <w:name w:val="P68B1DB1-P68B1DB1-K-TextInfo2050"/>
    <w:basedOn w:val="P68B1DB1-K-TextInfo20"/>
    <w:rPr>
      <w:rFonts w:ascii="Times New Roman" w:eastAsia="Times New Roman" w:hAnsi="Times New Roman" w:cs="Times New Roman"/>
      <w:sz w:val="24"/>
    </w:rPr>
  </w:style>
  <w:style w:type="paragraph" w:customStyle="1" w:styleId="P68B1DB1-P68B1DB1-K-TextInfo2051">
    <w:name w:val="P68B1DB1-P68B1DB1-K-TextInfo2051"/>
    <w:basedOn w:val="P68B1DB1-K-TextInfo20"/>
    <w:rPr>
      <w:rFonts w:ascii="Times New Roman" w:eastAsia="Times New Roman" w:hAnsi="Times New Roman" w:cs="Times New Roman"/>
      <w:b/>
      <w:sz w:val="24"/>
      <w:u w:val="single"/>
    </w:rPr>
  </w:style>
  <w:style w:type="paragraph" w:customStyle="1" w:styleId="P68B1DB1-P68B1DB1-K-TextInfo2052">
    <w:name w:val="P68B1DB1-P68B1DB1-K-TextInfo2052"/>
    <w:basedOn w:val="P68B1DB1-K-TextInfo20"/>
    <w:rPr>
      <w:rFonts w:ascii="Times New Roman" w:eastAsia="Times New Roman" w:hAnsi="Times New Roman" w:cs="Times New Roman"/>
      <w:b/>
      <w:sz w:val="24"/>
    </w:rPr>
  </w:style>
  <w:style w:type="paragraph" w:customStyle="1" w:styleId="P68B1DB1-Normal53">
    <w:name w:val="P68B1DB1-Normal53"/>
    <w:basedOn w:val="Normal"/>
    <w:rPr>
      <w:rFonts w:eastAsia="Times New Roman"/>
      <w:color w:val="FF0000"/>
      <w:sz w:val="18"/>
    </w:rPr>
  </w:style>
  <w:style w:type="paragraph" w:customStyle="1" w:styleId="P68B1DB1-ListParagraph54">
    <w:name w:val="P68B1DB1-ListParagraph54"/>
    <w:basedOn w:val="ListParagraph"/>
    <w:rPr>
      <w:rFonts w:ascii="Times New Roman" w:eastAsia="Times New Roman" w:hAnsi="Times New Roman"/>
      <w:color w:val="004300"/>
      <w:sz w:val="18"/>
    </w:rPr>
  </w:style>
  <w:style w:type="paragraph" w:customStyle="1" w:styleId="P68B1DB1-Normal55">
    <w:name w:val="P68B1DB1-Normal55"/>
    <w:basedOn w:val="Normal"/>
    <w:rPr>
      <w:rFonts w:eastAsia="Times New Roman"/>
      <w:b/>
      <w:color w:val="000000"/>
      <w:sz w:val="22"/>
    </w:rPr>
  </w:style>
  <w:style w:type="paragraph" w:customStyle="1" w:styleId="P68B1DB1-Normal56">
    <w:name w:val="P68B1DB1-Normal56"/>
    <w:basedOn w:val="Normal"/>
    <w:rPr>
      <w:rFonts w:eastAsia="Times New Roman"/>
      <w:color w:val="004300"/>
      <w:sz w:val="20"/>
    </w:rPr>
  </w:style>
  <w:style w:type="paragraph" w:customStyle="1" w:styleId="P68B1DB1-Normal57">
    <w:name w:val="P68B1DB1-Normal57"/>
    <w:basedOn w:val="Normal"/>
    <w:rPr>
      <w:rFonts w:eastAsia="Times New Roman"/>
      <w:color w:val="006100"/>
      <w:sz w:val="20"/>
    </w:rPr>
  </w:style>
  <w:style w:type="paragraph" w:customStyle="1" w:styleId="P68B1DB1-Normal58">
    <w:name w:val="P68B1DB1-Normal58"/>
    <w:basedOn w:val="Normal"/>
    <w:rPr>
      <w:rFonts w:eastAsia="Times New Roman"/>
      <w:color w:val="385724"/>
      <w:sz w:val="20"/>
    </w:rPr>
  </w:style>
  <w:style w:type="paragraph" w:customStyle="1" w:styleId="P68B1DB1-Normal59">
    <w:name w:val="P68B1DB1-Normal59"/>
    <w:basedOn w:val="Normal"/>
    <w:rPr>
      <w:rFonts w:eastAsia="Times New Roman"/>
      <w:b/>
      <w:color w:val="006100"/>
      <w:sz w:val="20"/>
    </w:rPr>
  </w:style>
  <w:style w:type="paragraph" w:customStyle="1" w:styleId="P68B1DB1-Normal60">
    <w:name w:val="P68B1DB1-Normal60"/>
    <w:basedOn w:val="Normal"/>
    <w:rPr>
      <w:rFonts w:eastAsia="Times New Roman"/>
      <w:b/>
      <w:color w:val="004300"/>
      <w:sz w:val="20"/>
    </w:rPr>
  </w:style>
  <w:style w:type="paragraph" w:customStyle="1" w:styleId="P68B1DB1-Normal61">
    <w:name w:val="P68B1DB1-Normal61"/>
    <w:basedOn w:val="Normal"/>
    <w:rPr>
      <w:rFonts w:eastAsia="Times New Roman"/>
      <w:sz w:val="20"/>
    </w:rPr>
  </w:style>
  <w:style w:type="paragraph" w:customStyle="1" w:styleId="P68B1DB1-Normal62">
    <w:name w:val="P68B1DB1-Normal62"/>
    <w:basedOn w:val="Normal"/>
    <w:rPr>
      <w:rFonts w:eastAsia="Times New Roman"/>
      <w:color w:val="004300"/>
    </w:rPr>
  </w:style>
  <w:style w:type="paragraph" w:customStyle="1" w:styleId="P68B1DB1-Normal63">
    <w:name w:val="P68B1DB1-Normal63"/>
    <w:basedOn w:val="Normal"/>
    <w:rPr>
      <w:rFonts w:eastAsia="Times New Roman"/>
      <w:color w:val="006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99517">
      <w:bodyDiv w:val="1"/>
      <w:marLeft w:val="0"/>
      <w:marRight w:val="0"/>
      <w:marTop w:val="0"/>
      <w:marBottom w:val="0"/>
      <w:divBdr>
        <w:top w:val="none" w:sz="0" w:space="0" w:color="auto"/>
        <w:left w:val="none" w:sz="0" w:space="0" w:color="auto"/>
        <w:bottom w:val="none" w:sz="0" w:space="0" w:color="auto"/>
        <w:right w:val="none" w:sz="0" w:space="0" w:color="auto"/>
      </w:divBdr>
      <w:divsChild>
        <w:div w:id="668411635">
          <w:marLeft w:val="0"/>
          <w:marRight w:val="0"/>
          <w:marTop w:val="0"/>
          <w:marBottom w:val="0"/>
          <w:divBdr>
            <w:top w:val="none" w:sz="0" w:space="0" w:color="auto"/>
            <w:left w:val="none" w:sz="0" w:space="0" w:color="auto"/>
            <w:bottom w:val="none" w:sz="0" w:space="0" w:color="auto"/>
            <w:right w:val="none" w:sz="0" w:space="0" w:color="auto"/>
          </w:divBdr>
          <w:divsChild>
            <w:div w:id="1525746146">
              <w:marLeft w:val="0"/>
              <w:marRight w:val="0"/>
              <w:marTop w:val="0"/>
              <w:marBottom w:val="0"/>
              <w:divBdr>
                <w:top w:val="none" w:sz="0" w:space="0" w:color="auto"/>
                <w:left w:val="none" w:sz="0" w:space="0" w:color="auto"/>
                <w:bottom w:val="none" w:sz="0" w:space="0" w:color="auto"/>
                <w:right w:val="none" w:sz="0" w:space="0" w:color="auto"/>
              </w:divBdr>
            </w:div>
          </w:divsChild>
        </w:div>
        <w:div w:id="1324359203">
          <w:marLeft w:val="0"/>
          <w:marRight w:val="0"/>
          <w:marTop w:val="0"/>
          <w:marBottom w:val="0"/>
          <w:divBdr>
            <w:top w:val="none" w:sz="0" w:space="0" w:color="auto"/>
            <w:left w:val="none" w:sz="0" w:space="0" w:color="auto"/>
            <w:bottom w:val="none" w:sz="0" w:space="0" w:color="auto"/>
            <w:right w:val="none" w:sz="0" w:space="0" w:color="auto"/>
          </w:divBdr>
          <w:divsChild>
            <w:div w:id="367724195">
              <w:marLeft w:val="0"/>
              <w:marRight w:val="0"/>
              <w:marTop w:val="0"/>
              <w:marBottom w:val="0"/>
              <w:divBdr>
                <w:top w:val="none" w:sz="0" w:space="0" w:color="auto"/>
                <w:left w:val="none" w:sz="0" w:space="0" w:color="auto"/>
                <w:bottom w:val="none" w:sz="0" w:space="0" w:color="auto"/>
                <w:right w:val="none" w:sz="0" w:space="0" w:color="auto"/>
              </w:divBdr>
            </w:div>
            <w:div w:id="439109172">
              <w:marLeft w:val="0"/>
              <w:marRight w:val="0"/>
              <w:marTop w:val="0"/>
              <w:marBottom w:val="0"/>
              <w:divBdr>
                <w:top w:val="none" w:sz="0" w:space="0" w:color="auto"/>
                <w:left w:val="none" w:sz="0" w:space="0" w:color="auto"/>
                <w:bottom w:val="none" w:sz="0" w:space="0" w:color="auto"/>
                <w:right w:val="none" w:sz="0" w:space="0" w:color="auto"/>
              </w:divBdr>
            </w:div>
            <w:div w:id="578097593">
              <w:marLeft w:val="0"/>
              <w:marRight w:val="0"/>
              <w:marTop w:val="0"/>
              <w:marBottom w:val="0"/>
              <w:divBdr>
                <w:top w:val="none" w:sz="0" w:space="0" w:color="auto"/>
                <w:left w:val="none" w:sz="0" w:space="0" w:color="auto"/>
                <w:bottom w:val="none" w:sz="0" w:space="0" w:color="auto"/>
                <w:right w:val="none" w:sz="0" w:space="0" w:color="auto"/>
              </w:divBdr>
            </w:div>
            <w:div w:id="806093178">
              <w:marLeft w:val="0"/>
              <w:marRight w:val="0"/>
              <w:marTop w:val="0"/>
              <w:marBottom w:val="0"/>
              <w:divBdr>
                <w:top w:val="none" w:sz="0" w:space="0" w:color="auto"/>
                <w:left w:val="none" w:sz="0" w:space="0" w:color="auto"/>
                <w:bottom w:val="none" w:sz="0" w:space="0" w:color="auto"/>
                <w:right w:val="none" w:sz="0" w:space="0" w:color="auto"/>
              </w:divBdr>
            </w:div>
            <w:div w:id="1082996040">
              <w:marLeft w:val="0"/>
              <w:marRight w:val="0"/>
              <w:marTop w:val="0"/>
              <w:marBottom w:val="0"/>
              <w:divBdr>
                <w:top w:val="none" w:sz="0" w:space="0" w:color="auto"/>
                <w:left w:val="none" w:sz="0" w:space="0" w:color="auto"/>
                <w:bottom w:val="none" w:sz="0" w:space="0" w:color="auto"/>
                <w:right w:val="none" w:sz="0" w:space="0" w:color="auto"/>
              </w:divBdr>
            </w:div>
            <w:div w:id="1288050707">
              <w:marLeft w:val="0"/>
              <w:marRight w:val="0"/>
              <w:marTop w:val="0"/>
              <w:marBottom w:val="0"/>
              <w:divBdr>
                <w:top w:val="none" w:sz="0" w:space="0" w:color="auto"/>
                <w:left w:val="none" w:sz="0" w:space="0" w:color="auto"/>
                <w:bottom w:val="none" w:sz="0" w:space="0" w:color="auto"/>
                <w:right w:val="none" w:sz="0" w:space="0" w:color="auto"/>
              </w:divBdr>
            </w:div>
            <w:div w:id="1382946647">
              <w:marLeft w:val="0"/>
              <w:marRight w:val="0"/>
              <w:marTop w:val="0"/>
              <w:marBottom w:val="0"/>
              <w:divBdr>
                <w:top w:val="none" w:sz="0" w:space="0" w:color="auto"/>
                <w:left w:val="none" w:sz="0" w:space="0" w:color="auto"/>
                <w:bottom w:val="none" w:sz="0" w:space="0" w:color="auto"/>
                <w:right w:val="none" w:sz="0" w:space="0" w:color="auto"/>
              </w:divBdr>
            </w:div>
            <w:div w:id="16537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3478">
      <w:bodyDiv w:val="1"/>
      <w:marLeft w:val="0"/>
      <w:marRight w:val="0"/>
      <w:marTop w:val="0"/>
      <w:marBottom w:val="0"/>
      <w:divBdr>
        <w:top w:val="none" w:sz="0" w:space="0" w:color="auto"/>
        <w:left w:val="none" w:sz="0" w:space="0" w:color="auto"/>
        <w:bottom w:val="none" w:sz="0" w:space="0" w:color="auto"/>
        <w:right w:val="none" w:sz="0" w:space="0" w:color="auto"/>
      </w:divBdr>
    </w:div>
    <w:div w:id="256333047">
      <w:bodyDiv w:val="1"/>
      <w:marLeft w:val="0"/>
      <w:marRight w:val="0"/>
      <w:marTop w:val="0"/>
      <w:marBottom w:val="0"/>
      <w:divBdr>
        <w:top w:val="none" w:sz="0" w:space="0" w:color="auto"/>
        <w:left w:val="none" w:sz="0" w:space="0" w:color="auto"/>
        <w:bottom w:val="none" w:sz="0" w:space="0" w:color="auto"/>
        <w:right w:val="none" w:sz="0" w:space="0" w:color="auto"/>
      </w:divBdr>
      <w:divsChild>
        <w:div w:id="355928686">
          <w:marLeft w:val="0"/>
          <w:marRight w:val="0"/>
          <w:marTop w:val="0"/>
          <w:marBottom w:val="0"/>
          <w:divBdr>
            <w:top w:val="none" w:sz="0" w:space="0" w:color="auto"/>
            <w:left w:val="none" w:sz="0" w:space="0" w:color="auto"/>
            <w:bottom w:val="none" w:sz="0" w:space="0" w:color="auto"/>
            <w:right w:val="none" w:sz="0" w:space="0" w:color="auto"/>
          </w:divBdr>
        </w:div>
        <w:div w:id="620042090">
          <w:marLeft w:val="0"/>
          <w:marRight w:val="0"/>
          <w:marTop w:val="0"/>
          <w:marBottom w:val="0"/>
          <w:divBdr>
            <w:top w:val="none" w:sz="0" w:space="0" w:color="auto"/>
            <w:left w:val="none" w:sz="0" w:space="0" w:color="auto"/>
            <w:bottom w:val="none" w:sz="0" w:space="0" w:color="auto"/>
            <w:right w:val="none" w:sz="0" w:space="0" w:color="auto"/>
          </w:divBdr>
        </w:div>
        <w:div w:id="1005941668">
          <w:marLeft w:val="0"/>
          <w:marRight w:val="0"/>
          <w:marTop w:val="0"/>
          <w:marBottom w:val="0"/>
          <w:divBdr>
            <w:top w:val="none" w:sz="0" w:space="0" w:color="auto"/>
            <w:left w:val="none" w:sz="0" w:space="0" w:color="auto"/>
            <w:bottom w:val="none" w:sz="0" w:space="0" w:color="auto"/>
            <w:right w:val="none" w:sz="0" w:space="0" w:color="auto"/>
          </w:divBdr>
        </w:div>
        <w:div w:id="1342246316">
          <w:marLeft w:val="0"/>
          <w:marRight w:val="0"/>
          <w:marTop w:val="0"/>
          <w:marBottom w:val="0"/>
          <w:divBdr>
            <w:top w:val="none" w:sz="0" w:space="0" w:color="auto"/>
            <w:left w:val="none" w:sz="0" w:space="0" w:color="auto"/>
            <w:bottom w:val="none" w:sz="0" w:space="0" w:color="auto"/>
            <w:right w:val="none" w:sz="0" w:space="0" w:color="auto"/>
          </w:divBdr>
        </w:div>
      </w:divsChild>
    </w:div>
    <w:div w:id="334961256">
      <w:bodyDiv w:val="1"/>
      <w:marLeft w:val="0"/>
      <w:marRight w:val="0"/>
      <w:marTop w:val="0"/>
      <w:marBottom w:val="0"/>
      <w:divBdr>
        <w:top w:val="none" w:sz="0" w:space="0" w:color="auto"/>
        <w:left w:val="none" w:sz="0" w:space="0" w:color="auto"/>
        <w:bottom w:val="none" w:sz="0" w:space="0" w:color="auto"/>
        <w:right w:val="none" w:sz="0" w:space="0" w:color="auto"/>
      </w:divBdr>
      <w:divsChild>
        <w:div w:id="299724681">
          <w:marLeft w:val="0"/>
          <w:marRight w:val="0"/>
          <w:marTop w:val="0"/>
          <w:marBottom w:val="0"/>
          <w:divBdr>
            <w:top w:val="none" w:sz="0" w:space="0" w:color="auto"/>
            <w:left w:val="none" w:sz="0" w:space="0" w:color="auto"/>
            <w:bottom w:val="none" w:sz="0" w:space="0" w:color="auto"/>
            <w:right w:val="none" w:sz="0" w:space="0" w:color="auto"/>
          </w:divBdr>
          <w:divsChild>
            <w:div w:id="18880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61708">
      <w:bodyDiv w:val="1"/>
      <w:marLeft w:val="0"/>
      <w:marRight w:val="0"/>
      <w:marTop w:val="0"/>
      <w:marBottom w:val="0"/>
      <w:divBdr>
        <w:top w:val="none" w:sz="0" w:space="0" w:color="auto"/>
        <w:left w:val="none" w:sz="0" w:space="0" w:color="auto"/>
        <w:bottom w:val="none" w:sz="0" w:space="0" w:color="auto"/>
        <w:right w:val="none" w:sz="0" w:space="0" w:color="auto"/>
      </w:divBdr>
    </w:div>
    <w:div w:id="547642492">
      <w:bodyDiv w:val="1"/>
      <w:marLeft w:val="0"/>
      <w:marRight w:val="0"/>
      <w:marTop w:val="0"/>
      <w:marBottom w:val="0"/>
      <w:divBdr>
        <w:top w:val="none" w:sz="0" w:space="0" w:color="auto"/>
        <w:left w:val="none" w:sz="0" w:space="0" w:color="auto"/>
        <w:bottom w:val="none" w:sz="0" w:space="0" w:color="auto"/>
        <w:right w:val="none" w:sz="0" w:space="0" w:color="auto"/>
      </w:divBdr>
      <w:divsChild>
        <w:div w:id="494803827">
          <w:marLeft w:val="0"/>
          <w:marRight w:val="0"/>
          <w:marTop w:val="0"/>
          <w:marBottom w:val="0"/>
          <w:divBdr>
            <w:top w:val="none" w:sz="0" w:space="0" w:color="auto"/>
            <w:left w:val="none" w:sz="0" w:space="0" w:color="auto"/>
            <w:bottom w:val="none" w:sz="0" w:space="0" w:color="auto"/>
            <w:right w:val="none" w:sz="0" w:space="0" w:color="auto"/>
          </w:divBdr>
          <w:divsChild>
            <w:div w:id="13872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277">
      <w:bodyDiv w:val="1"/>
      <w:marLeft w:val="0"/>
      <w:marRight w:val="0"/>
      <w:marTop w:val="0"/>
      <w:marBottom w:val="0"/>
      <w:divBdr>
        <w:top w:val="none" w:sz="0" w:space="0" w:color="auto"/>
        <w:left w:val="none" w:sz="0" w:space="0" w:color="auto"/>
        <w:bottom w:val="none" w:sz="0" w:space="0" w:color="auto"/>
        <w:right w:val="none" w:sz="0" w:space="0" w:color="auto"/>
      </w:divBdr>
      <w:divsChild>
        <w:div w:id="1625312566">
          <w:marLeft w:val="0"/>
          <w:marRight w:val="0"/>
          <w:marTop w:val="0"/>
          <w:marBottom w:val="0"/>
          <w:divBdr>
            <w:top w:val="none" w:sz="0" w:space="0" w:color="auto"/>
            <w:left w:val="none" w:sz="0" w:space="0" w:color="auto"/>
            <w:bottom w:val="none" w:sz="0" w:space="0" w:color="auto"/>
            <w:right w:val="none" w:sz="0" w:space="0" w:color="auto"/>
          </w:divBdr>
        </w:div>
        <w:div w:id="1951349857">
          <w:marLeft w:val="0"/>
          <w:marRight w:val="0"/>
          <w:marTop w:val="0"/>
          <w:marBottom w:val="0"/>
          <w:divBdr>
            <w:top w:val="none" w:sz="0" w:space="0" w:color="auto"/>
            <w:left w:val="none" w:sz="0" w:space="0" w:color="auto"/>
            <w:bottom w:val="none" w:sz="0" w:space="0" w:color="auto"/>
            <w:right w:val="none" w:sz="0" w:space="0" w:color="auto"/>
          </w:divBdr>
        </w:div>
      </w:divsChild>
    </w:div>
    <w:div w:id="569076618">
      <w:bodyDiv w:val="1"/>
      <w:marLeft w:val="0"/>
      <w:marRight w:val="0"/>
      <w:marTop w:val="0"/>
      <w:marBottom w:val="0"/>
      <w:divBdr>
        <w:top w:val="none" w:sz="0" w:space="0" w:color="auto"/>
        <w:left w:val="none" w:sz="0" w:space="0" w:color="auto"/>
        <w:bottom w:val="none" w:sz="0" w:space="0" w:color="auto"/>
        <w:right w:val="none" w:sz="0" w:space="0" w:color="auto"/>
      </w:divBdr>
      <w:divsChild>
        <w:div w:id="502671417">
          <w:marLeft w:val="0"/>
          <w:marRight w:val="0"/>
          <w:marTop w:val="0"/>
          <w:marBottom w:val="0"/>
          <w:divBdr>
            <w:top w:val="none" w:sz="0" w:space="0" w:color="auto"/>
            <w:left w:val="none" w:sz="0" w:space="0" w:color="auto"/>
            <w:bottom w:val="none" w:sz="0" w:space="0" w:color="auto"/>
            <w:right w:val="none" w:sz="0" w:space="0" w:color="auto"/>
          </w:divBdr>
        </w:div>
        <w:div w:id="1546602105">
          <w:marLeft w:val="0"/>
          <w:marRight w:val="0"/>
          <w:marTop w:val="0"/>
          <w:marBottom w:val="0"/>
          <w:divBdr>
            <w:top w:val="none" w:sz="0" w:space="0" w:color="auto"/>
            <w:left w:val="none" w:sz="0" w:space="0" w:color="auto"/>
            <w:bottom w:val="none" w:sz="0" w:space="0" w:color="auto"/>
            <w:right w:val="none" w:sz="0" w:space="0" w:color="auto"/>
          </w:divBdr>
        </w:div>
      </w:divsChild>
    </w:div>
    <w:div w:id="639072383">
      <w:bodyDiv w:val="1"/>
      <w:marLeft w:val="0"/>
      <w:marRight w:val="0"/>
      <w:marTop w:val="0"/>
      <w:marBottom w:val="0"/>
      <w:divBdr>
        <w:top w:val="none" w:sz="0" w:space="0" w:color="auto"/>
        <w:left w:val="none" w:sz="0" w:space="0" w:color="auto"/>
        <w:bottom w:val="none" w:sz="0" w:space="0" w:color="auto"/>
        <w:right w:val="none" w:sz="0" w:space="0" w:color="auto"/>
      </w:divBdr>
    </w:div>
    <w:div w:id="706685077">
      <w:bodyDiv w:val="1"/>
      <w:marLeft w:val="0"/>
      <w:marRight w:val="0"/>
      <w:marTop w:val="0"/>
      <w:marBottom w:val="0"/>
      <w:divBdr>
        <w:top w:val="none" w:sz="0" w:space="0" w:color="auto"/>
        <w:left w:val="none" w:sz="0" w:space="0" w:color="auto"/>
        <w:bottom w:val="none" w:sz="0" w:space="0" w:color="auto"/>
        <w:right w:val="none" w:sz="0" w:space="0" w:color="auto"/>
      </w:divBdr>
    </w:div>
    <w:div w:id="758989584">
      <w:bodyDiv w:val="1"/>
      <w:marLeft w:val="0"/>
      <w:marRight w:val="0"/>
      <w:marTop w:val="0"/>
      <w:marBottom w:val="0"/>
      <w:divBdr>
        <w:top w:val="none" w:sz="0" w:space="0" w:color="auto"/>
        <w:left w:val="none" w:sz="0" w:space="0" w:color="auto"/>
        <w:bottom w:val="none" w:sz="0" w:space="0" w:color="auto"/>
        <w:right w:val="none" w:sz="0" w:space="0" w:color="auto"/>
      </w:divBdr>
    </w:div>
    <w:div w:id="812452305">
      <w:bodyDiv w:val="1"/>
      <w:marLeft w:val="0"/>
      <w:marRight w:val="0"/>
      <w:marTop w:val="0"/>
      <w:marBottom w:val="0"/>
      <w:divBdr>
        <w:top w:val="none" w:sz="0" w:space="0" w:color="auto"/>
        <w:left w:val="none" w:sz="0" w:space="0" w:color="auto"/>
        <w:bottom w:val="none" w:sz="0" w:space="0" w:color="auto"/>
        <w:right w:val="none" w:sz="0" w:space="0" w:color="auto"/>
      </w:divBdr>
      <w:divsChild>
        <w:div w:id="560141428">
          <w:marLeft w:val="0"/>
          <w:marRight w:val="0"/>
          <w:marTop w:val="0"/>
          <w:marBottom w:val="0"/>
          <w:divBdr>
            <w:top w:val="none" w:sz="0" w:space="0" w:color="auto"/>
            <w:left w:val="none" w:sz="0" w:space="0" w:color="auto"/>
            <w:bottom w:val="none" w:sz="0" w:space="0" w:color="auto"/>
            <w:right w:val="none" w:sz="0" w:space="0" w:color="auto"/>
          </w:divBdr>
          <w:divsChild>
            <w:div w:id="14660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7349">
      <w:bodyDiv w:val="1"/>
      <w:marLeft w:val="0"/>
      <w:marRight w:val="0"/>
      <w:marTop w:val="0"/>
      <w:marBottom w:val="0"/>
      <w:divBdr>
        <w:top w:val="none" w:sz="0" w:space="0" w:color="auto"/>
        <w:left w:val="none" w:sz="0" w:space="0" w:color="auto"/>
        <w:bottom w:val="none" w:sz="0" w:space="0" w:color="auto"/>
        <w:right w:val="none" w:sz="0" w:space="0" w:color="auto"/>
      </w:divBdr>
      <w:divsChild>
        <w:div w:id="47800662">
          <w:marLeft w:val="0"/>
          <w:marRight w:val="0"/>
          <w:marTop w:val="0"/>
          <w:marBottom w:val="0"/>
          <w:divBdr>
            <w:top w:val="none" w:sz="0" w:space="0" w:color="auto"/>
            <w:left w:val="none" w:sz="0" w:space="0" w:color="auto"/>
            <w:bottom w:val="none" w:sz="0" w:space="0" w:color="auto"/>
            <w:right w:val="none" w:sz="0" w:space="0" w:color="auto"/>
          </w:divBdr>
        </w:div>
        <w:div w:id="264070755">
          <w:marLeft w:val="0"/>
          <w:marRight w:val="0"/>
          <w:marTop w:val="0"/>
          <w:marBottom w:val="0"/>
          <w:divBdr>
            <w:top w:val="none" w:sz="0" w:space="0" w:color="auto"/>
            <w:left w:val="none" w:sz="0" w:space="0" w:color="auto"/>
            <w:bottom w:val="none" w:sz="0" w:space="0" w:color="auto"/>
            <w:right w:val="none" w:sz="0" w:space="0" w:color="auto"/>
          </w:divBdr>
        </w:div>
        <w:div w:id="549459279">
          <w:marLeft w:val="0"/>
          <w:marRight w:val="0"/>
          <w:marTop w:val="0"/>
          <w:marBottom w:val="0"/>
          <w:divBdr>
            <w:top w:val="none" w:sz="0" w:space="0" w:color="auto"/>
            <w:left w:val="none" w:sz="0" w:space="0" w:color="auto"/>
            <w:bottom w:val="none" w:sz="0" w:space="0" w:color="auto"/>
            <w:right w:val="none" w:sz="0" w:space="0" w:color="auto"/>
          </w:divBdr>
        </w:div>
        <w:div w:id="967395093">
          <w:marLeft w:val="0"/>
          <w:marRight w:val="0"/>
          <w:marTop w:val="0"/>
          <w:marBottom w:val="0"/>
          <w:divBdr>
            <w:top w:val="none" w:sz="0" w:space="0" w:color="auto"/>
            <w:left w:val="none" w:sz="0" w:space="0" w:color="auto"/>
            <w:bottom w:val="none" w:sz="0" w:space="0" w:color="auto"/>
            <w:right w:val="none" w:sz="0" w:space="0" w:color="auto"/>
          </w:divBdr>
        </w:div>
      </w:divsChild>
    </w:div>
    <w:div w:id="891771771">
      <w:bodyDiv w:val="1"/>
      <w:marLeft w:val="0"/>
      <w:marRight w:val="0"/>
      <w:marTop w:val="0"/>
      <w:marBottom w:val="0"/>
      <w:divBdr>
        <w:top w:val="none" w:sz="0" w:space="0" w:color="auto"/>
        <w:left w:val="none" w:sz="0" w:space="0" w:color="auto"/>
        <w:bottom w:val="none" w:sz="0" w:space="0" w:color="auto"/>
        <w:right w:val="none" w:sz="0" w:space="0" w:color="auto"/>
      </w:divBdr>
      <w:divsChild>
        <w:div w:id="130484314">
          <w:marLeft w:val="0"/>
          <w:marRight w:val="0"/>
          <w:marTop w:val="0"/>
          <w:marBottom w:val="0"/>
          <w:divBdr>
            <w:top w:val="none" w:sz="0" w:space="0" w:color="auto"/>
            <w:left w:val="none" w:sz="0" w:space="0" w:color="auto"/>
            <w:bottom w:val="none" w:sz="0" w:space="0" w:color="auto"/>
            <w:right w:val="none" w:sz="0" w:space="0" w:color="auto"/>
          </w:divBdr>
        </w:div>
        <w:div w:id="160585055">
          <w:marLeft w:val="0"/>
          <w:marRight w:val="0"/>
          <w:marTop w:val="0"/>
          <w:marBottom w:val="0"/>
          <w:divBdr>
            <w:top w:val="none" w:sz="0" w:space="0" w:color="auto"/>
            <w:left w:val="none" w:sz="0" w:space="0" w:color="auto"/>
            <w:bottom w:val="none" w:sz="0" w:space="0" w:color="auto"/>
            <w:right w:val="none" w:sz="0" w:space="0" w:color="auto"/>
          </w:divBdr>
        </w:div>
        <w:div w:id="920716081">
          <w:marLeft w:val="0"/>
          <w:marRight w:val="0"/>
          <w:marTop w:val="0"/>
          <w:marBottom w:val="0"/>
          <w:divBdr>
            <w:top w:val="none" w:sz="0" w:space="0" w:color="auto"/>
            <w:left w:val="none" w:sz="0" w:space="0" w:color="auto"/>
            <w:bottom w:val="none" w:sz="0" w:space="0" w:color="auto"/>
            <w:right w:val="none" w:sz="0" w:space="0" w:color="auto"/>
          </w:divBdr>
        </w:div>
        <w:div w:id="976758980">
          <w:marLeft w:val="0"/>
          <w:marRight w:val="0"/>
          <w:marTop w:val="0"/>
          <w:marBottom w:val="0"/>
          <w:divBdr>
            <w:top w:val="none" w:sz="0" w:space="0" w:color="auto"/>
            <w:left w:val="none" w:sz="0" w:space="0" w:color="auto"/>
            <w:bottom w:val="none" w:sz="0" w:space="0" w:color="auto"/>
            <w:right w:val="none" w:sz="0" w:space="0" w:color="auto"/>
          </w:divBdr>
        </w:div>
        <w:div w:id="1754621640">
          <w:marLeft w:val="0"/>
          <w:marRight w:val="0"/>
          <w:marTop w:val="0"/>
          <w:marBottom w:val="0"/>
          <w:divBdr>
            <w:top w:val="none" w:sz="0" w:space="0" w:color="auto"/>
            <w:left w:val="none" w:sz="0" w:space="0" w:color="auto"/>
            <w:bottom w:val="none" w:sz="0" w:space="0" w:color="auto"/>
            <w:right w:val="none" w:sz="0" w:space="0" w:color="auto"/>
          </w:divBdr>
        </w:div>
      </w:divsChild>
    </w:div>
    <w:div w:id="936526673">
      <w:bodyDiv w:val="1"/>
      <w:marLeft w:val="0"/>
      <w:marRight w:val="0"/>
      <w:marTop w:val="0"/>
      <w:marBottom w:val="0"/>
      <w:divBdr>
        <w:top w:val="none" w:sz="0" w:space="0" w:color="auto"/>
        <w:left w:val="none" w:sz="0" w:space="0" w:color="auto"/>
        <w:bottom w:val="none" w:sz="0" w:space="0" w:color="auto"/>
        <w:right w:val="none" w:sz="0" w:space="0" w:color="auto"/>
      </w:divBdr>
    </w:div>
    <w:div w:id="1001008619">
      <w:bodyDiv w:val="1"/>
      <w:marLeft w:val="0"/>
      <w:marRight w:val="0"/>
      <w:marTop w:val="0"/>
      <w:marBottom w:val="0"/>
      <w:divBdr>
        <w:top w:val="none" w:sz="0" w:space="0" w:color="auto"/>
        <w:left w:val="none" w:sz="0" w:space="0" w:color="auto"/>
        <w:bottom w:val="none" w:sz="0" w:space="0" w:color="auto"/>
        <w:right w:val="none" w:sz="0" w:space="0" w:color="auto"/>
      </w:divBdr>
    </w:div>
    <w:div w:id="1110969800">
      <w:bodyDiv w:val="1"/>
      <w:marLeft w:val="0"/>
      <w:marRight w:val="0"/>
      <w:marTop w:val="0"/>
      <w:marBottom w:val="0"/>
      <w:divBdr>
        <w:top w:val="none" w:sz="0" w:space="0" w:color="auto"/>
        <w:left w:val="none" w:sz="0" w:space="0" w:color="auto"/>
        <w:bottom w:val="none" w:sz="0" w:space="0" w:color="auto"/>
        <w:right w:val="none" w:sz="0" w:space="0" w:color="auto"/>
      </w:divBdr>
    </w:div>
    <w:div w:id="1119640671">
      <w:bodyDiv w:val="1"/>
      <w:marLeft w:val="0"/>
      <w:marRight w:val="0"/>
      <w:marTop w:val="0"/>
      <w:marBottom w:val="0"/>
      <w:divBdr>
        <w:top w:val="none" w:sz="0" w:space="0" w:color="auto"/>
        <w:left w:val="none" w:sz="0" w:space="0" w:color="auto"/>
        <w:bottom w:val="none" w:sz="0" w:space="0" w:color="auto"/>
        <w:right w:val="none" w:sz="0" w:space="0" w:color="auto"/>
      </w:divBdr>
      <w:divsChild>
        <w:div w:id="84806601">
          <w:marLeft w:val="0"/>
          <w:marRight w:val="0"/>
          <w:marTop w:val="0"/>
          <w:marBottom w:val="0"/>
          <w:divBdr>
            <w:top w:val="none" w:sz="0" w:space="0" w:color="auto"/>
            <w:left w:val="none" w:sz="0" w:space="0" w:color="auto"/>
            <w:bottom w:val="none" w:sz="0" w:space="0" w:color="auto"/>
            <w:right w:val="none" w:sz="0" w:space="0" w:color="auto"/>
          </w:divBdr>
        </w:div>
        <w:div w:id="290941950">
          <w:marLeft w:val="0"/>
          <w:marRight w:val="0"/>
          <w:marTop w:val="0"/>
          <w:marBottom w:val="0"/>
          <w:divBdr>
            <w:top w:val="none" w:sz="0" w:space="0" w:color="auto"/>
            <w:left w:val="none" w:sz="0" w:space="0" w:color="auto"/>
            <w:bottom w:val="none" w:sz="0" w:space="0" w:color="auto"/>
            <w:right w:val="none" w:sz="0" w:space="0" w:color="auto"/>
          </w:divBdr>
        </w:div>
        <w:div w:id="555817574">
          <w:marLeft w:val="0"/>
          <w:marRight w:val="0"/>
          <w:marTop w:val="0"/>
          <w:marBottom w:val="0"/>
          <w:divBdr>
            <w:top w:val="none" w:sz="0" w:space="0" w:color="auto"/>
            <w:left w:val="none" w:sz="0" w:space="0" w:color="auto"/>
            <w:bottom w:val="none" w:sz="0" w:space="0" w:color="auto"/>
            <w:right w:val="none" w:sz="0" w:space="0" w:color="auto"/>
          </w:divBdr>
        </w:div>
        <w:div w:id="595138582">
          <w:marLeft w:val="0"/>
          <w:marRight w:val="0"/>
          <w:marTop w:val="0"/>
          <w:marBottom w:val="0"/>
          <w:divBdr>
            <w:top w:val="none" w:sz="0" w:space="0" w:color="auto"/>
            <w:left w:val="none" w:sz="0" w:space="0" w:color="auto"/>
            <w:bottom w:val="none" w:sz="0" w:space="0" w:color="auto"/>
            <w:right w:val="none" w:sz="0" w:space="0" w:color="auto"/>
          </w:divBdr>
        </w:div>
        <w:div w:id="1214074904">
          <w:marLeft w:val="0"/>
          <w:marRight w:val="0"/>
          <w:marTop w:val="0"/>
          <w:marBottom w:val="0"/>
          <w:divBdr>
            <w:top w:val="none" w:sz="0" w:space="0" w:color="auto"/>
            <w:left w:val="none" w:sz="0" w:space="0" w:color="auto"/>
            <w:bottom w:val="none" w:sz="0" w:space="0" w:color="auto"/>
            <w:right w:val="none" w:sz="0" w:space="0" w:color="auto"/>
          </w:divBdr>
        </w:div>
      </w:divsChild>
    </w:div>
    <w:div w:id="1156649094">
      <w:bodyDiv w:val="1"/>
      <w:marLeft w:val="0"/>
      <w:marRight w:val="0"/>
      <w:marTop w:val="0"/>
      <w:marBottom w:val="0"/>
      <w:divBdr>
        <w:top w:val="none" w:sz="0" w:space="0" w:color="auto"/>
        <w:left w:val="none" w:sz="0" w:space="0" w:color="auto"/>
        <w:bottom w:val="none" w:sz="0" w:space="0" w:color="auto"/>
        <w:right w:val="none" w:sz="0" w:space="0" w:color="auto"/>
      </w:divBdr>
      <w:divsChild>
        <w:div w:id="1123813769">
          <w:marLeft w:val="0"/>
          <w:marRight w:val="0"/>
          <w:marTop w:val="0"/>
          <w:marBottom w:val="0"/>
          <w:divBdr>
            <w:top w:val="none" w:sz="0" w:space="0" w:color="auto"/>
            <w:left w:val="none" w:sz="0" w:space="0" w:color="auto"/>
            <w:bottom w:val="none" w:sz="0" w:space="0" w:color="auto"/>
            <w:right w:val="none" w:sz="0" w:space="0" w:color="auto"/>
          </w:divBdr>
        </w:div>
        <w:div w:id="1279340906">
          <w:marLeft w:val="0"/>
          <w:marRight w:val="0"/>
          <w:marTop w:val="0"/>
          <w:marBottom w:val="0"/>
          <w:divBdr>
            <w:top w:val="none" w:sz="0" w:space="0" w:color="auto"/>
            <w:left w:val="none" w:sz="0" w:space="0" w:color="auto"/>
            <w:bottom w:val="none" w:sz="0" w:space="0" w:color="auto"/>
            <w:right w:val="none" w:sz="0" w:space="0" w:color="auto"/>
          </w:divBdr>
        </w:div>
        <w:div w:id="1395154348">
          <w:marLeft w:val="0"/>
          <w:marRight w:val="0"/>
          <w:marTop w:val="0"/>
          <w:marBottom w:val="0"/>
          <w:divBdr>
            <w:top w:val="none" w:sz="0" w:space="0" w:color="auto"/>
            <w:left w:val="none" w:sz="0" w:space="0" w:color="auto"/>
            <w:bottom w:val="none" w:sz="0" w:space="0" w:color="auto"/>
            <w:right w:val="none" w:sz="0" w:space="0" w:color="auto"/>
          </w:divBdr>
        </w:div>
      </w:divsChild>
    </w:div>
    <w:div w:id="1165516431">
      <w:bodyDiv w:val="1"/>
      <w:marLeft w:val="0"/>
      <w:marRight w:val="0"/>
      <w:marTop w:val="0"/>
      <w:marBottom w:val="0"/>
      <w:divBdr>
        <w:top w:val="none" w:sz="0" w:space="0" w:color="auto"/>
        <w:left w:val="none" w:sz="0" w:space="0" w:color="auto"/>
        <w:bottom w:val="none" w:sz="0" w:space="0" w:color="auto"/>
        <w:right w:val="none" w:sz="0" w:space="0" w:color="auto"/>
      </w:divBdr>
      <w:divsChild>
        <w:div w:id="148595697">
          <w:marLeft w:val="0"/>
          <w:marRight w:val="0"/>
          <w:marTop w:val="0"/>
          <w:marBottom w:val="0"/>
          <w:divBdr>
            <w:top w:val="none" w:sz="0" w:space="0" w:color="auto"/>
            <w:left w:val="none" w:sz="0" w:space="0" w:color="auto"/>
            <w:bottom w:val="none" w:sz="0" w:space="0" w:color="auto"/>
            <w:right w:val="none" w:sz="0" w:space="0" w:color="auto"/>
          </w:divBdr>
        </w:div>
        <w:div w:id="733309040">
          <w:marLeft w:val="0"/>
          <w:marRight w:val="0"/>
          <w:marTop w:val="0"/>
          <w:marBottom w:val="0"/>
          <w:divBdr>
            <w:top w:val="none" w:sz="0" w:space="0" w:color="auto"/>
            <w:left w:val="none" w:sz="0" w:space="0" w:color="auto"/>
            <w:bottom w:val="none" w:sz="0" w:space="0" w:color="auto"/>
            <w:right w:val="none" w:sz="0" w:space="0" w:color="auto"/>
          </w:divBdr>
        </w:div>
        <w:div w:id="747847653">
          <w:marLeft w:val="0"/>
          <w:marRight w:val="0"/>
          <w:marTop w:val="0"/>
          <w:marBottom w:val="0"/>
          <w:divBdr>
            <w:top w:val="none" w:sz="0" w:space="0" w:color="auto"/>
            <w:left w:val="none" w:sz="0" w:space="0" w:color="auto"/>
            <w:bottom w:val="none" w:sz="0" w:space="0" w:color="auto"/>
            <w:right w:val="none" w:sz="0" w:space="0" w:color="auto"/>
          </w:divBdr>
        </w:div>
        <w:div w:id="1177231259">
          <w:marLeft w:val="0"/>
          <w:marRight w:val="0"/>
          <w:marTop w:val="0"/>
          <w:marBottom w:val="0"/>
          <w:divBdr>
            <w:top w:val="none" w:sz="0" w:space="0" w:color="auto"/>
            <w:left w:val="none" w:sz="0" w:space="0" w:color="auto"/>
            <w:bottom w:val="none" w:sz="0" w:space="0" w:color="auto"/>
            <w:right w:val="none" w:sz="0" w:space="0" w:color="auto"/>
          </w:divBdr>
        </w:div>
      </w:divsChild>
    </w:div>
    <w:div w:id="1174304359">
      <w:bodyDiv w:val="1"/>
      <w:marLeft w:val="0"/>
      <w:marRight w:val="0"/>
      <w:marTop w:val="0"/>
      <w:marBottom w:val="0"/>
      <w:divBdr>
        <w:top w:val="none" w:sz="0" w:space="0" w:color="auto"/>
        <w:left w:val="none" w:sz="0" w:space="0" w:color="auto"/>
        <w:bottom w:val="none" w:sz="0" w:space="0" w:color="auto"/>
        <w:right w:val="none" w:sz="0" w:space="0" w:color="auto"/>
      </w:divBdr>
    </w:div>
    <w:div w:id="1353993029">
      <w:bodyDiv w:val="1"/>
      <w:marLeft w:val="0"/>
      <w:marRight w:val="0"/>
      <w:marTop w:val="0"/>
      <w:marBottom w:val="0"/>
      <w:divBdr>
        <w:top w:val="none" w:sz="0" w:space="0" w:color="auto"/>
        <w:left w:val="none" w:sz="0" w:space="0" w:color="auto"/>
        <w:bottom w:val="none" w:sz="0" w:space="0" w:color="auto"/>
        <w:right w:val="none" w:sz="0" w:space="0" w:color="auto"/>
      </w:divBdr>
      <w:divsChild>
        <w:div w:id="38014115">
          <w:marLeft w:val="0"/>
          <w:marRight w:val="0"/>
          <w:marTop w:val="0"/>
          <w:marBottom w:val="0"/>
          <w:divBdr>
            <w:top w:val="none" w:sz="0" w:space="0" w:color="auto"/>
            <w:left w:val="none" w:sz="0" w:space="0" w:color="auto"/>
            <w:bottom w:val="none" w:sz="0" w:space="0" w:color="auto"/>
            <w:right w:val="none" w:sz="0" w:space="0" w:color="auto"/>
          </w:divBdr>
        </w:div>
        <w:div w:id="1282609172">
          <w:marLeft w:val="0"/>
          <w:marRight w:val="0"/>
          <w:marTop w:val="0"/>
          <w:marBottom w:val="0"/>
          <w:divBdr>
            <w:top w:val="none" w:sz="0" w:space="0" w:color="auto"/>
            <w:left w:val="none" w:sz="0" w:space="0" w:color="auto"/>
            <w:bottom w:val="none" w:sz="0" w:space="0" w:color="auto"/>
            <w:right w:val="none" w:sz="0" w:space="0" w:color="auto"/>
          </w:divBdr>
          <w:divsChild>
            <w:div w:id="667369819">
              <w:marLeft w:val="0"/>
              <w:marRight w:val="0"/>
              <w:marTop w:val="30"/>
              <w:marBottom w:val="30"/>
              <w:divBdr>
                <w:top w:val="none" w:sz="0" w:space="0" w:color="auto"/>
                <w:left w:val="none" w:sz="0" w:space="0" w:color="auto"/>
                <w:bottom w:val="none" w:sz="0" w:space="0" w:color="auto"/>
                <w:right w:val="none" w:sz="0" w:space="0" w:color="auto"/>
              </w:divBdr>
              <w:divsChild>
                <w:div w:id="19281927">
                  <w:marLeft w:val="0"/>
                  <w:marRight w:val="0"/>
                  <w:marTop w:val="0"/>
                  <w:marBottom w:val="0"/>
                  <w:divBdr>
                    <w:top w:val="none" w:sz="0" w:space="0" w:color="auto"/>
                    <w:left w:val="none" w:sz="0" w:space="0" w:color="auto"/>
                    <w:bottom w:val="none" w:sz="0" w:space="0" w:color="auto"/>
                    <w:right w:val="none" w:sz="0" w:space="0" w:color="auto"/>
                  </w:divBdr>
                  <w:divsChild>
                    <w:div w:id="143397589">
                      <w:marLeft w:val="0"/>
                      <w:marRight w:val="0"/>
                      <w:marTop w:val="0"/>
                      <w:marBottom w:val="0"/>
                      <w:divBdr>
                        <w:top w:val="none" w:sz="0" w:space="0" w:color="auto"/>
                        <w:left w:val="none" w:sz="0" w:space="0" w:color="auto"/>
                        <w:bottom w:val="none" w:sz="0" w:space="0" w:color="auto"/>
                        <w:right w:val="none" w:sz="0" w:space="0" w:color="auto"/>
                      </w:divBdr>
                    </w:div>
                  </w:divsChild>
                </w:div>
                <w:div w:id="64301887">
                  <w:marLeft w:val="0"/>
                  <w:marRight w:val="0"/>
                  <w:marTop w:val="0"/>
                  <w:marBottom w:val="0"/>
                  <w:divBdr>
                    <w:top w:val="none" w:sz="0" w:space="0" w:color="auto"/>
                    <w:left w:val="none" w:sz="0" w:space="0" w:color="auto"/>
                    <w:bottom w:val="none" w:sz="0" w:space="0" w:color="auto"/>
                    <w:right w:val="none" w:sz="0" w:space="0" w:color="auto"/>
                  </w:divBdr>
                  <w:divsChild>
                    <w:div w:id="1651251525">
                      <w:marLeft w:val="0"/>
                      <w:marRight w:val="0"/>
                      <w:marTop w:val="0"/>
                      <w:marBottom w:val="0"/>
                      <w:divBdr>
                        <w:top w:val="none" w:sz="0" w:space="0" w:color="auto"/>
                        <w:left w:val="none" w:sz="0" w:space="0" w:color="auto"/>
                        <w:bottom w:val="none" w:sz="0" w:space="0" w:color="auto"/>
                        <w:right w:val="none" w:sz="0" w:space="0" w:color="auto"/>
                      </w:divBdr>
                    </w:div>
                  </w:divsChild>
                </w:div>
                <w:div w:id="133522149">
                  <w:marLeft w:val="0"/>
                  <w:marRight w:val="0"/>
                  <w:marTop w:val="0"/>
                  <w:marBottom w:val="0"/>
                  <w:divBdr>
                    <w:top w:val="none" w:sz="0" w:space="0" w:color="auto"/>
                    <w:left w:val="none" w:sz="0" w:space="0" w:color="auto"/>
                    <w:bottom w:val="none" w:sz="0" w:space="0" w:color="auto"/>
                    <w:right w:val="none" w:sz="0" w:space="0" w:color="auto"/>
                  </w:divBdr>
                  <w:divsChild>
                    <w:div w:id="1242058354">
                      <w:marLeft w:val="0"/>
                      <w:marRight w:val="0"/>
                      <w:marTop w:val="0"/>
                      <w:marBottom w:val="0"/>
                      <w:divBdr>
                        <w:top w:val="none" w:sz="0" w:space="0" w:color="auto"/>
                        <w:left w:val="none" w:sz="0" w:space="0" w:color="auto"/>
                        <w:bottom w:val="none" w:sz="0" w:space="0" w:color="auto"/>
                        <w:right w:val="none" w:sz="0" w:space="0" w:color="auto"/>
                      </w:divBdr>
                    </w:div>
                  </w:divsChild>
                </w:div>
                <w:div w:id="313459070">
                  <w:marLeft w:val="0"/>
                  <w:marRight w:val="0"/>
                  <w:marTop w:val="0"/>
                  <w:marBottom w:val="0"/>
                  <w:divBdr>
                    <w:top w:val="none" w:sz="0" w:space="0" w:color="auto"/>
                    <w:left w:val="none" w:sz="0" w:space="0" w:color="auto"/>
                    <w:bottom w:val="none" w:sz="0" w:space="0" w:color="auto"/>
                    <w:right w:val="none" w:sz="0" w:space="0" w:color="auto"/>
                  </w:divBdr>
                  <w:divsChild>
                    <w:div w:id="519707110">
                      <w:marLeft w:val="0"/>
                      <w:marRight w:val="0"/>
                      <w:marTop w:val="0"/>
                      <w:marBottom w:val="0"/>
                      <w:divBdr>
                        <w:top w:val="none" w:sz="0" w:space="0" w:color="auto"/>
                        <w:left w:val="none" w:sz="0" w:space="0" w:color="auto"/>
                        <w:bottom w:val="none" w:sz="0" w:space="0" w:color="auto"/>
                        <w:right w:val="none" w:sz="0" w:space="0" w:color="auto"/>
                      </w:divBdr>
                    </w:div>
                  </w:divsChild>
                </w:div>
                <w:div w:id="324018323">
                  <w:marLeft w:val="0"/>
                  <w:marRight w:val="0"/>
                  <w:marTop w:val="0"/>
                  <w:marBottom w:val="0"/>
                  <w:divBdr>
                    <w:top w:val="none" w:sz="0" w:space="0" w:color="auto"/>
                    <w:left w:val="none" w:sz="0" w:space="0" w:color="auto"/>
                    <w:bottom w:val="none" w:sz="0" w:space="0" w:color="auto"/>
                    <w:right w:val="none" w:sz="0" w:space="0" w:color="auto"/>
                  </w:divBdr>
                  <w:divsChild>
                    <w:div w:id="1570382007">
                      <w:marLeft w:val="0"/>
                      <w:marRight w:val="0"/>
                      <w:marTop w:val="0"/>
                      <w:marBottom w:val="0"/>
                      <w:divBdr>
                        <w:top w:val="none" w:sz="0" w:space="0" w:color="auto"/>
                        <w:left w:val="none" w:sz="0" w:space="0" w:color="auto"/>
                        <w:bottom w:val="none" w:sz="0" w:space="0" w:color="auto"/>
                        <w:right w:val="none" w:sz="0" w:space="0" w:color="auto"/>
                      </w:divBdr>
                    </w:div>
                    <w:div w:id="1895117296">
                      <w:marLeft w:val="0"/>
                      <w:marRight w:val="0"/>
                      <w:marTop w:val="0"/>
                      <w:marBottom w:val="0"/>
                      <w:divBdr>
                        <w:top w:val="none" w:sz="0" w:space="0" w:color="auto"/>
                        <w:left w:val="none" w:sz="0" w:space="0" w:color="auto"/>
                        <w:bottom w:val="none" w:sz="0" w:space="0" w:color="auto"/>
                        <w:right w:val="none" w:sz="0" w:space="0" w:color="auto"/>
                      </w:divBdr>
                    </w:div>
                  </w:divsChild>
                </w:div>
                <w:div w:id="344673917">
                  <w:marLeft w:val="0"/>
                  <w:marRight w:val="0"/>
                  <w:marTop w:val="0"/>
                  <w:marBottom w:val="0"/>
                  <w:divBdr>
                    <w:top w:val="none" w:sz="0" w:space="0" w:color="auto"/>
                    <w:left w:val="none" w:sz="0" w:space="0" w:color="auto"/>
                    <w:bottom w:val="none" w:sz="0" w:space="0" w:color="auto"/>
                    <w:right w:val="none" w:sz="0" w:space="0" w:color="auto"/>
                  </w:divBdr>
                  <w:divsChild>
                    <w:div w:id="1249582676">
                      <w:marLeft w:val="0"/>
                      <w:marRight w:val="0"/>
                      <w:marTop w:val="0"/>
                      <w:marBottom w:val="0"/>
                      <w:divBdr>
                        <w:top w:val="none" w:sz="0" w:space="0" w:color="auto"/>
                        <w:left w:val="none" w:sz="0" w:space="0" w:color="auto"/>
                        <w:bottom w:val="none" w:sz="0" w:space="0" w:color="auto"/>
                        <w:right w:val="none" w:sz="0" w:space="0" w:color="auto"/>
                      </w:divBdr>
                    </w:div>
                  </w:divsChild>
                </w:div>
                <w:div w:id="393742499">
                  <w:marLeft w:val="0"/>
                  <w:marRight w:val="0"/>
                  <w:marTop w:val="0"/>
                  <w:marBottom w:val="0"/>
                  <w:divBdr>
                    <w:top w:val="none" w:sz="0" w:space="0" w:color="auto"/>
                    <w:left w:val="none" w:sz="0" w:space="0" w:color="auto"/>
                    <w:bottom w:val="none" w:sz="0" w:space="0" w:color="auto"/>
                    <w:right w:val="none" w:sz="0" w:space="0" w:color="auto"/>
                  </w:divBdr>
                  <w:divsChild>
                    <w:div w:id="114569423">
                      <w:marLeft w:val="0"/>
                      <w:marRight w:val="0"/>
                      <w:marTop w:val="0"/>
                      <w:marBottom w:val="0"/>
                      <w:divBdr>
                        <w:top w:val="none" w:sz="0" w:space="0" w:color="auto"/>
                        <w:left w:val="none" w:sz="0" w:space="0" w:color="auto"/>
                        <w:bottom w:val="none" w:sz="0" w:space="0" w:color="auto"/>
                        <w:right w:val="none" w:sz="0" w:space="0" w:color="auto"/>
                      </w:divBdr>
                    </w:div>
                    <w:div w:id="217664668">
                      <w:marLeft w:val="0"/>
                      <w:marRight w:val="0"/>
                      <w:marTop w:val="0"/>
                      <w:marBottom w:val="0"/>
                      <w:divBdr>
                        <w:top w:val="none" w:sz="0" w:space="0" w:color="auto"/>
                        <w:left w:val="none" w:sz="0" w:space="0" w:color="auto"/>
                        <w:bottom w:val="none" w:sz="0" w:space="0" w:color="auto"/>
                        <w:right w:val="none" w:sz="0" w:space="0" w:color="auto"/>
                      </w:divBdr>
                    </w:div>
                  </w:divsChild>
                </w:div>
                <w:div w:id="411244653">
                  <w:marLeft w:val="0"/>
                  <w:marRight w:val="0"/>
                  <w:marTop w:val="0"/>
                  <w:marBottom w:val="0"/>
                  <w:divBdr>
                    <w:top w:val="none" w:sz="0" w:space="0" w:color="auto"/>
                    <w:left w:val="none" w:sz="0" w:space="0" w:color="auto"/>
                    <w:bottom w:val="none" w:sz="0" w:space="0" w:color="auto"/>
                    <w:right w:val="none" w:sz="0" w:space="0" w:color="auto"/>
                  </w:divBdr>
                  <w:divsChild>
                    <w:div w:id="117993634">
                      <w:marLeft w:val="0"/>
                      <w:marRight w:val="0"/>
                      <w:marTop w:val="0"/>
                      <w:marBottom w:val="0"/>
                      <w:divBdr>
                        <w:top w:val="none" w:sz="0" w:space="0" w:color="auto"/>
                        <w:left w:val="none" w:sz="0" w:space="0" w:color="auto"/>
                        <w:bottom w:val="none" w:sz="0" w:space="0" w:color="auto"/>
                        <w:right w:val="none" w:sz="0" w:space="0" w:color="auto"/>
                      </w:divBdr>
                    </w:div>
                  </w:divsChild>
                </w:div>
                <w:div w:id="668558492">
                  <w:marLeft w:val="0"/>
                  <w:marRight w:val="0"/>
                  <w:marTop w:val="0"/>
                  <w:marBottom w:val="0"/>
                  <w:divBdr>
                    <w:top w:val="none" w:sz="0" w:space="0" w:color="auto"/>
                    <w:left w:val="none" w:sz="0" w:space="0" w:color="auto"/>
                    <w:bottom w:val="none" w:sz="0" w:space="0" w:color="auto"/>
                    <w:right w:val="none" w:sz="0" w:space="0" w:color="auto"/>
                  </w:divBdr>
                  <w:divsChild>
                    <w:div w:id="1857576928">
                      <w:marLeft w:val="0"/>
                      <w:marRight w:val="0"/>
                      <w:marTop w:val="0"/>
                      <w:marBottom w:val="0"/>
                      <w:divBdr>
                        <w:top w:val="none" w:sz="0" w:space="0" w:color="auto"/>
                        <w:left w:val="none" w:sz="0" w:space="0" w:color="auto"/>
                        <w:bottom w:val="none" w:sz="0" w:space="0" w:color="auto"/>
                        <w:right w:val="none" w:sz="0" w:space="0" w:color="auto"/>
                      </w:divBdr>
                    </w:div>
                  </w:divsChild>
                </w:div>
                <w:div w:id="756710020">
                  <w:marLeft w:val="0"/>
                  <w:marRight w:val="0"/>
                  <w:marTop w:val="0"/>
                  <w:marBottom w:val="0"/>
                  <w:divBdr>
                    <w:top w:val="none" w:sz="0" w:space="0" w:color="auto"/>
                    <w:left w:val="none" w:sz="0" w:space="0" w:color="auto"/>
                    <w:bottom w:val="none" w:sz="0" w:space="0" w:color="auto"/>
                    <w:right w:val="none" w:sz="0" w:space="0" w:color="auto"/>
                  </w:divBdr>
                  <w:divsChild>
                    <w:div w:id="486437850">
                      <w:marLeft w:val="0"/>
                      <w:marRight w:val="0"/>
                      <w:marTop w:val="0"/>
                      <w:marBottom w:val="0"/>
                      <w:divBdr>
                        <w:top w:val="none" w:sz="0" w:space="0" w:color="auto"/>
                        <w:left w:val="none" w:sz="0" w:space="0" w:color="auto"/>
                        <w:bottom w:val="none" w:sz="0" w:space="0" w:color="auto"/>
                        <w:right w:val="none" w:sz="0" w:space="0" w:color="auto"/>
                      </w:divBdr>
                    </w:div>
                  </w:divsChild>
                </w:div>
                <w:div w:id="774443580">
                  <w:marLeft w:val="0"/>
                  <w:marRight w:val="0"/>
                  <w:marTop w:val="0"/>
                  <w:marBottom w:val="0"/>
                  <w:divBdr>
                    <w:top w:val="none" w:sz="0" w:space="0" w:color="auto"/>
                    <w:left w:val="none" w:sz="0" w:space="0" w:color="auto"/>
                    <w:bottom w:val="none" w:sz="0" w:space="0" w:color="auto"/>
                    <w:right w:val="none" w:sz="0" w:space="0" w:color="auto"/>
                  </w:divBdr>
                  <w:divsChild>
                    <w:div w:id="2003191948">
                      <w:marLeft w:val="0"/>
                      <w:marRight w:val="0"/>
                      <w:marTop w:val="0"/>
                      <w:marBottom w:val="0"/>
                      <w:divBdr>
                        <w:top w:val="none" w:sz="0" w:space="0" w:color="auto"/>
                        <w:left w:val="none" w:sz="0" w:space="0" w:color="auto"/>
                        <w:bottom w:val="none" w:sz="0" w:space="0" w:color="auto"/>
                        <w:right w:val="none" w:sz="0" w:space="0" w:color="auto"/>
                      </w:divBdr>
                    </w:div>
                  </w:divsChild>
                </w:div>
                <w:div w:id="802770658">
                  <w:marLeft w:val="0"/>
                  <w:marRight w:val="0"/>
                  <w:marTop w:val="0"/>
                  <w:marBottom w:val="0"/>
                  <w:divBdr>
                    <w:top w:val="none" w:sz="0" w:space="0" w:color="auto"/>
                    <w:left w:val="none" w:sz="0" w:space="0" w:color="auto"/>
                    <w:bottom w:val="none" w:sz="0" w:space="0" w:color="auto"/>
                    <w:right w:val="none" w:sz="0" w:space="0" w:color="auto"/>
                  </w:divBdr>
                  <w:divsChild>
                    <w:div w:id="1586038972">
                      <w:marLeft w:val="0"/>
                      <w:marRight w:val="0"/>
                      <w:marTop w:val="0"/>
                      <w:marBottom w:val="0"/>
                      <w:divBdr>
                        <w:top w:val="none" w:sz="0" w:space="0" w:color="auto"/>
                        <w:left w:val="none" w:sz="0" w:space="0" w:color="auto"/>
                        <w:bottom w:val="none" w:sz="0" w:space="0" w:color="auto"/>
                        <w:right w:val="none" w:sz="0" w:space="0" w:color="auto"/>
                      </w:divBdr>
                    </w:div>
                  </w:divsChild>
                </w:div>
                <w:div w:id="837578354">
                  <w:marLeft w:val="0"/>
                  <w:marRight w:val="0"/>
                  <w:marTop w:val="0"/>
                  <w:marBottom w:val="0"/>
                  <w:divBdr>
                    <w:top w:val="none" w:sz="0" w:space="0" w:color="auto"/>
                    <w:left w:val="none" w:sz="0" w:space="0" w:color="auto"/>
                    <w:bottom w:val="none" w:sz="0" w:space="0" w:color="auto"/>
                    <w:right w:val="none" w:sz="0" w:space="0" w:color="auto"/>
                  </w:divBdr>
                  <w:divsChild>
                    <w:div w:id="1601839758">
                      <w:marLeft w:val="0"/>
                      <w:marRight w:val="0"/>
                      <w:marTop w:val="0"/>
                      <w:marBottom w:val="0"/>
                      <w:divBdr>
                        <w:top w:val="none" w:sz="0" w:space="0" w:color="auto"/>
                        <w:left w:val="none" w:sz="0" w:space="0" w:color="auto"/>
                        <w:bottom w:val="none" w:sz="0" w:space="0" w:color="auto"/>
                        <w:right w:val="none" w:sz="0" w:space="0" w:color="auto"/>
                      </w:divBdr>
                    </w:div>
                  </w:divsChild>
                </w:div>
                <w:div w:id="929703241">
                  <w:marLeft w:val="0"/>
                  <w:marRight w:val="0"/>
                  <w:marTop w:val="0"/>
                  <w:marBottom w:val="0"/>
                  <w:divBdr>
                    <w:top w:val="none" w:sz="0" w:space="0" w:color="auto"/>
                    <w:left w:val="none" w:sz="0" w:space="0" w:color="auto"/>
                    <w:bottom w:val="none" w:sz="0" w:space="0" w:color="auto"/>
                    <w:right w:val="none" w:sz="0" w:space="0" w:color="auto"/>
                  </w:divBdr>
                  <w:divsChild>
                    <w:div w:id="848526533">
                      <w:marLeft w:val="0"/>
                      <w:marRight w:val="0"/>
                      <w:marTop w:val="0"/>
                      <w:marBottom w:val="0"/>
                      <w:divBdr>
                        <w:top w:val="none" w:sz="0" w:space="0" w:color="auto"/>
                        <w:left w:val="none" w:sz="0" w:space="0" w:color="auto"/>
                        <w:bottom w:val="none" w:sz="0" w:space="0" w:color="auto"/>
                        <w:right w:val="none" w:sz="0" w:space="0" w:color="auto"/>
                      </w:divBdr>
                    </w:div>
                  </w:divsChild>
                </w:div>
                <w:div w:id="961417747">
                  <w:marLeft w:val="0"/>
                  <w:marRight w:val="0"/>
                  <w:marTop w:val="0"/>
                  <w:marBottom w:val="0"/>
                  <w:divBdr>
                    <w:top w:val="none" w:sz="0" w:space="0" w:color="auto"/>
                    <w:left w:val="none" w:sz="0" w:space="0" w:color="auto"/>
                    <w:bottom w:val="none" w:sz="0" w:space="0" w:color="auto"/>
                    <w:right w:val="none" w:sz="0" w:space="0" w:color="auto"/>
                  </w:divBdr>
                  <w:divsChild>
                    <w:div w:id="1352143763">
                      <w:marLeft w:val="0"/>
                      <w:marRight w:val="0"/>
                      <w:marTop w:val="0"/>
                      <w:marBottom w:val="0"/>
                      <w:divBdr>
                        <w:top w:val="none" w:sz="0" w:space="0" w:color="auto"/>
                        <w:left w:val="none" w:sz="0" w:space="0" w:color="auto"/>
                        <w:bottom w:val="none" w:sz="0" w:space="0" w:color="auto"/>
                        <w:right w:val="none" w:sz="0" w:space="0" w:color="auto"/>
                      </w:divBdr>
                    </w:div>
                    <w:div w:id="1961647619">
                      <w:marLeft w:val="0"/>
                      <w:marRight w:val="0"/>
                      <w:marTop w:val="0"/>
                      <w:marBottom w:val="0"/>
                      <w:divBdr>
                        <w:top w:val="none" w:sz="0" w:space="0" w:color="auto"/>
                        <w:left w:val="none" w:sz="0" w:space="0" w:color="auto"/>
                        <w:bottom w:val="none" w:sz="0" w:space="0" w:color="auto"/>
                        <w:right w:val="none" w:sz="0" w:space="0" w:color="auto"/>
                      </w:divBdr>
                    </w:div>
                  </w:divsChild>
                </w:div>
                <w:div w:id="1026516099">
                  <w:marLeft w:val="0"/>
                  <w:marRight w:val="0"/>
                  <w:marTop w:val="0"/>
                  <w:marBottom w:val="0"/>
                  <w:divBdr>
                    <w:top w:val="none" w:sz="0" w:space="0" w:color="auto"/>
                    <w:left w:val="none" w:sz="0" w:space="0" w:color="auto"/>
                    <w:bottom w:val="none" w:sz="0" w:space="0" w:color="auto"/>
                    <w:right w:val="none" w:sz="0" w:space="0" w:color="auto"/>
                  </w:divBdr>
                  <w:divsChild>
                    <w:div w:id="995257607">
                      <w:marLeft w:val="0"/>
                      <w:marRight w:val="0"/>
                      <w:marTop w:val="0"/>
                      <w:marBottom w:val="0"/>
                      <w:divBdr>
                        <w:top w:val="none" w:sz="0" w:space="0" w:color="auto"/>
                        <w:left w:val="none" w:sz="0" w:space="0" w:color="auto"/>
                        <w:bottom w:val="none" w:sz="0" w:space="0" w:color="auto"/>
                        <w:right w:val="none" w:sz="0" w:space="0" w:color="auto"/>
                      </w:divBdr>
                    </w:div>
                    <w:div w:id="1219365940">
                      <w:marLeft w:val="0"/>
                      <w:marRight w:val="0"/>
                      <w:marTop w:val="0"/>
                      <w:marBottom w:val="0"/>
                      <w:divBdr>
                        <w:top w:val="none" w:sz="0" w:space="0" w:color="auto"/>
                        <w:left w:val="none" w:sz="0" w:space="0" w:color="auto"/>
                        <w:bottom w:val="none" w:sz="0" w:space="0" w:color="auto"/>
                        <w:right w:val="none" w:sz="0" w:space="0" w:color="auto"/>
                      </w:divBdr>
                    </w:div>
                  </w:divsChild>
                </w:div>
                <w:div w:id="1130056324">
                  <w:marLeft w:val="0"/>
                  <w:marRight w:val="0"/>
                  <w:marTop w:val="0"/>
                  <w:marBottom w:val="0"/>
                  <w:divBdr>
                    <w:top w:val="none" w:sz="0" w:space="0" w:color="auto"/>
                    <w:left w:val="none" w:sz="0" w:space="0" w:color="auto"/>
                    <w:bottom w:val="none" w:sz="0" w:space="0" w:color="auto"/>
                    <w:right w:val="none" w:sz="0" w:space="0" w:color="auto"/>
                  </w:divBdr>
                  <w:divsChild>
                    <w:div w:id="651760102">
                      <w:marLeft w:val="0"/>
                      <w:marRight w:val="0"/>
                      <w:marTop w:val="0"/>
                      <w:marBottom w:val="0"/>
                      <w:divBdr>
                        <w:top w:val="none" w:sz="0" w:space="0" w:color="auto"/>
                        <w:left w:val="none" w:sz="0" w:space="0" w:color="auto"/>
                        <w:bottom w:val="none" w:sz="0" w:space="0" w:color="auto"/>
                        <w:right w:val="none" w:sz="0" w:space="0" w:color="auto"/>
                      </w:divBdr>
                    </w:div>
                  </w:divsChild>
                </w:div>
                <w:div w:id="1158962278">
                  <w:marLeft w:val="0"/>
                  <w:marRight w:val="0"/>
                  <w:marTop w:val="0"/>
                  <w:marBottom w:val="0"/>
                  <w:divBdr>
                    <w:top w:val="none" w:sz="0" w:space="0" w:color="auto"/>
                    <w:left w:val="none" w:sz="0" w:space="0" w:color="auto"/>
                    <w:bottom w:val="none" w:sz="0" w:space="0" w:color="auto"/>
                    <w:right w:val="none" w:sz="0" w:space="0" w:color="auto"/>
                  </w:divBdr>
                  <w:divsChild>
                    <w:div w:id="1160583004">
                      <w:marLeft w:val="0"/>
                      <w:marRight w:val="0"/>
                      <w:marTop w:val="0"/>
                      <w:marBottom w:val="0"/>
                      <w:divBdr>
                        <w:top w:val="none" w:sz="0" w:space="0" w:color="auto"/>
                        <w:left w:val="none" w:sz="0" w:space="0" w:color="auto"/>
                        <w:bottom w:val="none" w:sz="0" w:space="0" w:color="auto"/>
                        <w:right w:val="none" w:sz="0" w:space="0" w:color="auto"/>
                      </w:divBdr>
                    </w:div>
                  </w:divsChild>
                </w:div>
                <w:div w:id="1204053080">
                  <w:marLeft w:val="0"/>
                  <w:marRight w:val="0"/>
                  <w:marTop w:val="0"/>
                  <w:marBottom w:val="0"/>
                  <w:divBdr>
                    <w:top w:val="none" w:sz="0" w:space="0" w:color="auto"/>
                    <w:left w:val="none" w:sz="0" w:space="0" w:color="auto"/>
                    <w:bottom w:val="none" w:sz="0" w:space="0" w:color="auto"/>
                    <w:right w:val="none" w:sz="0" w:space="0" w:color="auto"/>
                  </w:divBdr>
                  <w:divsChild>
                    <w:div w:id="62410717">
                      <w:marLeft w:val="0"/>
                      <w:marRight w:val="0"/>
                      <w:marTop w:val="0"/>
                      <w:marBottom w:val="0"/>
                      <w:divBdr>
                        <w:top w:val="none" w:sz="0" w:space="0" w:color="auto"/>
                        <w:left w:val="none" w:sz="0" w:space="0" w:color="auto"/>
                        <w:bottom w:val="none" w:sz="0" w:space="0" w:color="auto"/>
                        <w:right w:val="none" w:sz="0" w:space="0" w:color="auto"/>
                      </w:divBdr>
                    </w:div>
                    <w:div w:id="291180251">
                      <w:marLeft w:val="0"/>
                      <w:marRight w:val="0"/>
                      <w:marTop w:val="0"/>
                      <w:marBottom w:val="0"/>
                      <w:divBdr>
                        <w:top w:val="none" w:sz="0" w:space="0" w:color="auto"/>
                        <w:left w:val="none" w:sz="0" w:space="0" w:color="auto"/>
                        <w:bottom w:val="none" w:sz="0" w:space="0" w:color="auto"/>
                        <w:right w:val="none" w:sz="0" w:space="0" w:color="auto"/>
                      </w:divBdr>
                    </w:div>
                    <w:div w:id="313150057">
                      <w:marLeft w:val="0"/>
                      <w:marRight w:val="0"/>
                      <w:marTop w:val="0"/>
                      <w:marBottom w:val="0"/>
                      <w:divBdr>
                        <w:top w:val="none" w:sz="0" w:space="0" w:color="auto"/>
                        <w:left w:val="none" w:sz="0" w:space="0" w:color="auto"/>
                        <w:bottom w:val="none" w:sz="0" w:space="0" w:color="auto"/>
                        <w:right w:val="none" w:sz="0" w:space="0" w:color="auto"/>
                      </w:divBdr>
                    </w:div>
                    <w:div w:id="573052494">
                      <w:marLeft w:val="0"/>
                      <w:marRight w:val="0"/>
                      <w:marTop w:val="0"/>
                      <w:marBottom w:val="0"/>
                      <w:divBdr>
                        <w:top w:val="none" w:sz="0" w:space="0" w:color="auto"/>
                        <w:left w:val="none" w:sz="0" w:space="0" w:color="auto"/>
                        <w:bottom w:val="none" w:sz="0" w:space="0" w:color="auto"/>
                        <w:right w:val="none" w:sz="0" w:space="0" w:color="auto"/>
                      </w:divBdr>
                    </w:div>
                    <w:div w:id="949822397">
                      <w:marLeft w:val="0"/>
                      <w:marRight w:val="0"/>
                      <w:marTop w:val="0"/>
                      <w:marBottom w:val="0"/>
                      <w:divBdr>
                        <w:top w:val="none" w:sz="0" w:space="0" w:color="auto"/>
                        <w:left w:val="none" w:sz="0" w:space="0" w:color="auto"/>
                        <w:bottom w:val="none" w:sz="0" w:space="0" w:color="auto"/>
                        <w:right w:val="none" w:sz="0" w:space="0" w:color="auto"/>
                      </w:divBdr>
                    </w:div>
                    <w:div w:id="1126630479">
                      <w:marLeft w:val="0"/>
                      <w:marRight w:val="0"/>
                      <w:marTop w:val="0"/>
                      <w:marBottom w:val="0"/>
                      <w:divBdr>
                        <w:top w:val="none" w:sz="0" w:space="0" w:color="auto"/>
                        <w:left w:val="none" w:sz="0" w:space="0" w:color="auto"/>
                        <w:bottom w:val="none" w:sz="0" w:space="0" w:color="auto"/>
                        <w:right w:val="none" w:sz="0" w:space="0" w:color="auto"/>
                      </w:divBdr>
                    </w:div>
                    <w:div w:id="1192957695">
                      <w:marLeft w:val="0"/>
                      <w:marRight w:val="0"/>
                      <w:marTop w:val="0"/>
                      <w:marBottom w:val="0"/>
                      <w:divBdr>
                        <w:top w:val="none" w:sz="0" w:space="0" w:color="auto"/>
                        <w:left w:val="none" w:sz="0" w:space="0" w:color="auto"/>
                        <w:bottom w:val="none" w:sz="0" w:space="0" w:color="auto"/>
                        <w:right w:val="none" w:sz="0" w:space="0" w:color="auto"/>
                      </w:divBdr>
                    </w:div>
                    <w:div w:id="1200554081">
                      <w:marLeft w:val="0"/>
                      <w:marRight w:val="0"/>
                      <w:marTop w:val="0"/>
                      <w:marBottom w:val="0"/>
                      <w:divBdr>
                        <w:top w:val="none" w:sz="0" w:space="0" w:color="auto"/>
                        <w:left w:val="none" w:sz="0" w:space="0" w:color="auto"/>
                        <w:bottom w:val="none" w:sz="0" w:space="0" w:color="auto"/>
                        <w:right w:val="none" w:sz="0" w:space="0" w:color="auto"/>
                      </w:divBdr>
                    </w:div>
                    <w:div w:id="1877347456">
                      <w:marLeft w:val="0"/>
                      <w:marRight w:val="0"/>
                      <w:marTop w:val="0"/>
                      <w:marBottom w:val="0"/>
                      <w:divBdr>
                        <w:top w:val="none" w:sz="0" w:space="0" w:color="auto"/>
                        <w:left w:val="none" w:sz="0" w:space="0" w:color="auto"/>
                        <w:bottom w:val="none" w:sz="0" w:space="0" w:color="auto"/>
                        <w:right w:val="none" w:sz="0" w:space="0" w:color="auto"/>
                      </w:divBdr>
                    </w:div>
                  </w:divsChild>
                </w:div>
                <w:div w:id="1324897599">
                  <w:marLeft w:val="0"/>
                  <w:marRight w:val="0"/>
                  <w:marTop w:val="0"/>
                  <w:marBottom w:val="0"/>
                  <w:divBdr>
                    <w:top w:val="none" w:sz="0" w:space="0" w:color="auto"/>
                    <w:left w:val="none" w:sz="0" w:space="0" w:color="auto"/>
                    <w:bottom w:val="none" w:sz="0" w:space="0" w:color="auto"/>
                    <w:right w:val="none" w:sz="0" w:space="0" w:color="auto"/>
                  </w:divBdr>
                  <w:divsChild>
                    <w:div w:id="1252205125">
                      <w:marLeft w:val="0"/>
                      <w:marRight w:val="0"/>
                      <w:marTop w:val="0"/>
                      <w:marBottom w:val="0"/>
                      <w:divBdr>
                        <w:top w:val="none" w:sz="0" w:space="0" w:color="auto"/>
                        <w:left w:val="none" w:sz="0" w:space="0" w:color="auto"/>
                        <w:bottom w:val="none" w:sz="0" w:space="0" w:color="auto"/>
                        <w:right w:val="none" w:sz="0" w:space="0" w:color="auto"/>
                      </w:divBdr>
                    </w:div>
                  </w:divsChild>
                </w:div>
                <w:div w:id="1333144144">
                  <w:marLeft w:val="0"/>
                  <w:marRight w:val="0"/>
                  <w:marTop w:val="0"/>
                  <w:marBottom w:val="0"/>
                  <w:divBdr>
                    <w:top w:val="none" w:sz="0" w:space="0" w:color="auto"/>
                    <w:left w:val="none" w:sz="0" w:space="0" w:color="auto"/>
                    <w:bottom w:val="none" w:sz="0" w:space="0" w:color="auto"/>
                    <w:right w:val="none" w:sz="0" w:space="0" w:color="auto"/>
                  </w:divBdr>
                  <w:divsChild>
                    <w:div w:id="1663465743">
                      <w:marLeft w:val="0"/>
                      <w:marRight w:val="0"/>
                      <w:marTop w:val="0"/>
                      <w:marBottom w:val="0"/>
                      <w:divBdr>
                        <w:top w:val="none" w:sz="0" w:space="0" w:color="auto"/>
                        <w:left w:val="none" w:sz="0" w:space="0" w:color="auto"/>
                        <w:bottom w:val="none" w:sz="0" w:space="0" w:color="auto"/>
                        <w:right w:val="none" w:sz="0" w:space="0" w:color="auto"/>
                      </w:divBdr>
                    </w:div>
                  </w:divsChild>
                </w:div>
                <w:div w:id="1358847754">
                  <w:marLeft w:val="0"/>
                  <w:marRight w:val="0"/>
                  <w:marTop w:val="0"/>
                  <w:marBottom w:val="0"/>
                  <w:divBdr>
                    <w:top w:val="none" w:sz="0" w:space="0" w:color="auto"/>
                    <w:left w:val="none" w:sz="0" w:space="0" w:color="auto"/>
                    <w:bottom w:val="none" w:sz="0" w:space="0" w:color="auto"/>
                    <w:right w:val="none" w:sz="0" w:space="0" w:color="auto"/>
                  </w:divBdr>
                  <w:divsChild>
                    <w:div w:id="1681078048">
                      <w:marLeft w:val="0"/>
                      <w:marRight w:val="0"/>
                      <w:marTop w:val="0"/>
                      <w:marBottom w:val="0"/>
                      <w:divBdr>
                        <w:top w:val="none" w:sz="0" w:space="0" w:color="auto"/>
                        <w:left w:val="none" w:sz="0" w:space="0" w:color="auto"/>
                        <w:bottom w:val="none" w:sz="0" w:space="0" w:color="auto"/>
                        <w:right w:val="none" w:sz="0" w:space="0" w:color="auto"/>
                      </w:divBdr>
                    </w:div>
                  </w:divsChild>
                </w:div>
                <w:div w:id="1439374898">
                  <w:marLeft w:val="0"/>
                  <w:marRight w:val="0"/>
                  <w:marTop w:val="0"/>
                  <w:marBottom w:val="0"/>
                  <w:divBdr>
                    <w:top w:val="none" w:sz="0" w:space="0" w:color="auto"/>
                    <w:left w:val="none" w:sz="0" w:space="0" w:color="auto"/>
                    <w:bottom w:val="none" w:sz="0" w:space="0" w:color="auto"/>
                    <w:right w:val="none" w:sz="0" w:space="0" w:color="auto"/>
                  </w:divBdr>
                  <w:divsChild>
                    <w:div w:id="1248265215">
                      <w:marLeft w:val="0"/>
                      <w:marRight w:val="0"/>
                      <w:marTop w:val="0"/>
                      <w:marBottom w:val="0"/>
                      <w:divBdr>
                        <w:top w:val="none" w:sz="0" w:space="0" w:color="auto"/>
                        <w:left w:val="none" w:sz="0" w:space="0" w:color="auto"/>
                        <w:bottom w:val="none" w:sz="0" w:space="0" w:color="auto"/>
                        <w:right w:val="none" w:sz="0" w:space="0" w:color="auto"/>
                      </w:divBdr>
                    </w:div>
                  </w:divsChild>
                </w:div>
                <w:div w:id="1468739056">
                  <w:marLeft w:val="0"/>
                  <w:marRight w:val="0"/>
                  <w:marTop w:val="0"/>
                  <w:marBottom w:val="0"/>
                  <w:divBdr>
                    <w:top w:val="none" w:sz="0" w:space="0" w:color="auto"/>
                    <w:left w:val="none" w:sz="0" w:space="0" w:color="auto"/>
                    <w:bottom w:val="none" w:sz="0" w:space="0" w:color="auto"/>
                    <w:right w:val="none" w:sz="0" w:space="0" w:color="auto"/>
                  </w:divBdr>
                  <w:divsChild>
                    <w:div w:id="1847747760">
                      <w:marLeft w:val="0"/>
                      <w:marRight w:val="0"/>
                      <w:marTop w:val="0"/>
                      <w:marBottom w:val="0"/>
                      <w:divBdr>
                        <w:top w:val="none" w:sz="0" w:space="0" w:color="auto"/>
                        <w:left w:val="none" w:sz="0" w:space="0" w:color="auto"/>
                        <w:bottom w:val="none" w:sz="0" w:space="0" w:color="auto"/>
                        <w:right w:val="none" w:sz="0" w:space="0" w:color="auto"/>
                      </w:divBdr>
                    </w:div>
                  </w:divsChild>
                </w:div>
                <w:div w:id="1486823060">
                  <w:marLeft w:val="0"/>
                  <w:marRight w:val="0"/>
                  <w:marTop w:val="0"/>
                  <w:marBottom w:val="0"/>
                  <w:divBdr>
                    <w:top w:val="none" w:sz="0" w:space="0" w:color="auto"/>
                    <w:left w:val="none" w:sz="0" w:space="0" w:color="auto"/>
                    <w:bottom w:val="none" w:sz="0" w:space="0" w:color="auto"/>
                    <w:right w:val="none" w:sz="0" w:space="0" w:color="auto"/>
                  </w:divBdr>
                  <w:divsChild>
                    <w:div w:id="297147296">
                      <w:marLeft w:val="0"/>
                      <w:marRight w:val="0"/>
                      <w:marTop w:val="0"/>
                      <w:marBottom w:val="0"/>
                      <w:divBdr>
                        <w:top w:val="none" w:sz="0" w:space="0" w:color="auto"/>
                        <w:left w:val="none" w:sz="0" w:space="0" w:color="auto"/>
                        <w:bottom w:val="none" w:sz="0" w:space="0" w:color="auto"/>
                        <w:right w:val="none" w:sz="0" w:space="0" w:color="auto"/>
                      </w:divBdr>
                    </w:div>
                  </w:divsChild>
                </w:div>
                <w:div w:id="1540779229">
                  <w:marLeft w:val="0"/>
                  <w:marRight w:val="0"/>
                  <w:marTop w:val="0"/>
                  <w:marBottom w:val="0"/>
                  <w:divBdr>
                    <w:top w:val="none" w:sz="0" w:space="0" w:color="auto"/>
                    <w:left w:val="none" w:sz="0" w:space="0" w:color="auto"/>
                    <w:bottom w:val="none" w:sz="0" w:space="0" w:color="auto"/>
                    <w:right w:val="none" w:sz="0" w:space="0" w:color="auto"/>
                  </w:divBdr>
                  <w:divsChild>
                    <w:div w:id="1137457225">
                      <w:marLeft w:val="0"/>
                      <w:marRight w:val="0"/>
                      <w:marTop w:val="0"/>
                      <w:marBottom w:val="0"/>
                      <w:divBdr>
                        <w:top w:val="none" w:sz="0" w:space="0" w:color="auto"/>
                        <w:left w:val="none" w:sz="0" w:space="0" w:color="auto"/>
                        <w:bottom w:val="none" w:sz="0" w:space="0" w:color="auto"/>
                        <w:right w:val="none" w:sz="0" w:space="0" w:color="auto"/>
                      </w:divBdr>
                    </w:div>
                  </w:divsChild>
                </w:div>
                <w:div w:id="1549106507">
                  <w:marLeft w:val="0"/>
                  <w:marRight w:val="0"/>
                  <w:marTop w:val="0"/>
                  <w:marBottom w:val="0"/>
                  <w:divBdr>
                    <w:top w:val="none" w:sz="0" w:space="0" w:color="auto"/>
                    <w:left w:val="none" w:sz="0" w:space="0" w:color="auto"/>
                    <w:bottom w:val="none" w:sz="0" w:space="0" w:color="auto"/>
                    <w:right w:val="none" w:sz="0" w:space="0" w:color="auto"/>
                  </w:divBdr>
                  <w:divsChild>
                    <w:div w:id="1088498757">
                      <w:marLeft w:val="0"/>
                      <w:marRight w:val="0"/>
                      <w:marTop w:val="0"/>
                      <w:marBottom w:val="0"/>
                      <w:divBdr>
                        <w:top w:val="none" w:sz="0" w:space="0" w:color="auto"/>
                        <w:left w:val="none" w:sz="0" w:space="0" w:color="auto"/>
                        <w:bottom w:val="none" w:sz="0" w:space="0" w:color="auto"/>
                        <w:right w:val="none" w:sz="0" w:space="0" w:color="auto"/>
                      </w:divBdr>
                    </w:div>
                  </w:divsChild>
                </w:div>
                <w:div w:id="1615479858">
                  <w:marLeft w:val="0"/>
                  <w:marRight w:val="0"/>
                  <w:marTop w:val="0"/>
                  <w:marBottom w:val="0"/>
                  <w:divBdr>
                    <w:top w:val="none" w:sz="0" w:space="0" w:color="auto"/>
                    <w:left w:val="none" w:sz="0" w:space="0" w:color="auto"/>
                    <w:bottom w:val="none" w:sz="0" w:space="0" w:color="auto"/>
                    <w:right w:val="none" w:sz="0" w:space="0" w:color="auto"/>
                  </w:divBdr>
                  <w:divsChild>
                    <w:div w:id="630790785">
                      <w:marLeft w:val="0"/>
                      <w:marRight w:val="0"/>
                      <w:marTop w:val="0"/>
                      <w:marBottom w:val="0"/>
                      <w:divBdr>
                        <w:top w:val="none" w:sz="0" w:space="0" w:color="auto"/>
                        <w:left w:val="none" w:sz="0" w:space="0" w:color="auto"/>
                        <w:bottom w:val="none" w:sz="0" w:space="0" w:color="auto"/>
                        <w:right w:val="none" w:sz="0" w:space="0" w:color="auto"/>
                      </w:divBdr>
                    </w:div>
                  </w:divsChild>
                </w:div>
                <w:div w:id="1741755021">
                  <w:marLeft w:val="0"/>
                  <w:marRight w:val="0"/>
                  <w:marTop w:val="0"/>
                  <w:marBottom w:val="0"/>
                  <w:divBdr>
                    <w:top w:val="none" w:sz="0" w:space="0" w:color="auto"/>
                    <w:left w:val="none" w:sz="0" w:space="0" w:color="auto"/>
                    <w:bottom w:val="none" w:sz="0" w:space="0" w:color="auto"/>
                    <w:right w:val="none" w:sz="0" w:space="0" w:color="auto"/>
                  </w:divBdr>
                  <w:divsChild>
                    <w:div w:id="436799972">
                      <w:marLeft w:val="0"/>
                      <w:marRight w:val="0"/>
                      <w:marTop w:val="0"/>
                      <w:marBottom w:val="0"/>
                      <w:divBdr>
                        <w:top w:val="none" w:sz="0" w:space="0" w:color="auto"/>
                        <w:left w:val="none" w:sz="0" w:space="0" w:color="auto"/>
                        <w:bottom w:val="none" w:sz="0" w:space="0" w:color="auto"/>
                        <w:right w:val="none" w:sz="0" w:space="0" w:color="auto"/>
                      </w:divBdr>
                    </w:div>
                  </w:divsChild>
                </w:div>
                <w:div w:id="1872918999">
                  <w:marLeft w:val="0"/>
                  <w:marRight w:val="0"/>
                  <w:marTop w:val="0"/>
                  <w:marBottom w:val="0"/>
                  <w:divBdr>
                    <w:top w:val="none" w:sz="0" w:space="0" w:color="auto"/>
                    <w:left w:val="none" w:sz="0" w:space="0" w:color="auto"/>
                    <w:bottom w:val="none" w:sz="0" w:space="0" w:color="auto"/>
                    <w:right w:val="none" w:sz="0" w:space="0" w:color="auto"/>
                  </w:divBdr>
                  <w:divsChild>
                    <w:div w:id="1073965920">
                      <w:marLeft w:val="0"/>
                      <w:marRight w:val="0"/>
                      <w:marTop w:val="0"/>
                      <w:marBottom w:val="0"/>
                      <w:divBdr>
                        <w:top w:val="none" w:sz="0" w:space="0" w:color="auto"/>
                        <w:left w:val="none" w:sz="0" w:space="0" w:color="auto"/>
                        <w:bottom w:val="none" w:sz="0" w:space="0" w:color="auto"/>
                        <w:right w:val="none" w:sz="0" w:space="0" w:color="auto"/>
                      </w:divBdr>
                    </w:div>
                    <w:div w:id="1185098977">
                      <w:marLeft w:val="0"/>
                      <w:marRight w:val="0"/>
                      <w:marTop w:val="0"/>
                      <w:marBottom w:val="0"/>
                      <w:divBdr>
                        <w:top w:val="none" w:sz="0" w:space="0" w:color="auto"/>
                        <w:left w:val="none" w:sz="0" w:space="0" w:color="auto"/>
                        <w:bottom w:val="none" w:sz="0" w:space="0" w:color="auto"/>
                        <w:right w:val="none" w:sz="0" w:space="0" w:color="auto"/>
                      </w:divBdr>
                    </w:div>
                  </w:divsChild>
                </w:div>
                <w:div w:id="1922836296">
                  <w:marLeft w:val="0"/>
                  <w:marRight w:val="0"/>
                  <w:marTop w:val="0"/>
                  <w:marBottom w:val="0"/>
                  <w:divBdr>
                    <w:top w:val="none" w:sz="0" w:space="0" w:color="auto"/>
                    <w:left w:val="none" w:sz="0" w:space="0" w:color="auto"/>
                    <w:bottom w:val="none" w:sz="0" w:space="0" w:color="auto"/>
                    <w:right w:val="none" w:sz="0" w:space="0" w:color="auto"/>
                  </w:divBdr>
                  <w:divsChild>
                    <w:div w:id="1198352291">
                      <w:marLeft w:val="0"/>
                      <w:marRight w:val="0"/>
                      <w:marTop w:val="0"/>
                      <w:marBottom w:val="0"/>
                      <w:divBdr>
                        <w:top w:val="none" w:sz="0" w:space="0" w:color="auto"/>
                        <w:left w:val="none" w:sz="0" w:space="0" w:color="auto"/>
                        <w:bottom w:val="none" w:sz="0" w:space="0" w:color="auto"/>
                        <w:right w:val="none" w:sz="0" w:space="0" w:color="auto"/>
                      </w:divBdr>
                    </w:div>
                    <w:div w:id="1359967115">
                      <w:marLeft w:val="0"/>
                      <w:marRight w:val="0"/>
                      <w:marTop w:val="0"/>
                      <w:marBottom w:val="0"/>
                      <w:divBdr>
                        <w:top w:val="none" w:sz="0" w:space="0" w:color="auto"/>
                        <w:left w:val="none" w:sz="0" w:space="0" w:color="auto"/>
                        <w:bottom w:val="none" w:sz="0" w:space="0" w:color="auto"/>
                        <w:right w:val="none" w:sz="0" w:space="0" w:color="auto"/>
                      </w:divBdr>
                    </w:div>
                  </w:divsChild>
                </w:div>
                <w:div w:id="1931312825">
                  <w:marLeft w:val="0"/>
                  <w:marRight w:val="0"/>
                  <w:marTop w:val="0"/>
                  <w:marBottom w:val="0"/>
                  <w:divBdr>
                    <w:top w:val="none" w:sz="0" w:space="0" w:color="auto"/>
                    <w:left w:val="none" w:sz="0" w:space="0" w:color="auto"/>
                    <w:bottom w:val="none" w:sz="0" w:space="0" w:color="auto"/>
                    <w:right w:val="none" w:sz="0" w:space="0" w:color="auto"/>
                  </w:divBdr>
                  <w:divsChild>
                    <w:div w:id="2057583670">
                      <w:marLeft w:val="0"/>
                      <w:marRight w:val="0"/>
                      <w:marTop w:val="0"/>
                      <w:marBottom w:val="0"/>
                      <w:divBdr>
                        <w:top w:val="none" w:sz="0" w:space="0" w:color="auto"/>
                        <w:left w:val="none" w:sz="0" w:space="0" w:color="auto"/>
                        <w:bottom w:val="none" w:sz="0" w:space="0" w:color="auto"/>
                        <w:right w:val="none" w:sz="0" w:space="0" w:color="auto"/>
                      </w:divBdr>
                    </w:div>
                  </w:divsChild>
                </w:div>
                <w:div w:id="1979415821">
                  <w:marLeft w:val="0"/>
                  <w:marRight w:val="0"/>
                  <w:marTop w:val="0"/>
                  <w:marBottom w:val="0"/>
                  <w:divBdr>
                    <w:top w:val="none" w:sz="0" w:space="0" w:color="auto"/>
                    <w:left w:val="none" w:sz="0" w:space="0" w:color="auto"/>
                    <w:bottom w:val="none" w:sz="0" w:space="0" w:color="auto"/>
                    <w:right w:val="none" w:sz="0" w:space="0" w:color="auto"/>
                  </w:divBdr>
                  <w:divsChild>
                    <w:div w:id="784226390">
                      <w:marLeft w:val="0"/>
                      <w:marRight w:val="0"/>
                      <w:marTop w:val="0"/>
                      <w:marBottom w:val="0"/>
                      <w:divBdr>
                        <w:top w:val="none" w:sz="0" w:space="0" w:color="auto"/>
                        <w:left w:val="none" w:sz="0" w:space="0" w:color="auto"/>
                        <w:bottom w:val="none" w:sz="0" w:space="0" w:color="auto"/>
                        <w:right w:val="none" w:sz="0" w:space="0" w:color="auto"/>
                      </w:divBdr>
                    </w:div>
                  </w:divsChild>
                </w:div>
                <w:div w:id="1994024198">
                  <w:marLeft w:val="0"/>
                  <w:marRight w:val="0"/>
                  <w:marTop w:val="0"/>
                  <w:marBottom w:val="0"/>
                  <w:divBdr>
                    <w:top w:val="none" w:sz="0" w:space="0" w:color="auto"/>
                    <w:left w:val="none" w:sz="0" w:space="0" w:color="auto"/>
                    <w:bottom w:val="none" w:sz="0" w:space="0" w:color="auto"/>
                    <w:right w:val="none" w:sz="0" w:space="0" w:color="auto"/>
                  </w:divBdr>
                  <w:divsChild>
                    <w:div w:id="1530681049">
                      <w:marLeft w:val="0"/>
                      <w:marRight w:val="0"/>
                      <w:marTop w:val="0"/>
                      <w:marBottom w:val="0"/>
                      <w:divBdr>
                        <w:top w:val="none" w:sz="0" w:space="0" w:color="auto"/>
                        <w:left w:val="none" w:sz="0" w:space="0" w:color="auto"/>
                        <w:bottom w:val="none" w:sz="0" w:space="0" w:color="auto"/>
                        <w:right w:val="none" w:sz="0" w:space="0" w:color="auto"/>
                      </w:divBdr>
                    </w:div>
                  </w:divsChild>
                </w:div>
                <w:div w:id="2058045937">
                  <w:marLeft w:val="0"/>
                  <w:marRight w:val="0"/>
                  <w:marTop w:val="0"/>
                  <w:marBottom w:val="0"/>
                  <w:divBdr>
                    <w:top w:val="none" w:sz="0" w:space="0" w:color="auto"/>
                    <w:left w:val="none" w:sz="0" w:space="0" w:color="auto"/>
                    <w:bottom w:val="none" w:sz="0" w:space="0" w:color="auto"/>
                    <w:right w:val="none" w:sz="0" w:space="0" w:color="auto"/>
                  </w:divBdr>
                  <w:divsChild>
                    <w:div w:id="8350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53549">
      <w:bodyDiv w:val="1"/>
      <w:marLeft w:val="0"/>
      <w:marRight w:val="0"/>
      <w:marTop w:val="0"/>
      <w:marBottom w:val="0"/>
      <w:divBdr>
        <w:top w:val="none" w:sz="0" w:space="0" w:color="auto"/>
        <w:left w:val="none" w:sz="0" w:space="0" w:color="auto"/>
        <w:bottom w:val="none" w:sz="0" w:space="0" w:color="auto"/>
        <w:right w:val="none" w:sz="0" w:space="0" w:color="auto"/>
      </w:divBdr>
    </w:div>
    <w:div w:id="1660767361">
      <w:bodyDiv w:val="1"/>
      <w:marLeft w:val="0"/>
      <w:marRight w:val="0"/>
      <w:marTop w:val="0"/>
      <w:marBottom w:val="0"/>
      <w:divBdr>
        <w:top w:val="none" w:sz="0" w:space="0" w:color="auto"/>
        <w:left w:val="none" w:sz="0" w:space="0" w:color="auto"/>
        <w:bottom w:val="none" w:sz="0" w:space="0" w:color="auto"/>
        <w:right w:val="none" w:sz="0" w:space="0" w:color="auto"/>
      </w:divBdr>
      <w:divsChild>
        <w:div w:id="758982862">
          <w:marLeft w:val="0"/>
          <w:marRight w:val="0"/>
          <w:marTop w:val="0"/>
          <w:marBottom w:val="0"/>
          <w:divBdr>
            <w:top w:val="none" w:sz="0" w:space="0" w:color="auto"/>
            <w:left w:val="none" w:sz="0" w:space="0" w:color="auto"/>
            <w:bottom w:val="none" w:sz="0" w:space="0" w:color="auto"/>
            <w:right w:val="none" w:sz="0" w:space="0" w:color="auto"/>
          </w:divBdr>
          <w:divsChild>
            <w:div w:id="389691488">
              <w:marLeft w:val="0"/>
              <w:marRight w:val="0"/>
              <w:marTop w:val="0"/>
              <w:marBottom w:val="0"/>
              <w:divBdr>
                <w:top w:val="none" w:sz="0" w:space="0" w:color="auto"/>
                <w:left w:val="none" w:sz="0" w:space="0" w:color="auto"/>
                <w:bottom w:val="none" w:sz="0" w:space="0" w:color="auto"/>
                <w:right w:val="none" w:sz="0" w:space="0" w:color="auto"/>
              </w:divBdr>
            </w:div>
          </w:divsChild>
        </w:div>
        <w:div w:id="799690146">
          <w:marLeft w:val="0"/>
          <w:marRight w:val="0"/>
          <w:marTop w:val="0"/>
          <w:marBottom w:val="0"/>
          <w:divBdr>
            <w:top w:val="none" w:sz="0" w:space="0" w:color="auto"/>
            <w:left w:val="none" w:sz="0" w:space="0" w:color="auto"/>
            <w:bottom w:val="none" w:sz="0" w:space="0" w:color="auto"/>
            <w:right w:val="none" w:sz="0" w:space="0" w:color="auto"/>
          </w:divBdr>
          <w:divsChild>
            <w:div w:id="64761433">
              <w:marLeft w:val="0"/>
              <w:marRight w:val="0"/>
              <w:marTop w:val="0"/>
              <w:marBottom w:val="0"/>
              <w:divBdr>
                <w:top w:val="none" w:sz="0" w:space="0" w:color="auto"/>
                <w:left w:val="none" w:sz="0" w:space="0" w:color="auto"/>
                <w:bottom w:val="none" w:sz="0" w:space="0" w:color="auto"/>
                <w:right w:val="none" w:sz="0" w:space="0" w:color="auto"/>
              </w:divBdr>
            </w:div>
            <w:div w:id="339966958">
              <w:marLeft w:val="0"/>
              <w:marRight w:val="0"/>
              <w:marTop w:val="0"/>
              <w:marBottom w:val="0"/>
              <w:divBdr>
                <w:top w:val="none" w:sz="0" w:space="0" w:color="auto"/>
                <w:left w:val="none" w:sz="0" w:space="0" w:color="auto"/>
                <w:bottom w:val="none" w:sz="0" w:space="0" w:color="auto"/>
                <w:right w:val="none" w:sz="0" w:space="0" w:color="auto"/>
              </w:divBdr>
            </w:div>
          </w:divsChild>
        </w:div>
        <w:div w:id="1136990403">
          <w:marLeft w:val="0"/>
          <w:marRight w:val="0"/>
          <w:marTop w:val="0"/>
          <w:marBottom w:val="0"/>
          <w:divBdr>
            <w:top w:val="none" w:sz="0" w:space="0" w:color="auto"/>
            <w:left w:val="none" w:sz="0" w:space="0" w:color="auto"/>
            <w:bottom w:val="none" w:sz="0" w:space="0" w:color="auto"/>
            <w:right w:val="none" w:sz="0" w:space="0" w:color="auto"/>
          </w:divBdr>
          <w:divsChild>
            <w:div w:id="801731094">
              <w:marLeft w:val="0"/>
              <w:marRight w:val="0"/>
              <w:marTop w:val="0"/>
              <w:marBottom w:val="0"/>
              <w:divBdr>
                <w:top w:val="none" w:sz="0" w:space="0" w:color="auto"/>
                <w:left w:val="none" w:sz="0" w:space="0" w:color="auto"/>
                <w:bottom w:val="none" w:sz="0" w:space="0" w:color="auto"/>
                <w:right w:val="none" w:sz="0" w:space="0" w:color="auto"/>
              </w:divBdr>
            </w:div>
            <w:div w:id="1502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1315">
      <w:bodyDiv w:val="1"/>
      <w:marLeft w:val="0"/>
      <w:marRight w:val="0"/>
      <w:marTop w:val="0"/>
      <w:marBottom w:val="0"/>
      <w:divBdr>
        <w:top w:val="none" w:sz="0" w:space="0" w:color="auto"/>
        <w:left w:val="none" w:sz="0" w:space="0" w:color="auto"/>
        <w:bottom w:val="none" w:sz="0" w:space="0" w:color="auto"/>
        <w:right w:val="none" w:sz="0" w:space="0" w:color="auto"/>
      </w:divBdr>
    </w:div>
    <w:div w:id="1711958183">
      <w:bodyDiv w:val="1"/>
      <w:marLeft w:val="0"/>
      <w:marRight w:val="0"/>
      <w:marTop w:val="0"/>
      <w:marBottom w:val="0"/>
      <w:divBdr>
        <w:top w:val="none" w:sz="0" w:space="0" w:color="auto"/>
        <w:left w:val="none" w:sz="0" w:space="0" w:color="auto"/>
        <w:bottom w:val="none" w:sz="0" w:space="0" w:color="auto"/>
        <w:right w:val="none" w:sz="0" w:space="0" w:color="auto"/>
      </w:divBdr>
      <w:divsChild>
        <w:div w:id="395857503">
          <w:marLeft w:val="0"/>
          <w:marRight w:val="0"/>
          <w:marTop w:val="0"/>
          <w:marBottom w:val="0"/>
          <w:divBdr>
            <w:top w:val="none" w:sz="0" w:space="0" w:color="auto"/>
            <w:left w:val="none" w:sz="0" w:space="0" w:color="auto"/>
            <w:bottom w:val="none" w:sz="0" w:space="0" w:color="auto"/>
            <w:right w:val="none" w:sz="0" w:space="0" w:color="auto"/>
          </w:divBdr>
        </w:div>
        <w:div w:id="475882786">
          <w:marLeft w:val="0"/>
          <w:marRight w:val="0"/>
          <w:marTop w:val="0"/>
          <w:marBottom w:val="0"/>
          <w:divBdr>
            <w:top w:val="none" w:sz="0" w:space="0" w:color="auto"/>
            <w:left w:val="none" w:sz="0" w:space="0" w:color="auto"/>
            <w:bottom w:val="none" w:sz="0" w:space="0" w:color="auto"/>
            <w:right w:val="none" w:sz="0" w:space="0" w:color="auto"/>
          </w:divBdr>
        </w:div>
        <w:div w:id="491533231">
          <w:marLeft w:val="0"/>
          <w:marRight w:val="0"/>
          <w:marTop w:val="0"/>
          <w:marBottom w:val="0"/>
          <w:divBdr>
            <w:top w:val="none" w:sz="0" w:space="0" w:color="auto"/>
            <w:left w:val="none" w:sz="0" w:space="0" w:color="auto"/>
            <w:bottom w:val="none" w:sz="0" w:space="0" w:color="auto"/>
            <w:right w:val="none" w:sz="0" w:space="0" w:color="auto"/>
          </w:divBdr>
        </w:div>
        <w:div w:id="526915196">
          <w:marLeft w:val="0"/>
          <w:marRight w:val="0"/>
          <w:marTop w:val="0"/>
          <w:marBottom w:val="0"/>
          <w:divBdr>
            <w:top w:val="none" w:sz="0" w:space="0" w:color="auto"/>
            <w:left w:val="none" w:sz="0" w:space="0" w:color="auto"/>
            <w:bottom w:val="none" w:sz="0" w:space="0" w:color="auto"/>
            <w:right w:val="none" w:sz="0" w:space="0" w:color="auto"/>
          </w:divBdr>
        </w:div>
        <w:div w:id="1119880713">
          <w:marLeft w:val="0"/>
          <w:marRight w:val="0"/>
          <w:marTop w:val="0"/>
          <w:marBottom w:val="0"/>
          <w:divBdr>
            <w:top w:val="none" w:sz="0" w:space="0" w:color="auto"/>
            <w:left w:val="none" w:sz="0" w:space="0" w:color="auto"/>
            <w:bottom w:val="none" w:sz="0" w:space="0" w:color="auto"/>
            <w:right w:val="none" w:sz="0" w:space="0" w:color="auto"/>
          </w:divBdr>
        </w:div>
        <w:div w:id="1240477760">
          <w:marLeft w:val="0"/>
          <w:marRight w:val="0"/>
          <w:marTop w:val="0"/>
          <w:marBottom w:val="0"/>
          <w:divBdr>
            <w:top w:val="none" w:sz="0" w:space="0" w:color="auto"/>
            <w:left w:val="none" w:sz="0" w:space="0" w:color="auto"/>
            <w:bottom w:val="none" w:sz="0" w:space="0" w:color="auto"/>
            <w:right w:val="none" w:sz="0" w:space="0" w:color="auto"/>
          </w:divBdr>
        </w:div>
        <w:div w:id="1545019329">
          <w:marLeft w:val="0"/>
          <w:marRight w:val="0"/>
          <w:marTop w:val="0"/>
          <w:marBottom w:val="0"/>
          <w:divBdr>
            <w:top w:val="none" w:sz="0" w:space="0" w:color="auto"/>
            <w:left w:val="none" w:sz="0" w:space="0" w:color="auto"/>
            <w:bottom w:val="none" w:sz="0" w:space="0" w:color="auto"/>
            <w:right w:val="none" w:sz="0" w:space="0" w:color="auto"/>
          </w:divBdr>
        </w:div>
      </w:divsChild>
    </w:div>
    <w:div w:id="1816531326">
      <w:bodyDiv w:val="1"/>
      <w:marLeft w:val="0"/>
      <w:marRight w:val="0"/>
      <w:marTop w:val="0"/>
      <w:marBottom w:val="0"/>
      <w:divBdr>
        <w:top w:val="none" w:sz="0" w:space="0" w:color="auto"/>
        <w:left w:val="none" w:sz="0" w:space="0" w:color="auto"/>
        <w:bottom w:val="none" w:sz="0" w:space="0" w:color="auto"/>
        <w:right w:val="none" w:sz="0" w:space="0" w:color="auto"/>
      </w:divBdr>
      <w:divsChild>
        <w:div w:id="244531127">
          <w:marLeft w:val="0"/>
          <w:marRight w:val="0"/>
          <w:marTop w:val="0"/>
          <w:marBottom w:val="0"/>
          <w:divBdr>
            <w:top w:val="none" w:sz="0" w:space="0" w:color="auto"/>
            <w:left w:val="none" w:sz="0" w:space="0" w:color="auto"/>
            <w:bottom w:val="none" w:sz="0" w:space="0" w:color="auto"/>
            <w:right w:val="none" w:sz="0" w:space="0" w:color="auto"/>
          </w:divBdr>
          <w:divsChild>
            <w:div w:id="173960997">
              <w:marLeft w:val="0"/>
              <w:marRight w:val="0"/>
              <w:marTop w:val="0"/>
              <w:marBottom w:val="0"/>
              <w:divBdr>
                <w:top w:val="none" w:sz="0" w:space="0" w:color="auto"/>
                <w:left w:val="none" w:sz="0" w:space="0" w:color="auto"/>
                <w:bottom w:val="none" w:sz="0" w:space="0" w:color="auto"/>
                <w:right w:val="none" w:sz="0" w:space="0" w:color="auto"/>
              </w:divBdr>
            </w:div>
            <w:div w:id="214202078">
              <w:marLeft w:val="0"/>
              <w:marRight w:val="0"/>
              <w:marTop w:val="0"/>
              <w:marBottom w:val="0"/>
              <w:divBdr>
                <w:top w:val="none" w:sz="0" w:space="0" w:color="auto"/>
                <w:left w:val="none" w:sz="0" w:space="0" w:color="auto"/>
                <w:bottom w:val="none" w:sz="0" w:space="0" w:color="auto"/>
                <w:right w:val="none" w:sz="0" w:space="0" w:color="auto"/>
              </w:divBdr>
            </w:div>
            <w:div w:id="1089808966">
              <w:marLeft w:val="0"/>
              <w:marRight w:val="0"/>
              <w:marTop w:val="0"/>
              <w:marBottom w:val="0"/>
              <w:divBdr>
                <w:top w:val="none" w:sz="0" w:space="0" w:color="auto"/>
                <w:left w:val="none" w:sz="0" w:space="0" w:color="auto"/>
                <w:bottom w:val="none" w:sz="0" w:space="0" w:color="auto"/>
                <w:right w:val="none" w:sz="0" w:space="0" w:color="auto"/>
              </w:divBdr>
            </w:div>
            <w:div w:id="1213493390">
              <w:marLeft w:val="0"/>
              <w:marRight w:val="0"/>
              <w:marTop w:val="0"/>
              <w:marBottom w:val="0"/>
              <w:divBdr>
                <w:top w:val="none" w:sz="0" w:space="0" w:color="auto"/>
                <w:left w:val="none" w:sz="0" w:space="0" w:color="auto"/>
                <w:bottom w:val="none" w:sz="0" w:space="0" w:color="auto"/>
                <w:right w:val="none" w:sz="0" w:space="0" w:color="auto"/>
              </w:divBdr>
            </w:div>
            <w:div w:id="1350718337">
              <w:marLeft w:val="0"/>
              <w:marRight w:val="0"/>
              <w:marTop w:val="0"/>
              <w:marBottom w:val="0"/>
              <w:divBdr>
                <w:top w:val="none" w:sz="0" w:space="0" w:color="auto"/>
                <w:left w:val="none" w:sz="0" w:space="0" w:color="auto"/>
                <w:bottom w:val="none" w:sz="0" w:space="0" w:color="auto"/>
                <w:right w:val="none" w:sz="0" w:space="0" w:color="auto"/>
              </w:divBdr>
            </w:div>
            <w:div w:id="1500971507">
              <w:marLeft w:val="0"/>
              <w:marRight w:val="0"/>
              <w:marTop w:val="0"/>
              <w:marBottom w:val="0"/>
              <w:divBdr>
                <w:top w:val="none" w:sz="0" w:space="0" w:color="auto"/>
                <w:left w:val="none" w:sz="0" w:space="0" w:color="auto"/>
                <w:bottom w:val="none" w:sz="0" w:space="0" w:color="auto"/>
                <w:right w:val="none" w:sz="0" w:space="0" w:color="auto"/>
              </w:divBdr>
            </w:div>
            <w:div w:id="1626542457">
              <w:marLeft w:val="0"/>
              <w:marRight w:val="0"/>
              <w:marTop w:val="0"/>
              <w:marBottom w:val="0"/>
              <w:divBdr>
                <w:top w:val="none" w:sz="0" w:space="0" w:color="auto"/>
                <w:left w:val="none" w:sz="0" w:space="0" w:color="auto"/>
                <w:bottom w:val="none" w:sz="0" w:space="0" w:color="auto"/>
                <w:right w:val="none" w:sz="0" w:space="0" w:color="auto"/>
              </w:divBdr>
            </w:div>
            <w:div w:id="17807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661">
      <w:bodyDiv w:val="1"/>
      <w:marLeft w:val="0"/>
      <w:marRight w:val="0"/>
      <w:marTop w:val="0"/>
      <w:marBottom w:val="0"/>
      <w:divBdr>
        <w:top w:val="none" w:sz="0" w:space="0" w:color="auto"/>
        <w:left w:val="none" w:sz="0" w:space="0" w:color="auto"/>
        <w:bottom w:val="none" w:sz="0" w:space="0" w:color="auto"/>
        <w:right w:val="none" w:sz="0" w:space="0" w:color="auto"/>
      </w:divBdr>
    </w:div>
    <w:div w:id="1886210529">
      <w:bodyDiv w:val="1"/>
      <w:marLeft w:val="0"/>
      <w:marRight w:val="0"/>
      <w:marTop w:val="0"/>
      <w:marBottom w:val="0"/>
      <w:divBdr>
        <w:top w:val="none" w:sz="0" w:space="0" w:color="auto"/>
        <w:left w:val="none" w:sz="0" w:space="0" w:color="auto"/>
        <w:bottom w:val="none" w:sz="0" w:space="0" w:color="auto"/>
        <w:right w:val="none" w:sz="0" w:space="0" w:color="auto"/>
      </w:divBdr>
    </w:div>
    <w:div w:id="1913733170">
      <w:bodyDiv w:val="1"/>
      <w:marLeft w:val="0"/>
      <w:marRight w:val="0"/>
      <w:marTop w:val="0"/>
      <w:marBottom w:val="0"/>
      <w:divBdr>
        <w:top w:val="none" w:sz="0" w:space="0" w:color="auto"/>
        <w:left w:val="none" w:sz="0" w:space="0" w:color="auto"/>
        <w:bottom w:val="none" w:sz="0" w:space="0" w:color="auto"/>
        <w:right w:val="none" w:sz="0" w:space="0" w:color="auto"/>
      </w:divBdr>
    </w:div>
    <w:div w:id="1945990450">
      <w:bodyDiv w:val="1"/>
      <w:marLeft w:val="0"/>
      <w:marRight w:val="0"/>
      <w:marTop w:val="0"/>
      <w:marBottom w:val="0"/>
      <w:divBdr>
        <w:top w:val="none" w:sz="0" w:space="0" w:color="auto"/>
        <w:left w:val="none" w:sz="0" w:space="0" w:color="auto"/>
        <w:bottom w:val="none" w:sz="0" w:space="0" w:color="auto"/>
        <w:right w:val="none" w:sz="0" w:space="0" w:color="auto"/>
      </w:divBdr>
      <w:divsChild>
        <w:div w:id="353924314">
          <w:marLeft w:val="0"/>
          <w:marRight w:val="0"/>
          <w:marTop w:val="0"/>
          <w:marBottom w:val="0"/>
          <w:divBdr>
            <w:top w:val="none" w:sz="0" w:space="0" w:color="auto"/>
            <w:left w:val="none" w:sz="0" w:space="0" w:color="auto"/>
            <w:bottom w:val="none" w:sz="0" w:space="0" w:color="auto"/>
            <w:right w:val="none" w:sz="0" w:space="0" w:color="auto"/>
          </w:divBdr>
        </w:div>
        <w:div w:id="1064181572">
          <w:marLeft w:val="0"/>
          <w:marRight w:val="0"/>
          <w:marTop w:val="0"/>
          <w:marBottom w:val="0"/>
          <w:divBdr>
            <w:top w:val="none" w:sz="0" w:space="0" w:color="auto"/>
            <w:left w:val="none" w:sz="0" w:space="0" w:color="auto"/>
            <w:bottom w:val="none" w:sz="0" w:space="0" w:color="auto"/>
            <w:right w:val="none" w:sz="0" w:space="0" w:color="auto"/>
          </w:divBdr>
        </w:div>
      </w:divsChild>
    </w:div>
    <w:div w:id="1990088227">
      <w:bodyDiv w:val="1"/>
      <w:marLeft w:val="0"/>
      <w:marRight w:val="0"/>
      <w:marTop w:val="0"/>
      <w:marBottom w:val="0"/>
      <w:divBdr>
        <w:top w:val="none" w:sz="0" w:space="0" w:color="auto"/>
        <w:left w:val="none" w:sz="0" w:space="0" w:color="auto"/>
        <w:bottom w:val="none" w:sz="0" w:space="0" w:color="auto"/>
        <w:right w:val="none" w:sz="0" w:space="0" w:color="auto"/>
      </w:divBdr>
    </w:div>
    <w:div w:id="2120295286">
      <w:bodyDiv w:val="1"/>
      <w:marLeft w:val="0"/>
      <w:marRight w:val="0"/>
      <w:marTop w:val="0"/>
      <w:marBottom w:val="0"/>
      <w:divBdr>
        <w:top w:val="none" w:sz="0" w:space="0" w:color="auto"/>
        <w:left w:val="none" w:sz="0" w:space="0" w:color="auto"/>
        <w:bottom w:val="none" w:sz="0" w:space="0" w:color="auto"/>
        <w:right w:val="none" w:sz="0" w:space="0" w:color="auto"/>
      </w:divBdr>
    </w:div>
    <w:div w:id="212225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footer" Target="footer144.xml"/><Relationship Id="rId21" Type="http://schemas.openxmlformats.org/officeDocument/2006/relationships/footer" Target="footer5.xml"/><Relationship Id="rId63" Type="http://schemas.openxmlformats.org/officeDocument/2006/relationships/footer" Target="footer26.xml"/><Relationship Id="rId159" Type="http://schemas.openxmlformats.org/officeDocument/2006/relationships/footer" Target="footer74.xml"/><Relationship Id="rId324" Type="http://schemas.openxmlformats.org/officeDocument/2006/relationships/header" Target="header157.xml"/><Relationship Id="rId366" Type="http://schemas.openxmlformats.org/officeDocument/2006/relationships/header" Target="header178.xml"/><Relationship Id="rId531" Type="http://schemas.openxmlformats.org/officeDocument/2006/relationships/footer" Target="footer260.xml"/><Relationship Id="rId170" Type="http://schemas.openxmlformats.org/officeDocument/2006/relationships/footer" Target="footer79.xml"/><Relationship Id="rId226" Type="http://schemas.openxmlformats.org/officeDocument/2006/relationships/header" Target="header108.xml"/><Relationship Id="rId433" Type="http://schemas.openxmlformats.org/officeDocument/2006/relationships/header" Target="header212.xml"/><Relationship Id="rId268" Type="http://schemas.openxmlformats.org/officeDocument/2006/relationships/header" Target="header129.xml"/><Relationship Id="rId475" Type="http://schemas.openxmlformats.org/officeDocument/2006/relationships/header" Target="header233.xml"/><Relationship Id="rId32" Type="http://schemas.openxmlformats.org/officeDocument/2006/relationships/footer" Target="footer10.xml"/><Relationship Id="rId74" Type="http://schemas.openxmlformats.org/officeDocument/2006/relationships/footer" Target="footer31.xml"/><Relationship Id="rId128" Type="http://schemas.openxmlformats.org/officeDocument/2006/relationships/footer" Target="footer58.xml"/><Relationship Id="rId335" Type="http://schemas.openxmlformats.org/officeDocument/2006/relationships/footer" Target="footer162.xml"/><Relationship Id="rId377" Type="http://schemas.openxmlformats.org/officeDocument/2006/relationships/footer" Target="footer183.xml"/><Relationship Id="rId500" Type="http://schemas.openxmlformats.org/officeDocument/2006/relationships/footer" Target="footer244.xml"/><Relationship Id="rId5" Type="http://schemas.openxmlformats.org/officeDocument/2006/relationships/numbering" Target="numbering.xml"/><Relationship Id="rId181" Type="http://schemas.openxmlformats.org/officeDocument/2006/relationships/header" Target="header86.xml"/><Relationship Id="rId237" Type="http://schemas.openxmlformats.org/officeDocument/2006/relationships/footer" Target="footer113.xml"/><Relationship Id="rId402" Type="http://schemas.openxmlformats.org/officeDocument/2006/relationships/header" Target="header196.xml"/><Relationship Id="rId279" Type="http://schemas.openxmlformats.org/officeDocument/2006/relationships/footer" Target="footer134.xml"/><Relationship Id="rId444" Type="http://schemas.openxmlformats.org/officeDocument/2006/relationships/header" Target="header217.xml"/><Relationship Id="rId486" Type="http://schemas.openxmlformats.org/officeDocument/2006/relationships/header" Target="header238.xml"/><Relationship Id="rId43" Type="http://schemas.openxmlformats.org/officeDocument/2006/relationships/header" Target="header17.xml"/><Relationship Id="rId139" Type="http://schemas.openxmlformats.org/officeDocument/2006/relationships/header" Target="header65.xml"/><Relationship Id="rId290" Type="http://schemas.openxmlformats.org/officeDocument/2006/relationships/footer" Target="footer139.xml"/><Relationship Id="rId304" Type="http://schemas.openxmlformats.org/officeDocument/2006/relationships/header" Target="header147.xml"/><Relationship Id="rId346" Type="http://schemas.openxmlformats.org/officeDocument/2006/relationships/header" Target="header168.xml"/><Relationship Id="rId388" Type="http://schemas.openxmlformats.org/officeDocument/2006/relationships/header" Target="header189.xml"/><Relationship Id="rId511" Type="http://schemas.openxmlformats.org/officeDocument/2006/relationships/header" Target="header251.xml"/><Relationship Id="rId85" Type="http://schemas.openxmlformats.org/officeDocument/2006/relationships/header" Target="header38.xml"/><Relationship Id="rId150" Type="http://schemas.openxmlformats.org/officeDocument/2006/relationships/header" Target="header70.xml"/><Relationship Id="rId192" Type="http://schemas.openxmlformats.org/officeDocument/2006/relationships/header" Target="header91.xml"/><Relationship Id="rId206" Type="http://schemas.openxmlformats.org/officeDocument/2006/relationships/footer" Target="footer97.xml"/><Relationship Id="rId413" Type="http://schemas.openxmlformats.org/officeDocument/2006/relationships/footer" Target="footer201.xml"/><Relationship Id="rId248" Type="http://schemas.openxmlformats.org/officeDocument/2006/relationships/footer" Target="footer118.xml"/><Relationship Id="rId455" Type="http://schemas.openxmlformats.org/officeDocument/2006/relationships/footer" Target="footer222.xml"/><Relationship Id="rId497" Type="http://schemas.openxmlformats.org/officeDocument/2006/relationships/footer" Target="footer243.xml"/><Relationship Id="rId12" Type="http://schemas.openxmlformats.org/officeDocument/2006/relationships/header" Target="header1.xml"/><Relationship Id="rId108" Type="http://schemas.openxmlformats.org/officeDocument/2006/relationships/header" Target="header49.xml"/><Relationship Id="rId315" Type="http://schemas.openxmlformats.org/officeDocument/2006/relationships/footer" Target="footer152.xml"/><Relationship Id="rId357" Type="http://schemas.openxmlformats.org/officeDocument/2006/relationships/footer" Target="footer173.xml"/><Relationship Id="rId522" Type="http://schemas.openxmlformats.org/officeDocument/2006/relationships/header" Target="header256.xml"/><Relationship Id="rId54" Type="http://schemas.openxmlformats.org/officeDocument/2006/relationships/header" Target="header22.xml"/><Relationship Id="rId96" Type="http://schemas.openxmlformats.org/officeDocument/2006/relationships/header" Target="header43.xml"/><Relationship Id="rId161" Type="http://schemas.openxmlformats.org/officeDocument/2006/relationships/footer" Target="footer75.xml"/><Relationship Id="rId217" Type="http://schemas.openxmlformats.org/officeDocument/2006/relationships/header" Target="header104.xml"/><Relationship Id="rId399" Type="http://schemas.openxmlformats.org/officeDocument/2006/relationships/footer" Target="footer194.xml"/><Relationship Id="rId259" Type="http://schemas.openxmlformats.org/officeDocument/2006/relationships/header" Target="header125.xml"/><Relationship Id="rId424" Type="http://schemas.openxmlformats.org/officeDocument/2006/relationships/header" Target="header207.xml"/><Relationship Id="rId466" Type="http://schemas.openxmlformats.org/officeDocument/2006/relationships/header" Target="header228.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header" Target="header130.xml"/><Relationship Id="rId326" Type="http://schemas.openxmlformats.org/officeDocument/2006/relationships/footer" Target="footer157.xml"/><Relationship Id="rId533" Type="http://schemas.openxmlformats.org/officeDocument/2006/relationships/footer" Target="footer261.xml"/><Relationship Id="rId65" Type="http://schemas.openxmlformats.org/officeDocument/2006/relationships/footer" Target="footer27.xml"/><Relationship Id="rId130" Type="http://schemas.openxmlformats.org/officeDocument/2006/relationships/header" Target="header60.xml"/><Relationship Id="rId368" Type="http://schemas.openxmlformats.org/officeDocument/2006/relationships/footer" Target="footer178.xml"/><Relationship Id="rId172" Type="http://schemas.openxmlformats.org/officeDocument/2006/relationships/header" Target="header81.xml"/><Relationship Id="rId228" Type="http://schemas.openxmlformats.org/officeDocument/2006/relationships/header" Target="header109.xml"/><Relationship Id="rId435" Type="http://schemas.openxmlformats.org/officeDocument/2006/relationships/footer" Target="footer212.xml"/><Relationship Id="rId477" Type="http://schemas.openxmlformats.org/officeDocument/2006/relationships/footer" Target="footer233.xml"/><Relationship Id="rId281" Type="http://schemas.openxmlformats.org/officeDocument/2006/relationships/footer" Target="footer135.xml"/><Relationship Id="rId337" Type="http://schemas.openxmlformats.org/officeDocument/2006/relationships/header" Target="header164.xml"/><Relationship Id="rId502" Type="http://schemas.openxmlformats.org/officeDocument/2006/relationships/header" Target="header246.xml"/><Relationship Id="rId34" Type="http://schemas.openxmlformats.org/officeDocument/2006/relationships/header" Target="header12.xml"/><Relationship Id="rId76" Type="http://schemas.openxmlformats.org/officeDocument/2006/relationships/header" Target="header33.xml"/><Relationship Id="rId141" Type="http://schemas.openxmlformats.org/officeDocument/2006/relationships/footer" Target="footer65.xml"/><Relationship Id="rId379" Type="http://schemas.openxmlformats.org/officeDocument/2006/relationships/header" Target="header185.xml"/><Relationship Id="rId7" Type="http://schemas.openxmlformats.org/officeDocument/2006/relationships/settings" Target="settings.xml"/><Relationship Id="rId183" Type="http://schemas.openxmlformats.org/officeDocument/2006/relationships/footer" Target="footer86.xml"/><Relationship Id="rId239" Type="http://schemas.openxmlformats.org/officeDocument/2006/relationships/footer" Target="footer114.xml"/><Relationship Id="rId390" Type="http://schemas.openxmlformats.org/officeDocument/2006/relationships/header" Target="header190.xml"/><Relationship Id="rId404" Type="http://schemas.openxmlformats.org/officeDocument/2006/relationships/footer" Target="footer196.xml"/><Relationship Id="rId446" Type="http://schemas.openxmlformats.org/officeDocument/2006/relationships/footer" Target="footer217.xml"/><Relationship Id="rId250" Type="http://schemas.openxmlformats.org/officeDocument/2006/relationships/header" Target="header120.xml"/><Relationship Id="rId292" Type="http://schemas.openxmlformats.org/officeDocument/2006/relationships/header" Target="header141.xml"/><Relationship Id="rId306" Type="http://schemas.openxmlformats.org/officeDocument/2006/relationships/header" Target="header148.xml"/><Relationship Id="rId488" Type="http://schemas.openxmlformats.org/officeDocument/2006/relationships/footer" Target="footer238.xml"/><Relationship Id="rId45" Type="http://schemas.openxmlformats.org/officeDocument/2006/relationships/footer" Target="footer17.xml"/><Relationship Id="rId87" Type="http://schemas.openxmlformats.org/officeDocument/2006/relationships/footer" Target="footer38.xml"/><Relationship Id="rId110" Type="http://schemas.openxmlformats.org/officeDocument/2006/relationships/footer" Target="footer49.xml"/><Relationship Id="rId348" Type="http://schemas.openxmlformats.org/officeDocument/2006/relationships/header" Target="header169.xml"/><Relationship Id="rId513" Type="http://schemas.openxmlformats.org/officeDocument/2006/relationships/footer" Target="footer251.xml"/><Relationship Id="rId152" Type="http://schemas.openxmlformats.org/officeDocument/2006/relationships/footer" Target="footer70.xml"/><Relationship Id="rId194" Type="http://schemas.openxmlformats.org/officeDocument/2006/relationships/footer" Target="footer91.xml"/><Relationship Id="rId208" Type="http://schemas.openxmlformats.org/officeDocument/2006/relationships/header" Target="header99.xml"/><Relationship Id="rId415" Type="http://schemas.openxmlformats.org/officeDocument/2006/relationships/header" Target="header203.xml"/><Relationship Id="rId457" Type="http://schemas.openxmlformats.org/officeDocument/2006/relationships/header" Target="header224.xml"/><Relationship Id="rId261" Type="http://schemas.openxmlformats.org/officeDocument/2006/relationships/footer" Target="footer125.xml"/><Relationship Id="rId499" Type="http://schemas.openxmlformats.org/officeDocument/2006/relationships/header" Target="header245.xml"/><Relationship Id="rId14" Type="http://schemas.openxmlformats.org/officeDocument/2006/relationships/footer" Target="footer1.xml"/><Relationship Id="rId56" Type="http://schemas.openxmlformats.org/officeDocument/2006/relationships/footer" Target="footer22.xml"/><Relationship Id="rId317" Type="http://schemas.openxmlformats.org/officeDocument/2006/relationships/footer" Target="footer153.xml"/><Relationship Id="rId359" Type="http://schemas.openxmlformats.org/officeDocument/2006/relationships/footer" Target="footer174.xml"/><Relationship Id="rId524" Type="http://schemas.openxmlformats.org/officeDocument/2006/relationships/footer" Target="footer256.xml"/><Relationship Id="rId98" Type="http://schemas.openxmlformats.org/officeDocument/2006/relationships/footer" Target="footer43.xml"/><Relationship Id="rId121" Type="http://schemas.openxmlformats.org/officeDocument/2006/relationships/header" Target="header56.xml"/><Relationship Id="rId163" Type="http://schemas.openxmlformats.org/officeDocument/2006/relationships/header" Target="header77.xml"/><Relationship Id="rId219" Type="http://schemas.openxmlformats.org/officeDocument/2006/relationships/footer" Target="footer104.xml"/><Relationship Id="rId370" Type="http://schemas.openxmlformats.org/officeDocument/2006/relationships/header" Target="header180.xml"/><Relationship Id="rId426" Type="http://schemas.openxmlformats.org/officeDocument/2006/relationships/header" Target="header208.xml"/><Relationship Id="rId230" Type="http://schemas.openxmlformats.org/officeDocument/2006/relationships/footer" Target="footer109.xml"/><Relationship Id="rId468" Type="http://schemas.openxmlformats.org/officeDocument/2006/relationships/header" Target="header229.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272" Type="http://schemas.openxmlformats.org/officeDocument/2006/relationships/footer" Target="footer130.xml"/><Relationship Id="rId293" Type="http://schemas.openxmlformats.org/officeDocument/2006/relationships/footer" Target="footer141.xml"/><Relationship Id="rId307" Type="http://schemas.openxmlformats.org/officeDocument/2006/relationships/header" Target="header149.xml"/><Relationship Id="rId328" Type="http://schemas.openxmlformats.org/officeDocument/2006/relationships/header" Target="header159.xml"/><Relationship Id="rId349" Type="http://schemas.openxmlformats.org/officeDocument/2006/relationships/header" Target="header170.xml"/><Relationship Id="rId514" Type="http://schemas.openxmlformats.org/officeDocument/2006/relationships/header" Target="header252.xml"/><Relationship Id="rId535" Type="http://schemas.openxmlformats.org/officeDocument/2006/relationships/theme" Target="theme/theme1.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95" Type="http://schemas.openxmlformats.org/officeDocument/2006/relationships/footer" Target="footer92.xml"/><Relationship Id="rId209" Type="http://schemas.openxmlformats.org/officeDocument/2006/relationships/footer" Target="footer99.xml"/><Relationship Id="rId360" Type="http://schemas.openxmlformats.org/officeDocument/2006/relationships/header" Target="header175.xml"/><Relationship Id="rId381" Type="http://schemas.openxmlformats.org/officeDocument/2006/relationships/footer" Target="footer185.xml"/><Relationship Id="rId416" Type="http://schemas.openxmlformats.org/officeDocument/2006/relationships/footer" Target="footer202.xml"/><Relationship Id="rId220" Type="http://schemas.openxmlformats.org/officeDocument/2006/relationships/header" Target="header105.xml"/><Relationship Id="rId241" Type="http://schemas.openxmlformats.org/officeDocument/2006/relationships/header" Target="header116.xml"/><Relationship Id="rId437" Type="http://schemas.openxmlformats.org/officeDocument/2006/relationships/footer" Target="footer213.xml"/><Relationship Id="rId458" Type="http://schemas.openxmlformats.org/officeDocument/2006/relationships/footer" Target="footer223.xml"/><Relationship Id="rId479" Type="http://schemas.openxmlformats.org/officeDocument/2006/relationships/footer" Target="footer234.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262" Type="http://schemas.openxmlformats.org/officeDocument/2006/relationships/header" Target="header126.xml"/><Relationship Id="rId283" Type="http://schemas.openxmlformats.org/officeDocument/2006/relationships/header" Target="header137.xml"/><Relationship Id="rId318" Type="http://schemas.openxmlformats.org/officeDocument/2006/relationships/header" Target="header154.xml"/><Relationship Id="rId339" Type="http://schemas.openxmlformats.org/officeDocument/2006/relationships/footer" Target="footer164.xml"/><Relationship Id="rId490" Type="http://schemas.openxmlformats.org/officeDocument/2006/relationships/header" Target="header240.xml"/><Relationship Id="rId504" Type="http://schemas.openxmlformats.org/officeDocument/2006/relationships/header" Target="header247.xml"/><Relationship Id="rId525" Type="http://schemas.openxmlformats.org/officeDocument/2006/relationships/footer" Target="footer257.xml"/><Relationship Id="rId78" Type="http://schemas.openxmlformats.org/officeDocument/2006/relationships/header" Target="header34.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64" Type="http://schemas.openxmlformats.org/officeDocument/2006/relationships/footer" Target="footer76.xml"/><Relationship Id="rId185" Type="http://schemas.openxmlformats.org/officeDocument/2006/relationships/footer" Target="footer87.xml"/><Relationship Id="rId350" Type="http://schemas.openxmlformats.org/officeDocument/2006/relationships/footer" Target="footer169.xml"/><Relationship Id="rId371" Type="http://schemas.openxmlformats.org/officeDocument/2006/relationships/footer" Target="footer180.xml"/><Relationship Id="rId406" Type="http://schemas.openxmlformats.org/officeDocument/2006/relationships/header" Target="header198.xml"/><Relationship Id="rId9" Type="http://schemas.openxmlformats.org/officeDocument/2006/relationships/footnotes" Target="footnotes.xml"/><Relationship Id="rId210" Type="http://schemas.openxmlformats.org/officeDocument/2006/relationships/header" Target="header100.xml"/><Relationship Id="rId392" Type="http://schemas.openxmlformats.org/officeDocument/2006/relationships/footer" Target="footer190.xml"/><Relationship Id="rId427" Type="http://schemas.openxmlformats.org/officeDocument/2006/relationships/header" Target="header209.xml"/><Relationship Id="rId448" Type="http://schemas.openxmlformats.org/officeDocument/2006/relationships/header" Target="header219.xml"/><Relationship Id="rId469" Type="http://schemas.openxmlformats.org/officeDocument/2006/relationships/header" Target="header230.xml"/><Relationship Id="rId26" Type="http://schemas.openxmlformats.org/officeDocument/2006/relationships/footer" Target="footer7.xml"/><Relationship Id="rId231" Type="http://schemas.openxmlformats.org/officeDocument/2006/relationships/footer" Target="footer110.xml"/><Relationship Id="rId252" Type="http://schemas.openxmlformats.org/officeDocument/2006/relationships/header" Target="header121.xml"/><Relationship Id="rId273" Type="http://schemas.openxmlformats.org/officeDocument/2006/relationships/footer" Target="footer131.xml"/><Relationship Id="rId294" Type="http://schemas.openxmlformats.org/officeDocument/2006/relationships/header" Target="header142.xml"/><Relationship Id="rId308" Type="http://schemas.openxmlformats.org/officeDocument/2006/relationships/footer" Target="footer148.xml"/><Relationship Id="rId329" Type="http://schemas.openxmlformats.org/officeDocument/2006/relationships/footer" Target="footer159.xml"/><Relationship Id="rId480" Type="http://schemas.openxmlformats.org/officeDocument/2006/relationships/header" Target="header235.xml"/><Relationship Id="rId515" Type="http://schemas.openxmlformats.org/officeDocument/2006/relationships/footer" Target="footer252.xml"/><Relationship Id="rId536" Type="http://schemas.microsoft.com/office/2019/05/relationships/documenttasks" Target="documenttasks/documenttasks1.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340" Type="http://schemas.openxmlformats.org/officeDocument/2006/relationships/header" Target="header165.xml"/><Relationship Id="rId361" Type="http://schemas.openxmlformats.org/officeDocument/2006/relationships/header" Target="header176.xml"/><Relationship Id="rId196" Type="http://schemas.openxmlformats.org/officeDocument/2006/relationships/header" Target="header93.xml"/><Relationship Id="rId200" Type="http://schemas.openxmlformats.org/officeDocument/2006/relationships/footer" Target="footer94.xml"/><Relationship Id="rId382" Type="http://schemas.openxmlformats.org/officeDocument/2006/relationships/header" Target="header186.xml"/><Relationship Id="rId417" Type="http://schemas.openxmlformats.org/officeDocument/2006/relationships/footer" Target="footer203.xml"/><Relationship Id="rId438" Type="http://schemas.openxmlformats.org/officeDocument/2006/relationships/header" Target="header214.xml"/><Relationship Id="rId459" Type="http://schemas.openxmlformats.org/officeDocument/2006/relationships/footer" Target="footer224.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footer" Target="footer115.xml"/><Relationship Id="rId263" Type="http://schemas.openxmlformats.org/officeDocument/2006/relationships/footer" Target="footer126.xml"/><Relationship Id="rId284" Type="http://schemas.openxmlformats.org/officeDocument/2006/relationships/footer" Target="footer136.xml"/><Relationship Id="rId319" Type="http://schemas.openxmlformats.org/officeDocument/2006/relationships/header" Target="header155.xml"/><Relationship Id="rId470" Type="http://schemas.openxmlformats.org/officeDocument/2006/relationships/footer" Target="footer229.xml"/><Relationship Id="rId491" Type="http://schemas.openxmlformats.org/officeDocument/2006/relationships/footer" Target="footer240.xml"/><Relationship Id="rId505" Type="http://schemas.openxmlformats.org/officeDocument/2006/relationships/header" Target="header248.xml"/><Relationship Id="rId526" Type="http://schemas.openxmlformats.org/officeDocument/2006/relationships/header" Target="header258.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header" Target="header160.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351" Type="http://schemas.openxmlformats.org/officeDocument/2006/relationships/footer" Target="footer170.xml"/><Relationship Id="rId372" Type="http://schemas.openxmlformats.org/officeDocument/2006/relationships/header" Target="header181.xml"/><Relationship Id="rId393" Type="http://schemas.openxmlformats.org/officeDocument/2006/relationships/footer" Target="footer191.xml"/><Relationship Id="rId407" Type="http://schemas.openxmlformats.org/officeDocument/2006/relationships/footer" Target="footer198.xml"/><Relationship Id="rId428" Type="http://schemas.openxmlformats.org/officeDocument/2006/relationships/footer" Target="footer208.xml"/><Relationship Id="rId449" Type="http://schemas.openxmlformats.org/officeDocument/2006/relationships/footer" Target="footer219.xml"/><Relationship Id="rId211" Type="http://schemas.openxmlformats.org/officeDocument/2006/relationships/header" Target="header101.xml"/><Relationship Id="rId232" Type="http://schemas.openxmlformats.org/officeDocument/2006/relationships/header" Target="header111.xml"/><Relationship Id="rId253" Type="http://schemas.openxmlformats.org/officeDocument/2006/relationships/header" Target="header122.xml"/><Relationship Id="rId274" Type="http://schemas.openxmlformats.org/officeDocument/2006/relationships/header" Target="header132.xml"/><Relationship Id="rId295" Type="http://schemas.openxmlformats.org/officeDocument/2006/relationships/header" Target="header143.xml"/><Relationship Id="rId309" Type="http://schemas.openxmlformats.org/officeDocument/2006/relationships/footer" Target="footer149.xml"/><Relationship Id="rId460" Type="http://schemas.openxmlformats.org/officeDocument/2006/relationships/header" Target="header225.xml"/><Relationship Id="rId481" Type="http://schemas.openxmlformats.org/officeDocument/2006/relationships/header" Target="header236.xml"/><Relationship Id="rId516" Type="http://schemas.openxmlformats.org/officeDocument/2006/relationships/header" Target="header253.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footer" Target="footer154.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341" Type="http://schemas.openxmlformats.org/officeDocument/2006/relationships/footer" Target="footer165.xml"/><Relationship Id="rId362" Type="http://schemas.openxmlformats.org/officeDocument/2006/relationships/footer" Target="footer175.xml"/><Relationship Id="rId383" Type="http://schemas.openxmlformats.org/officeDocument/2006/relationships/footer" Target="footer186.xml"/><Relationship Id="rId418" Type="http://schemas.openxmlformats.org/officeDocument/2006/relationships/header" Target="header204.xml"/><Relationship Id="rId439" Type="http://schemas.openxmlformats.org/officeDocument/2006/relationships/header" Target="header215.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header" Target="header127.xml"/><Relationship Id="rId285" Type="http://schemas.openxmlformats.org/officeDocument/2006/relationships/footer" Target="footer137.xml"/><Relationship Id="rId450" Type="http://schemas.openxmlformats.org/officeDocument/2006/relationships/header" Target="header220.xml"/><Relationship Id="rId471" Type="http://schemas.openxmlformats.org/officeDocument/2006/relationships/footer" Target="footer230.xml"/><Relationship Id="rId506" Type="http://schemas.openxmlformats.org/officeDocument/2006/relationships/footer" Target="footer247.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header" Target="header150.xml"/><Relationship Id="rId492" Type="http://schemas.openxmlformats.org/officeDocument/2006/relationships/header" Target="header241.xml"/><Relationship Id="rId527" Type="http://schemas.openxmlformats.org/officeDocument/2006/relationships/footer" Target="footer258.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1.xml"/><Relationship Id="rId352" Type="http://schemas.openxmlformats.org/officeDocument/2006/relationships/header" Target="header171.xml"/><Relationship Id="rId373" Type="http://schemas.openxmlformats.org/officeDocument/2006/relationships/header" Target="header182.xml"/><Relationship Id="rId394" Type="http://schemas.openxmlformats.org/officeDocument/2006/relationships/header" Target="header192.xml"/><Relationship Id="rId408" Type="http://schemas.openxmlformats.org/officeDocument/2006/relationships/header" Target="header199.xml"/><Relationship Id="rId429" Type="http://schemas.openxmlformats.org/officeDocument/2006/relationships/footer" Target="footer209.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footer" Target="footer111.xml"/><Relationship Id="rId254" Type="http://schemas.openxmlformats.org/officeDocument/2006/relationships/footer" Target="footer121.xml"/><Relationship Id="rId440" Type="http://schemas.openxmlformats.org/officeDocument/2006/relationships/footer" Target="footer214.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footer" Target="footer132.xml"/><Relationship Id="rId296" Type="http://schemas.openxmlformats.org/officeDocument/2006/relationships/footer" Target="footer142.xml"/><Relationship Id="rId300" Type="http://schemas.openxmlformats.org/officeDocument/2006/relationships/header" Target="header145.xml"/><Relationship Id="rId461" Type="http://schemas.openxmlformats.org/officeDocument/2006/relationships/footer" Target="footer225.xml"/><Relationship Id="rId482" Type="http://schemas.openxmlformats.org/officeDocument/2006/relationships/footer" Target="footer235.xml"/><Relationship Id="rId517" Type="http://schemas.openxmlformats.org/officeDocument/2006/relationships/header" Target="header254.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5.xml"/><Relationship Id="rId342" Type="http://schemas.openxmlformats.org/officeDocument/2006/relationships/header" Target="header166.xml"/><Relationship Id="rId363" Type="http://schemas.openxmlformats.org/officeDocument/2006/relationships/footer" Target="footer176.xml"/><Relationship Id="rId384" Type="http://schemas.openxmlformats.org/officeDocument/2006/relationships/header" Target="header187.xml"/><Relationship Id="rId419" Type="http://schemas.openxmlformats.org/officeDocument/2006/relationships/footer" Target="footer204.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header" Target="header117.xml"/><Relationship Id="rId430" Type="http://schemas.openxmlformats.org/officeDocument/2006/relationships/header" Target="header210.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8.xml"/><Relationship Id="rId286" Type="http://schemas.openxmlformats.org/officeDocument/2006/relationships/header" Target="header138.xml"/><Relationship Id="rId451" Type="http://schemas.openxmlformats.org/officeDocument/2006/relationships/header" Target="header221.xml"/><Relationship Id="rId472" Type="http://schemas.openxmlformats.org/officeDocument/2006/relationships/header" Target="header231.xml"/><Relationship Id="rId493" Type="http://schemas.openxmlformats.org/officeDocument/2006/relationships/header" Target="header242.xml"/><Relationship Id="rId507" Type="http://schemas.openxmlformats.org/officeDocument/2006/relationships/footer" Target="footer248.xml"/><Relationship Id="rId528" Type="http://schemas.openxmlformats.org/officeDocument/2006/relationships/header" Target="header259.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footer" Target="footer150.xml"/><Relationship Id="rId332" Type="http://schemas.openxmlformats.org/officeDocument/2006/relationships/footer" Target="footer160.xml"/><Relationship Id="rId353" Type="http://schemas.openxmlformats.org/officeDocument/2006/relationships/footer" Target="footer171.xml"/><Relationship Id="rId374" Type="http://schemas.openxmlformats.org/officeDocument/2006/relationships/footer" Target="footer181.xml"/><Relationship Id="rId395" Type="http://schemas.openxmlformats.org/officeDocument/2006/relationships/footer" Target="footer192.xml"/><Relationship Id="rId409" Type="http://schemas.openxmlformats.org/officeDocument/2006/relationships/header" Target="header200.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2.xml"/><Relationship Id="rId420" Type="http://schemas.openxmlformats.org/officeDocument/2006/relationships/header" Target="header205.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2.xml"/><Relationship Id="rId276" Type="http://schemas.openxmlformats.org/officeDocument/2006/relationships/header" Target="header133.xml"/><Relationship Id="rId297" Type="http://schemas.openxmlformats.org/officeDocument/2006/relationships/footer" Target="footer143.xml"/><Relationship Id="rId441" Type="http://schemas.openxmlformats.org/officeDocument/2006/relationships/footer" Target="footer215.xml"/><Relationship Id="rId462" Type="http://schemas.openxmlformats.org/officeDocument/2006/relationships/header" Target="header226.xml"/><Relationship Id="rId483" Type="http://schemas.openxmlformats.org/officeDocument/2006/relationships/footer" Target="footer236.xml"/><Relationship Id="rId518" Type="http://schemas.openxmlformats.org/officeDocument/2006/relationships/footer" Target="footer253.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6.xml"/><Relationship Id="rId322" Type="http://schemas.openxmlformats.org/officeDocument/2006/relationships/header" Target="header156.xml"/><Relationship Id="rId343" Type="http://schemas.openxmlformats.org/officeDocument/2006/relationships/header" Target="header167.xml"/><Relationship Id="rId364" Type="http://schemas.openxmlformats.org/officeDocument/2006/relationships/header" Target="header177.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385" Type="http://schemas.openxmlformats.org/officeDocument/2006/relationships/header" Target="header188.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footer" Target="footer117.xml"/><Relationship Id="rId266" Type="http://schemas.openxmlformats.org/officeDocument/2006/relationships/footer" Target="footer127.xml"/><Relationship Id="rId287" Type="http://schemas.openxmlformats.org/officeDocument/2006/relationships/footer" Target="footer138.xml"/><Relationship Id="rId410" Type="http://schemas.openxmlformats.org/officeDocument/2006/relationships/footer" Target="footer199.xml"/><Relationship Id="rId431" Type="http://schemas.openxmlformats.org/officeDocument/2006/relationships/footer" Target="footer210.xml"/><Relationship Id="rId452" Type="http://schemas.openxmlformats.org/officeDocument/2006/relationships/footer" Target="footer220.xml"/><Relationship Id="rId473" Type="http://schemas.openxmlformats.org/officeDocument/2006/relationships/footer" Target="footer231.xml"/><Relationship Id="rId494" Type="http://schemas.openxmlformats.org/officeDocument/2006/relationships/footer" Target="footer241.xml"/><Relationship Id="rId508" Type="http://schemas.openxmlformats.org/officeDocument/2006/relationships/header" Target="header249.xml"/><Relationship Id="rId529" Type="http://schemas.openxmlformats.org/officeDocument/2006/relationships/header" Target="header260.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header" Target="header151.xml"/><Relationship Id="rId333" Type="http://schemas.openxmlformats.org/officeDocument/2006/relationships/footer" Target="footer161.xml"/><Relationship Id="rId354" Type="http://schemas.openxmlformats.org/officeDocument/2006/relationships/header" Target="header172.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75" Type="http://schemas.openxmlformats.org/officeDocument/2006/relationships/footer" Target="footer182.xml"/><Relationship Id="rId396" Type="http://schemas.openxmlformats.org/officeDocument/2006/relationships/header" Target="header193.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3.xml"/><Relationship Id="rId256" Type="http://schemas.openxmlformats.org/officeDocument/2006/relationships/header" Target="header123.xml"/><Relationship Id="rId277" Type="http://schemas.openxmlformats.org/officeDocument/2006/relationships/header" Target="header134.xml"/><Relationship Id="rId298" Type="http://schemas.openxmlformats.org/officeDocument/2006/relationships/header" Target="header144.xml"/><Relationship Id="rId400" Type="http://schemas.openxmlformats.org/officeDocument/2006/relationships/header" Target="header195.xml"/><Relationship Id="rId421" Type="http://schemas.openxmlformats.org/officeDocument/2006/relationships/header" Target="header206.xml"/><Relationship Id="rId442" Type="http://schemas.openxmlformats.org/officeDocument/2006/relationships/header" Target="header216.xml"/><Relationship Id="rId463" Type="http://schemas.openxmlformats.org/officeDocument/2006/relationships/header" Target="header227.xml"/><Relationship Id="rId484" Type="http://schemas.openxmlformats.org/officeDocument/2006/relationships/header" Target="header237.xml"/><Relationship Id="rId519" Type="http://schemas.openxmlformats.org/officeDocument/2006/relationships/footer" Target="footer254.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footer" Target="footer145.xml"/><Relationship Id="rId323" Type="http://schemas.openxmlformats.org/officeDocument/2006/relationships/footer" Target="footer156.xml"/><Relationship Id="rId344" Type="http://schemas.openxmlformats.org/officeDocument/2006/relationships/footer" Target="footer166.xml"/><Relationship Id="rId530" Type="http://schemas.openxmlformats.org/officeDocument/2006/relationships/footer" Target="footer259.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179" Type="http://schemas.openxmlformats.org/officeDocument/2006/relationships/footer" Target="footer84.xml"/><Relationship Id="rId365" Type="http://schemas.openxmlformats.org/officeDocument/2006/relationships/footer" Target="footer177.xml"/><Relationship Id="rId386" Type="http://schemas.openxmlformats.org/officeDocument/2006/relationships/footer" Target="footer187.xml"/><Relationship Id="rId190" Type="http://schemas.openxmlformats.org/officeDocument/2006/relationships/header" Target="header90.xml"/><Relationship Id="rId204" Type="http://schemas.openxmlformats.org/officeDocument/2006/relationships/header" Target="header97.xml"/><Relationship Id="rId225" Type="http://schemas.openxmlformats.org/officeDocument/2006/relationships/footer" Target="footer107.xml"/><Relationship Id="rId246" Type="http://schemas.openxmlformats.org/officeDocument/2006/relationships/header" Target="header118.xml"/><Relationship Id="rId267" Type="http://schemas.openxmlformats.org/officeDocument/2006/relationships/footer" Target="footer128.xml"/><Relationship Id="rId288" Type="http://schemas.openxmlformats.org/officeDocument/2006/relationships/header" Target="header139.xml"/><Relationship Id="rId411" Type="http://schemas.openxmlformats.org/officeDocument/2006/relationships/footer" Target="footer200.xml"/><Relationship Id="rId432" Type="http://schemas.openxmlformats.org/officeDocument/2006/relationships/header" Target="header211.xml"/><Relationship Id="rId453" Type="http://schemas.openxmlformats.org/officeDocument/2006/relationships/footer" Target="footer221.xml"/><Relationship Id="rId474" Type="http://schemas.openxmlformats.org/officeDocument/2006/relationships/header" Target="header232.xml"/><Relationship Id="rId509" Type="http://schemas.openxmlformats.org/officeDocument/2006/relationships/footer" Target="footer249.xml"/><Relationship Id="rId106" Type="http://schemas.openxmlformats.org/officeDocument/2006/relationships/header" Target="header48.xml"/><Relationship Id="rId127" Type="http://schemas.openxmlformats.org/officeDocument/2006/relationships/header" Target="header59.xml"/><Relationship Id="rId313" Type="http://schemas.openxmlformats.org/officeDocument/2006/relationships/header" Target="header152.xml"/><Relationship Id="rId495" Type="http://schemas.openxmlformats.org/officeDocument/2006/relationships/footer" Target="footer242.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80.xml"/><Relationship Id="rId334" Type="http://schemas.openxmlformats.org/officeDocument/2006/relationships/header" Target="header162.xml"/><Relationship Id="rId355" Type="http://schemas.openxmlformats.org/officeDocument/2006/relationships/header" Target="header173.xml"/><Relationship Id="rId376" Type="http://schemas.openxmlformats.org/officeDocument/2006/relationships/header" Target="header183.xml"/><Relationship Id="rId397" Type="http://schemas.openxmlformats.org/officeDocument/2006/relationships/header" Target="header194.xml"/><Relationship Id="rId520" Type="http://schemas.openxmlformats.org/officeDocument/2006/relationships/header" Target="header255.xml"/><Relationship Id="rId4" Type="http://schemas.openxmlformats.org/officeDocument/2006/relationships/customXml" Target="../customXml/item4.xml"/><Relationship Id="rId180" Type="http://schemas.openxmlformats.org/officeDocument/2006/relationships/header" Target="header85.xml"/><Relationship Id="rId215" Type="http://schemas.openxmlformats.org/officeDocument/2006/relationships/footer" Target="footer102.xml"/><Relationship Id="rId236" Type="http://schemas.openxmlformats.org/officeDocument/2006/relationships/footer" Target="footer112.xml"/><Relationship Id="rId257" Type="http://schemas.openxmlformats.org/officeDocument/2006/relationships/footer" Target="footer123.xml"/><Relationship Id="rId278" Type="http://schemas.openxmlformats.org/officeDocument/2006/relationships/footer" Target="footer133.xml"/><Relationship Id="rId401" Type="http://schemas.openxmlformats.org/officeDocument/2006/relationships/footer" Target="footer195.xml"/><Relationship Id="rId422" Type="http://schemas.openxmlformats.org/officeDocument/2006/relationships/footer" Target="footer205.xml"/><Relationship Id="rId443" Type="http://schemas.openxmlformats.org/officeDocument/2006/relationships/footer" Target="footer216.xml"/><Relationship Id="rId464" Type="http://schemas.openxmlformats.org/officeDocument/2006/relationships/footer" Target="footer226.xml"/><Relationship Id="rId303" Type="http://schemas.openxmlformats.org/officeDocument/2006/relationships/footer" Target="footer146.xml"/><Relationship Id="rId485" Type="http://schemas.openxmlformats.org/officeDocument/2006/relationships/footer" Target="footer237.xml"/><Relationship Id="rId42" Type="http://schemas.openxmlformats.org/officeDocument/2006/relationships/header" Target="header16.xml"/><Relationship Id="rId84" Type="http://schemas.openxmlformats.org/officeDocument/2006/relationships/header" Target="header37.xml"/><Relationship Id="rId138" Type="http://schemas.openxmlformats.org/officeDocument/2006/relationships/header" Target="header64.xml"/><Relationship Id="rId345" Type="http://schemas.openxmlformats.org/officeDocument/2006/relationships/footer" Target="footer167.xml"/><Relationship Id="rId387" Type="http://schemas.openxmlformats.org/officeDocument/2006/relationships/footer" Target="footer188.xml"/><Relationship Id="rId510" Type="http://schemas.openxmlformats.org/officeDocument/2006/relationships/header" Target="header250.xml"/><Relationship Id="rId191" Type="http://schemas.openxmlformats.org/officeDocument/2006/relationships/footer" Target="footer90.xml"/><Relationship Id="rId205" Type="http://schemas.openxmlformats.org/officeDocument/2006/relationships/header" Target="header98.xml"/><Relationship Id="rId247" Type="http://schemas.openxmlformats.org/officeDocument/2006/relationships/header" Target="header119.xml"/><Relationship Id="rId412" Type="http://schemas.openxmlformats.org/officeDocument/2006/relationships/header" Target="header201.xml"/><Relationship Id="rId107" Type="http://schemas.openxmlformats.org/officeDocument/2006/relationships/footer" Target="footer48.xml"/><Relationship Id="rId289" Type="http://schemas.openxmlformats.org/officeDocument/2006/relationships/header" Target="header140.xml"/><Relationship Id="rId454" Type="http://schemas.openxmlformats.org/officeDocument/2006/relationships/header" Target="header222.xml"/><Relationship Id="rId496" Type="http://schemas.openxmlformats.org/officeDocument/2006/relationships/header" Target="header243.xml"/><Relationship Id="rId11" Type="http://schemas.openxmlformats.org/officeDocument/2006/relationships/image" Target="media/image1.emf"/><Relationship Id="rId53" Type="http://schemas.openxmlformats.org/officeDocument/2006/relationships/footer" Target="footer21.xml"/><Relationship Id="rId149" Type="http://schemas.openxmlformats.org/officeDocument/2006/relationships/footer" Target="footer69.xml"/><Relationship Id="rId314" Type="http://schemas.openxmlformats.org/officeDocument/2006/relationships/footer" Target="footer151.xml"/><Relationship Id="rId356" Type="http://schemas.openxmlformats.org/officeDocument/2006/relationships/footer" Target="footer172.xml"/><Relationship Id="rId398" Type="http://schemas.openxmlformats.org/officeDocument/2006/relationships/footer" Target="footer193.xml"/><Relationship Id="rId521" Type="http://schemas.openxmlformats.org/officeDocument/2006/relationships/footer" Target="footer255.xml"/><Relationship Id="rId95" Type="http://schemas.openxmlformats.org/officeDocument/2006/relationships/footer" Target="footer42.xml"/><Relationship Id="rId160" Type="http://schemas.openxmlformats.org/officeDocument/2006/relationships/header" Target="header75.xml"/><Relationship Id="rId216" Type="http://schemas.openxmlformats.org/officeDocument/2006/relationships/header" Target="header103.xml"/><Relationship Id="rId423" Type="http://schemas.openxmlformats.org/officeDocument/2006/relationships/footer" Target="footer206.xml"/><Relationship Id="rId258" Type="http://schemas.openxmlformats.org/officeDocument/2006/relationships/header" Target="header124.xml"/><Relationship Id="rId465" Type="http://schemas.openxmlformats.org/officeDocument/2006/relationships/footer" Target="footer227.xml"/><Relationship Id="rId22" Type="http://schemas.openxmlformats.org/officeDocument/2006/relationships/header" Target="header6.xml"/><Relationship Id="rId64" Type="http://schemas.openxmlformats.org/officeDocument/2006/relationships/header" Target="header27.xml"/><Relationship Id="rId118" Type="http://schemas.openxmlformats.org/officeDocument/2006/relationships/header" Target="header54.xml"/><Relationship Id="rId325" Type="http://schemas.openxmlformats.org/officeDocument/2006/relationships/header" Target="header158.xml"/><Relationship Id="rId367" Type="http://schemas.openxmlformats.org/officeDocument/2006/relationships/header" Target="header179.xml"/><Relationship Id="rId532" Type="http://schemas.openxmlformats.org/officeDocument/2006/relationships/header" Target="header261.xml"/><Relationship Id="rId171" Type="http://schemas.openxmlformats.org/officeDocument/2006/relationships/footer" Target="footer80.xml"/><Relationship Id="rId227" Type="http://schemas.openxmlformats.org/officeDocument/2006/relationships/footer" Target="footer108.xml"/><Relationship Id="rId269" Type="http://schemas.openxmlformats.org/officeDocument/2006/relationships/footer" Target="footer129.xml"/><Relationship Id="rId434" Type="http://schemas.openxmlformats.org/officeDocument/2006/relationships/footer" Target="footer211.xml"/><Relationship Id="rId476" Type="http://schemas.openxmlformats.org/officeDocument/2006/relationships/footer" Target="footer232.xml"/><Relationship Id="rId33" Type="http://schemas.openxmlformats.org/officeDocument/2006/relationships/footer" Target="footer11.xml"/><Relationship Id="rId129" Type="http://schemas.openxmlformats.org/officeDocument/2006/relationships/footer" Target="footer59.xml"/><Relationship Id="rId280" Type="http://schemas.openxmlformats.org/officeDocument/2006/relationships/header" Target="header135.xml"/><Relationship Id="rId336" Type="http://schemas.openxmlformats.org/officeDocument/2006/relationships/header" Target="header163.xml"/><Relationship Id="rId501" Type="http://schemas.openxmlformats.org/officeDocument/2006/relationships/footer" Target="footer245.xml"/><Relationship Id="rId75" Type="http://schemas.openxmlformats.org/officeDocument/2006/relationships/footer" Target="footer32.xml"/><Relationship Id="rId140" Type="http://schemas.openxmlformats.org/officeDocument/2006/relationships/footer" Target="footer64.xml"/><Relationship Id="rId182" Type="http://schemas.openxmlformats.org/officeDocument/2006/relationships/footer" Target="footer85.xml"/><Relationship Id="rId378" Type="http://schemas.openxmlformats.org/officeDocument/2006/relationships/header" Target="header184.xml"/><Relationship Id="rId403" Type="http://schemas.openxmlformats.org/officeDocument/2006/relationships/header" Target="header197.xml"/><Relationship Id="rId6" Type="http://schemas.openxmlformats.org/officeDocument/2006/relationships/styles" Target="styles.xml"/><Relationship Id="rId238" Type="http://schemas.openxmlformats.org/officeDocument/2006/relationships/header" Target="header114.xml"/><Relationship Id="rId445" Type="http://schemas.openxmlformats.org/officeDocument/2006/relationships/header" Target="header218.xml"/><Relationship Id="rId487" Type="http://schemas.openxmlformats.org/officeDocument/2006/relationships/header" Target="header239.xml"/><Relationship Id="rId291" Type="http://schemas.openxmlformats.org/officeDocument/2006/relationships/footer" Target="footer140.xml"/><Relationship Id="rId305" Type="http://schemas.openxmlformats.org/officeDocument/2006/relationships/footer" Target="footer147.xml"/><Relationship Id="rId347" Type="http://schemas.openxmlformats.org/officeDocument/2006/relationships/footer" Target="footer168.xml"/><Relationship Id="rId512" Type="http://schemas.openxmlformats.org/officeDocument/2006/relationships/footer" Target="footer250.xml"/><Relationship Id="rId44" Type="http://schemas.openxmlformats.org/officeDocument/2006/relationships/footer" Target="footer16.xml"/><Relationship Id="rId86" Type="http://schemas.openxmlformats.org/officeDocument/2006/relationships/footer" Target="footer37.xml"/><Relationship Id="rId151" Type="http://schemas.openxmlformats.org/officeDocument/2006/relationships/header" Target="header71.xml"/><Relationship Id="rId389" Type="http://schemas.openxmlformats.org/officeDocument/2006/relationships/footer" Target="footer189.xml"/><Relationship Id="rId193" Type="http://schemas.openxmlformats.org/officeDocument/2006/relationships/header" Target="header92.xml"/><Relationship Id="rId207" Type="http://schemas.openxmlformats.org/officeDocument/2006/relationships/footer" Target="footer98.xml"/><Relationship Id="rId249" Type="http://schemas.openxmlformats.org/officeDocument/2006/relationships/footer" Target="footer119.xml"/><Relationship Id="rId414" Type="http://schemas.openxmlformats.org/officeDocument/2006/relationships/header" Target="header202.xml"/><Relationship Id="rId456" Type="http://schemas.openxmlformats.org/officeDocument/2006/relationships/header" Target="header223.xml"/><Relationship Id="rId498" Type="http://schemas.openxmlformats.org/officeDocument/2006/relationships/header" Target="header244.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footer" Target="footer124.xml"/><Relationship Id="rId316" Type="http://schemas.openxmlformats.org/officeDocument/2006/relationships/header" Target="header153.xml"/><Relationship Id="rId523" Type="http://schemas.openxmlformats.org/officeDocument/2006/relationships/header" Target="header257.xml"/><Relationship Id="rId55" Type="http://schemas.openxmlformats.org/officeDocument/2006/relationships/header" Target="header23.xml"/><Relationship Id="rId97" Type="http://schemas.openxmlformats.org/officeDocument/2006/relationships/header" Target="header44.xml"/><Relationship Id="rId120" Type="http://schemas.openxmlformats.org/officeDocument/2006/relationships/header" Target="header55.xml"/><Relationship Id="rId358" Type="http://schemas.openxmlformats.org/officeDocument/2006/relationships/header" Target="header174.xml"/><Relationship Id="rId162" Type="http://schemas.openxmlformats.org/officeDocument/2006/relationships/header" Target="header76.xml"/><Relationship Id="rId218" Type="http://schemas.openxmlformats.org/officeDocument/2006/relationships/footer" Target="footer103.xml"/><Relationship Id="rId425" Type="http://schemas.openxmlformats.org/officeDocument/2006/relationships/footer" Target="footer207.xml"/><Relationship Id="rId467" Type="http://schemas.openxmlformats.org/officeDocument/2006/relationships/footer" Target="footer228.xml"/><Relationship Id="rId271" Type="http://schemas.openxmlformats.org/officeDocument/2006/relationships/header" Target="header131.xml"/><Relationship Id="rId24" Type="http://schemas.openxmlformats.org/officeDocument/2006/relationships/header" Target="header7.xml"/><Relationship Id="rId66" Type="http://schemas.openxmlformats.org/officeDocument/2006/relationships/header" Target="header28.xml"/><Relationship Id="rId131" Type="http://schemas.openxmlformats.org/officeDocument/2006/relationships/footer" Target="footer60.xml"/><Relationship Id="rId327" Type="http://schemas.openxmlformats.org/officeDocument/2006/relationships/footer" Target="footer158.xml"/><Relationship Id="rId369" Type="http://schemas.openxmlformats.org/officeDocument/2006/relationships/footer" Target="footer179.xml"/><Relationship Id="rId534" Type="http://schemas.openxmlformats.org/officeDocument/2006/relationships/fontTable" Target="fontTable.xml"/><Relationship Id="rId173" Type="http://schemas.openxmlformats.org/officeDocument/2006/relationships/footer" Target="footer81.xml"/><Relationship Id="rId229" Type="http://schemas.openxmlformats.org/officeDocument/2006/relationships/header" Target="header110.xml"/><Relationship Id="rId380" Type="http://schemas.openxmlformats.org/officeDocument/2006/relationships/footer" Target="footer184.xml"/><Relationship Id="rId436" Type="http://schemas.openxmlformats.org/officeDocument/2006/relationships/header" Target="header213.xml"/><Relationship Id="rId240" Type="http://schemas.openxmlformats.org/officeDocument/2006/relationships/header" Target="header115.xml"/><Relationship Id="rId478" Type="http://schemas.openxmlformats.org/officeDocument/2006/relationships/header" Target="header234.xml"/><Relationship Id="rId35" Type="http://schemas.openxmlformats.org/officeDocument/2006/relationships/footer" Target="footer1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header" Target="header136.xml"/><Relationship Id="rId338" Type="http://schemas.openxmlformats.org/officeDocument/2006/relationships/footer" Target="footer163.xml"/><Relationship Id="rId503" Type="http://schemas.openxmlformats.org/officeDocument/2006/relationships/footer" Target="footer246.xml"/><Relationship Id="rId8" Type="http://schemas.openxmlformats.org/officeDocument/2006/relationships/webSettings" Target="webSettings.xml"/><Relationship Id="rId142" Type="http://schemas.openxmlformats.org/officeDocument/2006/relationships/header" Target="header66.xml"/><Relationship Id="rId184" Type="http://schemas.openxmlformats.org/officeDocument/2006/relationships/header" Target="header87.xml"/><Relationship Id="rId391" Type="http://schemas.openxmlformats.org/officeDocument/2006/relationships/header" Target="header191.xml"/><Relationship Id="rId405" Type="http://schemas.openxmlformats.org/officeDocument/2006/relationships/footer" Target="footer197.xml"/><Relationship Id="rId447" Type="http://schemas.openxmlformats.org/officeDocument/2006/relationships/footer" Target="footer218.xml"/><Relationship Id="rId251" Type="http://schemas.openxmlformats.org/officeDocument/2006/relationships/footer" Target="footer120.xml"/><Relationship Id="rId489" Type="http://schemas.openxmlformats.org/officeDocument/2006/relationships/footer" Target="footer239.xml"/></Relationships>
</file>

<file path=word/documenttasks/documenttasks1.xml><?xml version="1.0" encoding="utf-8"?>
<t:Tasks xmlns:t="http://schemas.microsoft.com/office/tasks/2019/documenttasks" xmlns:oel="http://schemas.microsoft.com/office/2019/extlst">
  <t:Task id="{F3525B35-895C-4310-99DB-62942347238E}">
    <t:Anchor>
      <t:Comment id="300003841"/>
    </t:Anchor>
    <t:History>
      <t:Event id="{25C082A1-F087-4F2D-9DA1-D0BADC88BCDB}" time="2023-08-31T10:16:41.442Z">
        <t:Attribution userId="S::pierre.braun@ec.europa.eu::4db60750-1009-4778-93d3-5932503cfbf0" userProvider="AD" userName="BRAUN Pierre (SG-RECOVER)"/>
        <t:Anchor>
          <t:Comment id="1468592145"/>
        </t:Anchor>
        <t:Create/>
      </t:Event>
      <t:Event id="{9B255922-180F-4581-BCE5-D835106760AF}" time="2023-08-31T10:16:41.442Z">
        <t:Attribution userId="S::pierre.braun@ec.europa.eu::4db60750-1009-4778-93d3-5932503cfbf0" userProvider="AD" userName="BRAUN Pierre (SG-RECOVER)"/>
        <t:Anchor>
          <t:Comment id="1468592145"/>
        </t:Anchor>
        <t:Assign userId="S::Viktor.BORECKY@ec.europa.eu::56484f08-4a11-481f-953f-f639a70c440d" userProvider="AD" userName="BORECKY Viktor (SG-RECOVER)"/>
      </t:Event>
      <t:Event id="{76693B00-B283-4C27-A1E6-E6F7B7423575}" time="2023-08-31T10:16:41.442Z">
        <t:Attribution userId="S::pierre.braun@ec.europa.eu::4db60750-1009-4778-93d3-5932503cfbf0" userProvider="AD" userName="BRAUN Pierre (SG-RECOVER)"/>
        <t:Anchor>
          <t:Comment id="1468592145"/>
        </t:Anchor>
        <t:SetTitle title="@BORECKY Viktor (SG-RECOVER)"/>
      </t:Event>
    </t:History>
  </t:Task>
  <t:Task id="{C5FE4C36-E59C-4BD5-89DD-C6327B5BBB28}">
    <t:Anchor>
      <t:Comment id="1806348563"/>
    </t:Anchor>
    <t:History>
      <t:Event id="{92755D31-0E92-423A-9884-9CA74766FCC7}" time="2023-08-31T10:16:30.273Z">
        <t:Attribution userId="S::pierre.braun@ec.europa.eu::4db60750-1009-4778-93d3-5932503cfbf0" userProvider="AD" userName="BRAUN Pierre (SG-RECOVER)"/>
        <t:Anchor>
          <t:Comment id="1522183723"/>
        </t:Anchor>
        <t:Create/>
      </t:Event>
      <t:Event id="{C0C588FA-864E-48B0-A379-EF685368B05D}" time="2023-08-31T10:16:30.273Z">
        <t:Attribution userId="S::pierre.braun@ec.europa.eu::4db60750-1009-4778-93d3-5932503cfbf0" userProvider="AD" userName="BRAUN Pierre (SG-RECOVER)"/>
        <t:Anchor>
          <t:Comment id="1522183723"/>
        </t:Anchor>
        <t:Assign userId="S::Viktor.BORECKY@ec.europa.eu::56484f08-4a11-481f-953f-f639a70c440d" userProvider="AD" userName="BORECKY Viktor (SG-RECOVER)"/>
      </t:Event>
      <t:Event id="{744FEE5A-2EF8-4B6C-8A3F-B713761F30CC}" time="2023-08-31T10:16:30.273Z">
        <t:Attribution userId="S::pierre.braun@ec.europa.eu::4db60750-1009-4778-93d3-5932503cfbf0" userProvider="AD" userName="BRAUN Pierre (SG-RECOVER)"/>
        <t:Anchor>
          <t:Comment id="1522183723"/>
        </t:Anchor>
        <t:SetTitle title="@BORECKY Viktor (SG-RECOVER)"/>
      </t:Event>
    </t:History>
  </t:Task>
  <t:Task id="{6504AA64-60A8-4F79-9B8F-4EFD8B085836}">
    <t:Anchor>
      <t:Comment id="677711658"/>
    </t:Anchor>
    <t:History>
      <t:Event id="{6726D18A-241E-4A2D-AEE0-C2DDDD31078F}" time="2023-07-24T14:00:57.343Z">
        <t:Attribution userId="S::lucianajulia.pace@ec.europa.eu::3b9ac415-a39d-43f8-8440-e20353d666a5" userProvider="AD" userName="PACE Lucianajulia (SG-RECOVER)"/>
        <t:Anchor>
          <t:Comment id="1446213569"/>
        </t:Anchor>
        <t:Create/>
      </t:Event>
      <t:Event id="{ACF273EB-4610-4B44-AC98-3FAE6798BB02}" time="2023-07-24T14:00:57.343Z">
        <t:Attribution userId="S::lucianajulia.pace@ec.europa.eu::3b9ac415-a39d-43f8-8440-e20353d666a5" userProvider="AD" userName="PACE Lucianajulia (SG-RECOVER)"/>
        <t:Anchor>
          <t:Comment id="1446213569"/>
        </t:Anchor>
        <t:Assign userId="S::Veronica.VECCHIO@ec.europa.eu::d5c4ccd5-582d-45c1-8b25-53f374ea35d1" userProvider="AD" userName="VECCHIO Veronica (SG-RECOVER)"/>
      </t:Event>
      <t:Event id="{1CD38E6C-8C08-4D27-A7F7-8F974E20D9BD}" time="2023-07-24T14:00:57.343Z">
        <t:Attribution userId="S::lucianajulia.pace@ec.europa.eu::3b9ac415-a39d-43f8-8440-e20353d666a5" userProvider="AD" userName="PACE Lucianajulia (SG-RECOVER)"/>
        <t:Anchor>
          <t:Comment id="1446213569"/>
        </t:Anchor>
        <t:SetTitle title="@VECCHIO Veronica (SG-RECOVER) it is still correct since we did not modify the number of projects (M/T #5 and #6). But obviously is not needed, would be an extra thing to check, if the can 'simplify' I would remove this para entirely or remove the numbers"/>
      </t:Event>
      <t:Event id="{FA4F90C7-77A9-470B-90C4-DAF414D6159C}" time="2023-08-30T09:44:58.27Z">
        <t:Attribution userId="S::lucianajulia.pace@ec.europa.eu::3b9ac415-a39d-43f8-8440-e20353d666a5" userProvider="AD" userName="PACE Lucianajulia (SG-RECOV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7" ma:contentTypeDescription="Create a new document." ma:contentTypeScope="" ma:versionID="8ed1ac75ea9c93cadbac586546f141ad">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d2a3655aee8b5587f3c1d14e28210649"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6c3bc29-9e11-4027-900b-c73633d7928a">
      <UserInfo>
        <DisplayName>SOLZBACHER Clara (SG-RECOVER)</DisplayName>
        <AccountId>553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B57A9-50C7-49E1-9465-3E4E19454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63D08-B121-46EE-BA9C-694460AF17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6c3bc29-9e11-4027-900b-c73633d7928a"/>
    <ds:schemaRef ds:uri="1700ab43-7395-48ff-866c-657c86ba7f4e"/>
    <ds:schemaRef ds:uri="http://www.w3.org/XML/1998/namespace"/>
    <ds:schemaRef ds:uri="http://purl.org/dc/dcmitype/"/>
  </ds:schemaRefs>
</ds:datastoreItem>
</file>

<file path=customXml/itemProps3.xml><?xml version="1.0" encoding="utf-8"?>
<ds:datastoreItem xmlns:ds="http://schemas.openxmlformats.org/officeDocument/2006/customXml" ds:itemID="{6BB6DE65-F16F-41F1-ABBC-D1E6407B9DD6}">
  <ds:schemaRefs>
    <ds:schemaRef ds:uri="http://schemas.microsoft.com/sharepoint/v3/contenttype/forms"/>
  </ds:schemaRefs>
</ds:datastoreItem>
</file>

<file path=customXml/itemProps4.xml><?xml version="1.0" encoding="utf-8"?>
<ds:datastoreItem xmlns:ds="http://schemas.openxmlformats.org/officeDocument/2006/customXml" ds:itemID="{40622D26-6BD0-473F-AFF3-FBE7C765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84221</Words>
  <Characters>480062</Characters>
  <Application>Microsoft Office Word</Application>
  <DocSecurity>0</DocSecurity>
  <Lines>4000</Lines>
  <Paragraphs>1126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563157</CharactersWithSpaces>
  <SharedDoc>false</SharedDoc>
  <HLinks>
    <vt:vector size="12" baseType="variant">
      <vt:variant>
        <vt:i4>1048692</vt:i4>
      </vt:variant>
      <vt:variant>
        <vt:i4>3</vt:i4>
      </vt:variant>
      <vt:variant>
        <vt:i4>0</vt:i4>
      </vt:variant>
      <vt:variant>
        <vt:i4>5</vt:i4>
      </vt:variant>
      <vt:variant>
        <vt:lpwstr>mailto:Lucia.VARGAS-MARTINEZ@ec.europa.eu</vt:lpwstr>
      </vt:variant>
      <vt:variant>
        <vt:lpwstr/>
      </vt:variant>
      <vt:variant>
        <vt:i4>4194427</vt:i4>
      </vt:variant>
      <vt:variant>
        <vt:i4>0</vt:i4>
      </vt:variant>
      <vt:variant>
        <vt:i4>0</vt:i4>
      </vt:variant>
      <vt:variant>
        <vt:i4>5</vt:i4>
      </vt:variant>
      <vt:variant>
        <vt:lpwstr>mailto:Jachym.HERCHER@ec.europa.eu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BERTOLINI Elena (SG-RECOVER)</dc:creator>
  <cp:keywords/>
  <cp:lastModifiedBy>EC CoDe</cp:lastModifiedBy>
  <cp:revision>21</cp:revision>
  <cp:lastPrinted>2023-08-10T01:08:00Z</cp:lastPrinted>
  <dcterms:created xsi:type="dcterms:W3CDTF">2023-09-25T13:38:00Z</dcterms:created>
  <dcterms:modified xsi:type="dcterms:W3CDTF">2023-10-09T17:41:00Z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0x01010062094E9F29D6C04F85860C631ABC812A</vt:lpwstr>
  </property>
  <property fmtid="{D5CDD505-2E9C-101B-9397-08002B2CF9AE}" pid="3" name="MSIP_Label_6bd9ddd1-4d20-43f6-abfa-fc3c07406f94_Enabled">
    <vt:lpwstr>true</vt:lpwstr>
  </property>
  <property fmtid="{D5CDD505-2E9C-101B-9397-08002B2CF9AE}" pid="4" name="MSIP_Label_6bd9ddd1-4d20-43f6-abfa-fc3c07406f94_SetDate">
    <vt:lpwstr>2023-07-10T11:19:36Z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76317aee-d8f5-4d64-88bc-81ac0b687d24</vt:lpwstr>
  </property>
  <property fmtid="{D5CDD505-2E9C-101B-9397-08002B2CF9AE}" pid="9" name="MSIP_Label_6bd9ddd1-4d20-43f6-abfa-fc3c07406f94_ContentBits">
    <vt:lpwstr>0</vt:lpwstr>
  </property>
  <property fmtid="{D5CDD505-2E9C-101B-9397-08002B2CF9AE}" pid="10" name="Level of sensitivity">
    <vt:lpwstr>Standard treatment</vt:lpwstr>
  </property>
  <property fmtid="{D5CDD505-2E9C-101B-9397-08002B2CF9AE}" pid="11" name="First annex">
    <vt:lpwstr>1</vt:lpwstr>
  </property>
  <property fmtid="{D5CDD505-2E9C-101B-9397-08002B2CF9AE}" pid="12" name="Last annex">
    <vt:lpwstr>1</vt:lpwstr>
  </property>
  <property fmtid="{D5CDD505-2E9C-101B-9397-08002B2CF9AE}" pid="13" name="Unique annex">
    <vt:lpwstr>1</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y fmtid="{D5CDD505-2E9C-101B-9397-08002B2CF9AE}" pid="17" name="CPTemplateID">
    <vt:lpwstr>CP-036</vt:lpwstr>
  </property>
  <property fmtid="{D5CDD505-2E9C-101B-9397-08002B2CF9AE}" pid="18" name="Last edited using">
    <vt:lpwstr>LW 9.0, Build 20230317</vt:lpwstr>
  </property>
  <property fmtid="{D5CDD505-2E9C-101B-9397-08002B2CF9AE}" pid="19" name="Created using">
    <vt:lpwstr>LW 9.0, Build 20230317</vt:lpwstr>
  </property>
</Properties>
</file>